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b/>
          <w:bCs/>
          <w:sz w:val="44"/>
          <w:szCs w:val="44"/>
          <w:lang w:val="en-US"/>
        </w:rPr>
      </w:pPr>
      <w:r>
        <w:rPr>
          <w:rFonts w:hint="eastAsia" w:ascii="方正小标宋简体" w:hAnsi="方正小标宋简体" w:eastAsia="方正小标宋简体" w:cs="方正小标宋简体"/>
          <w:b/>
          <w:bCs/>
          <w:kern w:val="2"/>
          <w:sz w:val="44"/>
          <w:szCs w:val="44"/>
          <w:lang w:val="en-US" w:eastAsia="zh-CN" w:bidi="ar"/>
        </w:rPr>
        <w:t>关于开展防止返贫动态监测排查的工作方案</w:t>
      </w:r>
    </w:p>
    <w:p>
      <w:pPr>
        <w:keepNext w:val="0"/>
        <w:keepLines w:val="0"/>
        <w:widowControl w:val="0"/>
        <w:suppressLineNumbers w:val="0"/>
        <w:spacing w:before="0" w:beforeAutospacing="0" w:after="0" w:afterAutospacing="0"/>
        <w:ind w:left="0" w:right="0"/>
        <w:jc w:val="center"/>
        <w:rPr>
          <w:rFonts w:hint="eastAsia" w:ascii="仿宋" w:hAnsi="仿宋" w:eastAsia="仿宋" w:cs="仿宋"/>
          <w:color w:val="1C1B10"/>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eastAsia" w:ascii="方正仿宋_GBK" w:hAnsi="方正仿宋_GBK" w:eastAsia="方正仿宋_GBK" w:cs="方正仿宋_GBK"/>
          <w:color w:val="1C1B10"/>
          <w:kern w:val="2"/>
          <w:sz w:val="32"/>
          <w:szCs w:val="32"/>
          <w:lang w:val="en-US" w:eastAsia="zh-CN" w:bidi="ar"/>
        </w:rPr>
      </w:pPr>
      <w:r>
        <w:rPr>
          <w:rFonts w:hint="eastAsia" w:ascii="仿宋" w:hAnsi="仿宋" w:eastAsia="仿宋" w:cs="仿宋"/>
          <w:kern w:val="2"/>
          <w:sz w:val="32"/>
          <w:szCs w:val="32"/>
          <w:lang w:val="en-US" w:eastAsia="zh-CN" w:bidi="ar"/>
        </w:rPr>
        <w:t>罗浮山管委会、各镇（街道）人民政府（办事处）</w:t>
      </w:r>
      <w:r>
        <w:rPr>
          <w:rFonts w:hint="eastAsia" w:ascii="方正仿宋_GBK" w:hAnsi="方正仿宋_GBK" w:eastAsia="方正仿宋_GBK" w:cs="方正仿宋_GBK"/>
          <w:color w:val="1C1B10"/>
          <w:kern w:val="2"/>
          <w:sz w:val="32"/>
          <w:szCs w:val="32"/>
          <w:lang w:val="en-US" w:eastAsia="zh-CN" w:bidi="ar"/>
        </w:rPr>
        <w:t>：</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方正仿宋_GBK" w:hAnsi="方正仿宋_GBK" w:eastAsia="方正仿宋_GBK" w:cs="方正仿宋_GBK"/>
          <w:color w:val="1C1B10"/>
          <w:kern w:val="2"/>
          <w:sz w:val="32"/>
          <w:szCs w:val="32"/>
          <w:lang w:val="en-US" w:eastAsia="zh-CN" w:bidi="ar"/>
        </w:rPr>
      </w:pPr>
      <w:r>
        <w:rPr>
          <w:rFonts w:hint="eastAsia" w:ascii="方正仿宋_GBK" w:hAnsi="方正仿宋_GBK" w:eastAsia="方正仿宋_GBK" w:cs="方正仿宋_GBK"/>
          <w:color w:val="1C1B10"/>
          <w:kern w:val="2"/>
          <w:sz w:val="32"/>
          <w:szCs w:val="32"/>
          <w:lang w:val="en-US" w:eastAsia="zh-CN" w:bidi="ar"/>
        </w:rPr>
        <w:t>为贯彻落实中共省委农村工作领导小组《关于健全防止返贫动态监测和帮扶机制的实施意见》（粤农组</w:t>
      </w:r>
      <w:r>
        <w:rPr>
          <w:rFonts w:hint="eastAsia" w:ascii="方正仿宋_GBK" w:hAnsi="方正仿宋_GBK" w:eastAsia="方正仿宋_GBK" w:cs="方正仿宋_GBK"/>
          <w:kern w:val="2"/>
          <w:sz w:val="32"/>
          <w:szCs w:val="32"/>
          <w:lang w:val="en-US" w:eastAsia="zh-CN" w:bidi="ar"/>
        </w:rPr>
        <w:t>〔2021〕8号</w:t>
      </w:r>
      <w:r>
        <w:rPr>
          <w:rFonts w:hint="eastAsia" w:ascii="方正仿宋_GBK" w:hAnsi="方正仿宋_GBK" w:eastAsia="方正仿宋_GBK" w:cs="方正仿宋_GBK"/>
          <w:color w:val="1C1B10"/>
          <w:kern w:val="2"/>
          <w:sz w:val="32"/>
          <w:szCs w:val="32"/>
          <w:lang w:val="en-US" w:eastAsia="zh-CN" w:bidi="ar"/>
        </w:rPr>
        <w:t>）（附件1）和省市有关做好防止返贫监测工作的文件精神，为进一步加强组织领导，统筹抓好此项工作落地见效，在巩固拓展脱贫攻坚成果期间守住规模性返贫的底线，现将开展防止返贫动态监测核查工作通知如下：</w:t>
      </w:r>
    </w:p>
    <w:p>
      <w:pPr>
        <w:keepNext w:val="0"/>
        <w:keepLines w:val="0"/>
        <w:widowControl w:val="0"/>
        <w:numPr>
          <w:ilvl w:val="0"/>
          <w:numId w:val="1"/>
        </w:numPr>
        <w:suppressLineNumbers w:val="0"/>
        <w:spacing w:before="0" w:beforeAutospacing="0" w:after="0" w:afterAutospacing="0" w:line="560" w:lineRule="exact"/>
        <w:ind w:left="0" w:right="0" w:firstLine="684" w:firstLineChars="200"/>
        <w:jc w:val="both"/>
        <w:rPr>
          <w:rFonts w:hint="eastAsia" w:ascii="黑体" w:hAnsi="宋体" w:eastAsia="黑体" w:cs="黑体"/>
          <w:snapToGrid w:val="0"/>
          <w:spacing w:val="11"/>
          <w:kern w:val="21"/>
          <w:sz w:val="32"/>
          <w:szCs w:val="32"/>
          <w:lang w:val="en-US" w:eastAsia="zh-CN" w:bidi="ar"/>
        </w:rPr>
      </w:pPr>
      <w:r>
        <w:rPr>
          <w:rFonts w:hint="eastAsia" w:ascii="黑体" w:hAnsi="宋体" w:eastAsia="黑体" w:cs="黑体"/>
          <w:snapToGrid w:val="0"/>
          <w:spacing w:val="11"/>
          <w:kern w:val="21"/>
          <w:sz w:val="32"/>
          <w:szCs w:val="32"/>
          <w:lang w:val="en-US" w:eastAsia="zh-CN" w:bidi="ar"/>
        </w:rPr>
        <w:t>总体要求</w:t>
      </w: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590" w:lineRule="exact"/>
        <w:ind w:right="0" w:rightChars="0" w:firstLine="640" w:firstLineChars="200"/>
        <w:jc w:val="both"/>
        <w:textAlignment w:val="baseline"/>
        <w:outlineLvl w:val="9"/>
        <w:rPr>
          <w:rFonts w:hint="eastAsia" w:ascii="仿宋_GB2312" w:hAnsi="仿宋_GB2312" w:eastAsia="仿宋_GB2312" w:cs="仿宋_GB2312"/>
          <w:b w:val="0"/>
          <w:bCs w:val="0"/>
          <w:i w:val="0"/>
          <w:caps w:val="0"/>
          <w:color w:val="auto"/>
          <w:spacing w:val="0"/>
          <w:w w:val="100"/>
          <w:sz w:val="32"/>
          <w:szCs w:val="32"/>
        </w:rPr>
      </w:pPr>
      <w:r>
        <w:rPr>
          <w:rFonts w:hint="eastAsia" w:ascii="仿宋_GB2312" w:hAnsi="仿宋_GB2312" w:eastAsia="仿宋_GB2312" w:cs="仿宋_GB2312"/>
          <w:b w:val="0"/>
          <w:bCs w:val="0"/>
          <w:i w:val="0"/>
          <w:caps w:val="0"/>
          <w:color w:val="auto"/>
          <w:spacing w:val="0"/>
          <w:w w:val="100"/>
          <w:sz w:val="32"/>
          <w:szCs w:val="32"/>
          <w:lang w:eastAsia="zh-CN"/>
        </w:rPr>
        <w:t>按照省委、省政府《关于实现巩固拓展脱贫攻坚成果同乡村振兴有效衔接的实施意见》（附件</w:t>
      </w:r>
      <w:r>
        <w:rPr>
          <w:rFonts w:hint="eastAsia" w:ascii="仿宋_GB2312" w:hAnsi="仿宋_GB2312" w:eastAsia="仿宋_GB2312" w:cs="仿宋_GB2312"/>
          <w:b w:val="0"/>
          <w:bCs w:val="0"/>
          <w:i w:val="0"/>
          <w:caps w:val="0"/>
          <w:color w:val="auto"/>
          <w:spacing w:val="0"/>
          <w:w w:val="100"/>
          <w:sz w:val="32"/>
          <w:szCs w:val="32"/>
          <w:lang w:val="en-US" w:eastAsia="zh-CN"/>
        </w:rPr>
        <w:t>2</w:t>
      </w:r>
      <w:r>
        <w:rPr>
          <w:rFonts w:hint="eastAsia" w:ascii="仿宋_GB2312" w:hAnsi="仿宋_GB2312" w:eastAsia="仿宋_GB2312" w:cs="仿宋_GB2312"/>
          <w:b w:val="0"/>
          <w:bCs w:val="0"/>
          <w:i w:val="0"/>
          <w:caps w:val="0"/>
          <w:color w:val="auto"/>
          <w:spacing w:val="0"/>
          <w:w w:val="100"/>
          <w:sz w:val="32"/>
          <w:szCs w:val="32"/>
          <w:lang w:eastAsia="zh-CN"/>
        </w:rPr>
        <w:t>）及《关于完善防贫监测和帮扶工作台账的事项》（附件</w:t>
      </w:r>
      <w:r>
        <w:rPr>
          <w:rFonts w:hint="eastAsia" w:ascii="仿宋_GB2312" w:hAnsi="仿宋_GB2312" w:eastAsia="仿宋_GB2312" w:cs="仿宋_GB2312"/>
          <w:b w:val="0"/>
          <w:bCs w:val="0"/>
          <w:i w:val="0"/>
          <w:caps w:val="0"/>
          <w:color w:val="auto"/>
          <w:spacing w:val="0"/>
          <w:w w:val="100"/>
          <w:sz w:val="32"/>
          <w:szCs w:val="32"/>
          <w:lang w:val="en-US" w:eastAsia="zh-CN"/>
        </w:rPr>
        <w:t>3</w:t>
      </w:r>
      <w:r>
        <w:rPr>
          <w:rFonts w:hint="eastAsia" w:ascii="仿宋_GB2312" w:hAnsi="仿宋_GB2312" w:eastAsia="仿宋_GB2312" w:cs="仿宋_GB2312"/>
          <w:b w:val="0"/>
          <w:bCs w:val="0"/>
          <w:i w:val="0"/>
          <w:caps w:val="0"/>
          <w:color w:val="auto"/>
          <w:spacing w:val="0"/>
          <w:w w:val="100"/>
          <w:sz w:val="32"/>
          <w:szCs w:val="32"/>
          <w:lang w:eastAsia="zh-CN"/>
        </w:rPr>
        <w:t>）工作部署，保持现行脱贫攻坚政策总体稳定，巩固拓展脱贫攻坚成果，统筹发展城乡社会救助制度，加强返贫致贫人口动态监测，完善分层分类社会救助和帮扶体系。坚持</w:t>
      </w:r>
      <w:r>
        <w:rPr>
          <w:rFonts w:hint="eastAsia" w:ascii="仿宋_GB2312" w:hAnsi="仿宋_GB2312" w:eastAsia="仿宋_GB2312" w:cs="仿宋_GB2312"/>
          <w:snapToGrid w:val="0"/>
          <w:spacing w:val="11"/>
          <w:kern w:val="21"/>
          <w:sz w:val="32"/>
          <w:szCs w:val="32"/>
          <w:lang w:val="en-US" w:eastAsia="zh-CN" w:bidi="ar"/>
        </w:rPr>
        <w:t>以村为监测主体、乡镇（街道）、管委会抓落实、县负总责的</w:t>
      </w:r>
      <w:r>
        <w:rPr>
          <w:rFonts w:hint="eastAsia" w:ascii="仿宋_GB2312" w:hAnsi="仿宋_GB2312" w:eastAsia="仿宋_GB2312" w:cs="仿宋_GB2312"/>
          <w:b w:val="0"/>
          <w:bCs w:val="0"/>
          <w:i w:val="0"/>
          <w:caps w:val="0"/>
          <w:color w:val="auto"/>
          <w:spacing w:val="0"/>
          <w:w w:val="100"/>
          <w:sz w:val="32"/>
          <w:szCs w:val="32"/>
          <w:lang w:eastAsia="zh-CN"/>
        </w:rPr>
        <w:t>工作机制，坚持事前监测预防与事后帮扶救助相统一，坚持开发式帮扶与保障性措施相结合，实现巩固拓展脱贫攻坚成果同乡村振兴有效衔接</w:t>
      </w:r>
      <w:r>
        <w:rPr>
          <w:rFonts w:hint="eastAsia" w:ascii="仿宋_GB2312" w:hAnsi="仿宋_GB2312" w:eastAsia="仿宋_GB2312" w:cs="仿宋_GB2312"/>
          <w:b w:val="0"/>
          <w:bCs w:val="0"/>
          <w:i w:val="0"/>
          <w:caps w:val="0"/>
          <w:color w:val="auto"/>
          <w:spacing w:val="0"/>
          <w:w w:val="100"/>
          <w:sz w:val="32"/>
          <w:szCs w:val="32"/>
        </w:rPr>
        <w:t>。</w:t>
      </w:r>
    </w:p>
    <w:p>
      <w:pPr>
        <w:keepNext w:val="0"/>
        <w:keepLines w:val="0"/>
        <w:widowControl w:val="0"/>
        <w:numPr>
          <w:ilvl w:val="0"/>
          <w:numId w:val="1"/>
        </w:numPr>
        <w:suppressLineNumbers w:val="0"/>
        <w:spacing w:before="0" w:beforeAutospacing="0" w:after="0" w:afterAutospacing="0" w:line="560" w:lineRule="exact"/>
        <w:ind w:left="0" w:leftChars="0" w:right="0" w:rightChars="0" w:firstLine="684" w:firstLineChars="200"/>
        <w:jc w:val="both"/>
        <w:rPr>
          <w:rFonts w:hint="eastAsia" w:ascii="黑体" w:hAnsi="宋体" w:eastAsia="黑体" w:cs="黑体"/>
          <w:snapToGrid w:val="0"/>
          <w:spacing w:val="11"/>
          <w:kern w:val="21"/>
          <w:sz w:val="32"/>
          <w:szCs w:val="32"/>
          <w:lang w:val="en-US" w:eastAsia="zh-CN" w:bidi="ar"/>
        </w:rPr>
      </w:pPr>
      <w:r>
        <w:rPr>
          <w:rFonts w:hint="eastAsia" w:ascii="黑体" w:hAnsi="宋体" w:eastAsia="黑体" w:cs="黑体"/>
          <w:snapToGrid w:val="0"/>
          <w:spacing w:val="11"/>
          <w:kern w:val="21"/>
          <w:sz w:val="32"/>
          <w:szCs w:val="32"/>
          <w:lang w:val="en-US" w:eastAsia="zh-CN" w:bidi="ar"/>
        </w:rPr>
        <w:t>工作任务</w:t>
      </w:r>
    </w:p>
    <w:p>
      <w:pPr>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textAlignment w:val="auto"/>
        <w:rPr>
          <w:rFonts w:hint="eastAsia" w:ascii="仿宋_GB2312" w:hAnsi="仿宋_GB2312" w:eastAsia="仿宋_GB2312" w:cs="仿宋_GB2312"/>
          <w:b w:val="0"/>
          <w:bCs w:val="0"/>
          <w:i w:val="0"/>
          <w:caps w:val="0"/>
          <w:color w:val="auto"/>
          <w:spacing w:val="0"/>
          <w:w w:val="100"/>
          <w:sz w:val="32"/>
          <w:szCs w:val="32"/>
          <w:lang w:val="en-US" w:eastAsia="zh-CN"/>
        </w:rPr>
      </w:pPr>
      <w:r>
        <w:rPr>
          <w:rFonts w:hint="eastAsia" w:ascii="仿宋_GB2312" w:hAnsi="仿宋_GB2312" w:eastAsia="仿宋_GB2312" w:cs="仿宋_GB2312"/>
          <w:b w:val="0"/>
          <w:bCs w:val="0"/>
          <w:i w:val="0"/>
          <w:caps w:val="0"/>
          <w:color w:val="auto"/>
          <w:spacing w:val="0"/>
          <w:w w:val="100"/>
          <w:sz w:val="32"/>
          <w:szCs w:val="32"/>
          <w:lang w:val="en-US" w:eastAsia="zh-CN"/>
        </w:rPr>
        <w:t>在原建档立卡已脱贫人口有劳动能力户中，</w:t>
      </w:r>
      <w:r>
        <w:rPr>
          <w:rFonts w:hint="eastAsia" w:ascii="仿宋_GB2312" w:hAnsi="仿宋_GB2312" w:eastAsia="仿宋_GB2312" w:cs="仿宋_GB2312"/>
          <w:snapToGrid w:val="0"/>
          <w:spacing w:val="11"/>
          <w:kern w:val="21"/>
          <w:sz w:val="32"/>
          <w:szCs w:val="32"/>
          <w:lang w:val="en-US" w:eastAsia="zh-CN" w:bidi="ar"/>
        </w:rPr>
        <w:t>按照防贫监测的工作要求，</w:t>
      </w:r>
      <w:r>
        <w:rPr>
          <w:rFonts w:hint="eastAsia" w:ascii="仿宋_GB2312" w:hAnsi="仿宋_GB2312" w:eastAsia="仿宋_GB2312" w:cs="仿宋_GB2312"/>
          <w:b w:val="0"/>
          <w:bCs w:val="0"/>
          <w:i w:val="0"/>
          <w:caps w:val="0"/>
          <w:color w:val="auto"/>
          <w:spacing w:val="0"/>
          <w:w w:val="100"/>
          <w:sz w:val="32"/>
          <w:szCs w:val="32"/>
          <w:lang w:eastAsia="zh-CN"/>
        </w:rPr>
        <w:t>以家庭为单位，按家庭人均可支配收入低于</w:t>
      </w:r>
      <w:r>
        <w:rPr>
          <w:rFonts w:hint="eastAsia" w:ascii="仿宋_GB2312" w:hAnsi="仿宋_GB2312" w:eastAsia="仿宋_GB2312" w:cs="仿宋_GB2312"/>
          <w:b w:val="0"/>
          <w:bCs w:val="0"/>
          <w:i w:val="0"/>
          <w:caps w:val="0"/>
          <w:color w:val="auto"/>
          <w:spacing w:val="0"/>
          <w:w w:val="100"/>
          <w:sz w:val="32"/>
          <w:szCs w:val="32"/>
          <w:lang w:val="en-US" w:eastAsia="zh-CN"/>
        </w:rPr>
        <w:t>9600元、9600元至15354元、15354元以上的参考标准，</w:t>
      </w:r>
      <w:r>
        <w:rPr>
          <w:rFonts w:hint="eastAsia" w:ascii="仿宋_GB2312" w:hAnsi="仿宋_GB2312" w:eastAsia="仿宋_GB2312" w:cs="仿宋_GB2312"/>
          <w:b w:val="0"/>
          <w:i w:val="0"/>
          <w:caps w:val="0"/>
          <w:color w:val="auto"/>
          <w:spacing w:val="0"/>
          <w:w w:val="100"/>
          <w:sz w:val="32"/>
          <w:szCs w:val="32"/>
          <w:lang w:eastAsia="zh-CN"/>
        </w:rPr>
        <w:t>围绕</w:t>
      </w:r>
      <w:r>
        <w:rPr>
          <w:rFonts w:hint="eastAsia" w:ascii="仿宋_GB2312" w:hAnsi="仿宋_GB2312" w:eastAsia="仿宋_GB2312" w:cs="仿宋_GB2312"/>
          <w:b w:val="0"/>
          <w:bCs w:val="0"/>
          <w:i w:val="0"/>
          <w:caps w:val="0"/>
          <w:color w:val="auto"/>
          <w:spacing w:val="0"/>
          <w:w w:val="100"/>
          <w:sz w:val="32"/>
          <w:szCs w:val="32"/>
          <w:lang w:eastAsia="zh-CN"/>
        </w:rPr>
        <w:t>其家庭</w:t>
      </w:r>
      <w:r>
        <w:rPr>
          <w:rFonts w:hint="eastAsia" w:ascii="仿宋_GB2312" w:hAnsi="仿宋_GB2312" w:eastAsia="仿宋_GB2312" w:cs="仿宋_GB2312"/>
          <w:b w:val="0"/>
          <w:i w:val="0"/>
          <w:caps w:val="0"/>
          <w:color w:val="auto"/>
          <w:spacing w:val="0"/>
          <w:w w:val="100"/>
          <w:sz w:val="32"/>
          <w:szCs w:val="32"/>
          <w:lang w:eastAsia="zh-CN"/>
        </w:rPr>
        <w:t>收入支出状况、“两不愁三保障”及饮水安全状况等目标展开排查工作，重点关注大病重病和</w:t>
      </w:r>
      <w:r>
        <w:rPr>
          <w:rFonts w:hint="eastAsia" w:ascii="仿宋_GB2312" w:hAnsi="仿宋_GB2312" w:eastAsia="仿宋_GB2312" w:cs="仿宋_GB2312"/>
          <w:b w:val="0"/>
          <w:bCs w:val="0"/>
          <w:i w:val="0"/>
          <w:caps w:val="0"/>
          <w:color w:val="auto"/>
          <w:spacing w:val="0"/>
          <w:w w:val="100"/>
          <w:sz w:val="32"/>
          <w:szCs w:val="32"/>
          <w:lang w:eastAsia="zh-CN"/>
        </w:rPr>
        <w:t>负担较重的慢性病患者、重</w:t>
      </w:r>
      <w:r>
        <w:rPr>
          <w:rFonts w:hint="eastAsia" w:ascii="仿宋_GB2312" w:hAnsi="仿宋_GB2312" w:eastAsia="仿宋_GB2312" w:cs="仿宋_GB2312"/>
          <w:b w:val="0"/>
          <w:i w:val="0"/>
          <w:caps w:val="0"/>
          <w:color w:val="auto"/>
          <w:spacing w:val="0"/>
          <w:w w:val="100"/>
          <w:sz w:val="32"/>
          <w:szCs w:val="32"/>
          <w:lang w:eastAsia="zh-CN"/>
        </w:rPr>
        <w:t>度残疾人和３级、４级精神残疾人及智力残疾人、失能特困老年人口等特殊群体家庭。对于</w:t>
      </w:r>
      <w:r>
        <w:rPr>
          <w:rFonts w:hint="eastAsia" w:ascii="仿宋_GB2312" w:hAnsi="仿宋_GB2312" w:eastAsia="仿宋_GB2312" w:cs="仿宋_GB2312"/>
          <w:b w:val="0"/>
          <w:bCs w:val="0"/>
          <w:i w:val="0"/>
          <w:caps w:val="0"/>
          <w:color w:val="auto"/>
          <w:spacing w:val="0"/>
          <w:w w:val="100"/>
          <w:sz w:val="32"/>
          <w:szCs w:val="32"/>
          <w:lang w:val="en-US" w:eastAsia="zh-CN"/>
        </w:rPr>
        <w:t>以上三类收入标准人员进行分类识别，并做好相关情况汇总，对符合纳入防贫监测范围的人员及时按照程序组织开展认定申报工作并在系统标识。</w:t>
      </w:r>
    </w:p>
    <w:p>
      <w:pPr>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84" w:firstLineChars="200"/>
        <w:textAlignment w:val="auto"/>
        <w:rPr>
          <w:rFonts w:hint="eastAsia" w:ascii="仿宋_GB2312" w:hAnsi="仿宋_GB2312" w:eastAsia="仿宋_GB2312" w:cs="仿宋_GB2312"/>
          <w:b w:val="0"/>
          <w:i w:val="0"/>
          <w:caps w:val="0"/>
          <w:color w:val="auto"/>
          <w:spacing w:val="0"/>
          <w:w w:val="100"/>
          <w:sz w:val="32"/>
          <w:szCs w:val="32"/>
          <w:lang w:eastAsia="zh-CN"/>
        </w:rPr>
      </w:pPr>
      <w:r>
        <w:rPr>
          <w:rFonts w:hint="eastAsia" w:ascii="仿宋_GB2312" w:hAnsi="仿宋_GB2312" w:eastAsia="仿宋_GB2312" w:cs="仿宋_GB2312"/>
          <w:color w:val="auto"/>
          <w:spacing w:val="11"/>
          <w:kern w:val="2"/>
          <w:sz w:val="32"/>
          <w:szCs w:val="32"/>
          <w:lang w:val="en-US" w:eastAsia="zh-CN"/>
        </w:rPr>
        <w:t>对于原建档立卡无劳动力的兜底脱贫户，只要符合民政低保条件的，保持现有的最低生活保障的兜底政策，由系统自动全部作“返贫致贫风险”监测标识，其中对</w:t>
      </w:r>
      <w:r>
        <w:rPr>
          <w:rFonts w:hint="eastAsia" w:ascii="仿宋_GB2312" w:hAnsi="仿宋_GB2312" w:eastAsia="仿宋_GB2312" w:cs="仿宋_GB2312"/>
          <w:b w:val="0"/>
          <w:bCs w:val="0"/>
          <w:color w:val="auto"/>
          <w:sz w:val="32"/>
          <w:szCs w:val="32"/>
          <w:u w:val="none"/>
          <w:lang w:val="en-US" w:eastAsia="zh-CN"/>
        </w:rPr>
        <w:t>出现因家庭成员患大病、子女教育等支出过大导致其生活困难的监测对象，经会同民政部门线下核实认定后由镇村信息员在系统上按“无劳动能力脱贫不稳定户”做标识，并</w:t>
      </w:r>
      <w:r>
        <w:rPr>
          <w:rFonts w:hint="eastAsia" w:ascii="仿宋_GB2312" w:hAnsi="仿宋_GB2312" w:eastAsia="仿宋_GB2312" w:cs="仿宋_GB2312"/>
          <w:color w:val="auto"/>
          <w:spacing w:val="11"/>
          <w:kern w:val="2"/>
          <w:sz w:val="32"/>
          <w:szCs w:val="32"/>
          <w:lang w:val="en-US" w:eastAsia="zh-CN"/>
        </w:rPr>
        <w:t>纳入“脱贫不稳定户”监测对象另行统计。</w:t>
      </w:r>
    </w:p>
    <w:p>
      <w:pPr>
        <w:keepNext w:val="0"/>
        <w:keepLines w:val="0"/>
        <w:widowControl w:val="0"/>
        <w:numPr>
          <w:ilvl w:val="0"/>
          <w:numId w:val="1"/>
        </w:numPr>
        <w:suppressLineNumbers w:val="0"/>
        <w:spacing w:before="0" w:beforeAutospacing="0" w:after="0" w:afterAutospacing="0" w:line="560" w:lineRule="exact"/>
        <w:ind w:left="0" w:leftChars="0" w:right="0" w:rightChars="0" w:firstLine="684" w:firstLineChars="200"/>
        <w:jc w:val="both"/>
        <w:rPr>
          <w:rFonts w:hint="eastAsia" w:ascii="黑体" w:hAnsi="宋体" w:eastAsia="黑体" w:cs="黑体"/>
          <w:snapToGrid w:val="0"/>
          <w:spacing w:val="11"/>
          <w:kern w:val="21"/>
          <w:sz w:val="32"/>
          <w:szCs w:val="32"/>
          <w:lang w:val="en-US" w:eastAsia="zh-CN" w:bidi="ar"/>
        </w:rPr>
      </w:pPr>
      <w:r>
        <w:rPr>
          <w:rFonts w:hint="eastAsia" w:ascii="黑体" w:hAnsi="宋体" w:eastAsia="黑体" w:cs="黑体"/>
          <w:snapToGrid w:val="0"/>
          <w:spacing w:val="11"/>
          <w:kern w:val="21"/>
          <w:sz w:val="32"/>
          <w:szCs w:val="32"/>
          <w:lang w:val="en-US" w:eastAsia="zh-CN" w:bidi="ar"/>
        </w:rPr>
        <w:t>时间安排</w:t>
      </w:r>
    </w:p>
    <w:p>
      <w:pPr>
        <w:keepNext w:val="0"/>
        <w:keepLines w:val="0"/>
        <w:widowControl w:val="0"/>
        <w:numPr>
          <w:ilvl w:val="0"/>
          <w:numId w:val="0"/>
        </w:numPr>
        <w:suppressLineNumbers w:val="0"/>
        <w:spacing w:before="0" w:beforeAutospacing="0" w:after="0" w:afterAutospacing="0" w:line="560" w:lineRule="exact"/>
        <w:ind w:right="0" w:rightChars="0" w:firstLine="684" w:firstLineChars="200"/>
        <w:jc w:val="both"/>
        <w:rPr>
          <w:rFonts w:hint="eastAsia" w:ascii="仿宋_GB2312" w:hAnsi="仿宋_GB2312" w:eastAsia="仿宋_GB2312" w:cs="仿宋_GB2312"/>
          <w:snapToGrid w:val="0"/>
          <w:spacing w:val="11"/>
          <w:kern w:val="21"/>
          <w:sz w:val="32"/>
          <w:szCs w:val="32"/>
          <w:lang w:val="en-US" w:eastAsia="zh-CN" w:bidi="ar"/>
        </w:rPr>
      </w:pPr>
      <w:r>
        <w:rPr>
          <w:rFonts w:hint="eastAsia" w:ascii="仿宋_GB2312" w:hAnsi="仿宋_GB2312" w:eastAsia="仿宋_GB2312" w:cs="仿宋_GB2312"/>
          <w:snapToGrid w:val="0"/>
          <w:spacing w:val="11"/>
          <w:kern w:val="21"/>
          <w:sz w:val="32"/>
          <w:szCs w:val="32"/>
          <w:lang w:val="en-US" w:eastAsia="zh-CN" w:bidi="ar"/>
        </w:rPr>
        <w:t>各乡镇（街道）要把握好时间节点，确保按时完成此次排查工作任务。</w:t>
      </w:r>
    </w:p>
    <w:p>
      <w:pPr>
        <w:keepNext w:val="0"/>
        <w:keepLines w:val="0"/>
        <w:widowControl w:val="0"/>
        <w:numPr>
          <w:ilvl w:val="0"/>
          <w:numId w:val="2"/>
        </w:numPr>
        <w:suppressLineNumbers w:val="0"/>
        <w:adjustRightInd w:val="0"/>
        <w:snapToGrid w:val="0"/>
        <w:spacing w:before="0" w:beforeAutospacing="0" w:after="0" w:afterAutospacing="0" w:line="560" w:lineRule="exact"/>
        <w:ind w:left="0" w:right="0" w:firstLine="643" w:firstLineChars="200"/>
        <w:jc w:val="both"/>
        <w:rPr>
          <w:rFonts w:hint="eastAsia" w:ascii="仿宋_GB2312" w:hAnsi="仿宋_GB2312" w:eastAsia="仿宋_GB2312" w:cs="仿宋_GB2312"/>
          <w:snapToGrid w:val="0"/>
          <w:spacing w:val="11"/>
          <w:kern w:val="21"/>
          <w:sz w:val="32"/>
          <w:szCs w:val="32"/>
          <w:highlight w:val="none"/>
          <w:lang w:val="en-US" w:eastAsia="zh-CN" w:bidi="ar"/>
        </w:rPr>
      </w:pPr>
      <w:r>
        <w:rPr>
          <w:rFonts w:hint="eastAsia" w:ascii="仿宋_GB2312" w:hAnsi="仿宋_GB2312" w:eastAsia="仿宋_GB2312" w:cs="仿宋_GB2312"/>
          <w:b/>
          <w:bCs/>
          <w:i w:val="0"/>
          <w:caps w:val="0"/>
          <w:color w:val="auto"/>
          <w:spacing w:val="0"/>
          <w:w w:val="100"/>
          <w:kern w:val="2"/>
          <w:sz w:val="32"/>
          <w:szCs w:val="32"/>
          <w:lang w:val="en-US" w:eastAsia="zh-CN" w:bidi="ar-SA"/>
        </w:rPr>
        <w:t>镇、村级排查。</w:t>
      </w:r>
      <w:r>
        <w:rPr>
          <w:rFonts w:hint="eastAsia" w:ascii="仿宋_GB2312" w:hAnsi="仿宋_GB2312" w:eastAsia="仿宋_GB2312" w:cs="仿宋_GB2312"/>
          <w:b w:val="0"/>
          <w:i w:val="0"/>
          <w:caps w:val="0"/>
          <w:color w:val="auto"/>
          <w:spacing w:val="0"/>
          <w:w w:val="100"/>
          <w:kern w:val="2"/>
          <w:sz w:val="32"/>
          <w:szCs w:val="32"/>
          <w:highlight w:val="none"/>
          <w:lang w:val="en-US" w:eastAsia="zh-CN" w:bidi="ar-SA"/>
        </w:rPr>
        <w:t>9月16日至18日，由村两委干部、驻镇帮镇扶村干部、乡村网格员等组成工作核查小组对本村进行全面排查，以村为单位，按照监测对象进行分类汇总，填报《村级防止返贫监测情况核查表》（表1），相关表格需户主、核查人员、村支部书记签名并盖章确认，相关内容要实事求是填写完整。9月22日至24日，由乡镇（街道）组织开展核实工作，</w:t>
      </w:r>
      <w:r>
        <w:rPr>
          <w:rFonts w:hint="eastAsia" w:ascii="仿宋_GB2312" w:hAnsi="仿宋_GB2312" w:eastAsia="仿宋_GB2312" w:cs="仿宋_GB2312"/>
          <w:snapToGrid w:val="0"/>
          <w:spacing w:val="11"/>
          <w:kern w:val="21"/>
          <w:sz w:val="32"/>
          <w:szCs w:val="32"/>
          <w:highlight w:val="none"/>
          <w:lang w:val="en-US" w:eastAsia="zh-CN" w:bidi="ar"/>
        </w:rPr>
        <w:t>乡镇（街道）乡村振兴办牵头各驻镇帮镇扶村人员对村上报的情况进行核实。</w:t>
      </w:r>
      <w:r>
        <w:rPr>
          <w:rFonts w:hint="eastAsia" w:ascii="仿宋_GB2312" w:hAnsi="仿宋_GB2312" w:eastAsia="仿宋_GB2312" w:cs="仿宋_GB2312"/>
          <w:b w:val="0"/>
          <w:i w:val="0"/>
          <w:caps w:val="0"/>
          <w:color w:val="auto"/>
          <w:spacing w:val="0"/>
          <w:w w:val="100"/>
          <w:kern w:val="2"/>
          <w:sz w:val="32"/>
          <w:szCs w:val="32"/>
          <w:highlight w:val="none"/>
          <w:lang w:val="en-US" w:eastAsia="zh-CN" w:bidi="ar-SA"/>
        </w:rPr>
        <w:t>针对家庭人均收入范围在</w:t>
      </w:r>
      <w:r>
        <w:rPr>
          <w:rFonts w:hint="eastAsia" w:ascii="仿宋_GB2312" w:hAnsi="仿宋_GB2312" w:eastAsia="仿宋_GB2312" w:cs="仿宋_GB2312"/>
          <w:b w:val="0"/>
          <w:bCs w:val="0"/>
          <w:i w:val="0"/>
          <w:caps w:val="0"/>
          <w:color w:val="auto"/>
          <w:spacing w:val="0"/>
          <w:w w:val="100"/>
          <w:sz w:val="32"/>
          <w:szCs w:val="32"/>
          <w:highlight w:val="none"/>
          <w:lang w:val="en-US" w:eastAsia="zh-CN"/>
        </w:rPr>
        <w:t>9600元至15354元的</w:t>
      </w:r>
      <w:r>
        <w:rPr>
          <w:rFonts w:hint="eastAsia" w:ascii="仿宋_GB2312" w:hAnsi="仿宋_GB2312" w:eastAsia="仿宋_GB2312" w:cs="仿宋_GB2312"/>
          <w:b w:val="0"/>
          <w:i w:val="0"/>
          <w:caps w:val="0"/>
          <w:color w:val="auto"/>
          <w:spacing w:val="0"/>
          <w:w w:val="100"/>
          <w:kern w:val="2"/>
          <w:sz w:val="32"/>
          <w:szCs w:val="32"/>
          <w:highlight w:val="none"/>
          <w:lang w:val="en-US" w:eastAsia="zh-CN" w:bidi="ar-SA"/>
        </w:rPr>
        <w:t>有劳动能力户还需另外填报《2021年拟认定监测对象乡镇核查表》（表2），各镇</w:t>
      </w:r>
      <w:r>
        <w:rPr>
          <w:rFonts w:hint="eastAsia" w:ascii="仿宋_GB2312" w:hAnsi="仿宋_GB2312" w:eastAsia="仿宋_GB2312" w:cs="仿宋_GB2312"/>
          <w:snapToGrid w:val="0"/>
          <w:spacing w:val="11"/>
          <w:kern w:val="21"/>
          <w:sz w:val="32"/>
          <w:szCs w:val="32"/>
          <w:highlight w:val="none"/>
          <w:lang w:val="en-US" w:eastAsia="zh-CN" w:bidi="ar"/>
        </w:rPr>
        <w:t>要对各村核查上报的情况进行汇总、分析、讨论，对此次排查内容分类指导落实工作措施；对于核实的监测对象情况如实填写好《镇级防止返贫监测帮扶对象情况统计表》（表3），并经镇分管领导确认后加盖政府章于</w:t>
      </w:r>
      <w:r>
        <w:rPr>
          <w:rFonts w:hint="eastAsia" w:ascii="仿宋_GB2312" w:hAnsi="仿宋_GB2312" w:eastAsia="仿宋_GB2312" w:cs="仿宋_GB2312"/>
          <w:spacing w:val="11"/>
          <w:kern w:val="21"/>
          <w:sz w:val="32"/>
          <w:szCs w:val="32"/>
          <w:highlight w:val="none"/>
          <w:lang w:val="en-US" w:eastAsia="zh-CN" w:bidi="ar"/>
        </w:rPr>
        <w:t>9</w:t>
      </w:r>
      <w:r>
        <w:rPr>
          <w:rFonts w:hint="eastAsia" w:ascii="仿宋_GB2312" w:hAnsi="仿宋_GB2312" w:eastAsia="仿宋_GB2312" w:cs="仿宋_GB2312"/>
          <w:snapToGrid w:val="0"/>
          <w:spacing w:val="11"/>
          <w:kern w:val="21"/>
          <w:sz w:val="32"/>
          <w:szCs w:val="32"/>
          <w:highlight w:val="none"/>
          <w:lang w:val="en-US" w:eastAsia="zh-CN" w:bidi="ar"/>
        </w:rPr>
        <w:t>月</w:t>
      </w:r>
      <w:r>
        <w:rPr>
          <w:rFonts w:hint="eastAsia" w:ascii="仿宋_GB2312" w:hAnsi="仿宋_GB2312" w:eastAsia="仿宋_GB2312" w:cs="仿宋_GB2312"/>
          <w:spacing w:val="11"/>
          <w:kern w:val="21"/>
          <w:sz w:val="32"/>
          <w:szCs w:val="32"/>
          <w:highlight w:val="none"/>
          <w:lang w:val="en-US" w:eastAsia="zh-CN" w:bidi="ar"/>
        </w:rPr>
        <w:t>29</w:t>
      </w:r>
      <w:r>
        <w:rPr>
          <w:rFonts w:hint="eastAsia" w:ascii="仿宋_GB2312" w:hAnsi="仿宋_GB2312" w:eastAsia="仿宋_GB2312" w:cs="仿宋_GB2312"/>
          <w:snapToGrid w:val="0"/>
          <w:spacing w:val="11"/>
          <w:kern w:val="21"/>
          <w:sz w:val="32"/>
          <w:szCs w:val="32"/>
          <w:highlight w:val="none"/>
          <w:lang w:val="en-US" w:eastAsia="zh-CN" w:bidi="ar"/>
        </w:rPr>
        <w:t>日前上报县乡村振兴局。</w:t>
      </w:r>
    </w:p>
    <w:p>
      <w:pPr>
        <w:keepNext w:val="0"/>
        <w:keepLines w:val="0"/>
        <w:widowControl w:val="0"/>
        <w:numPr>
          <w:ilvl w:val="0"/>
          <w:numId w:val="2"/>
        </w:numPr>
        <w:suppressLineNumbers w:val="0"/>
        <w:adjustRightInd w:val="0"/>
        <w:snapToGrid w:val="0"/>
        <w:spacing w:before="0" w:beforeAutospacing="0" w:after="0" w:afterAutospacing="0" w:line="560" w:lineRule="exact"/>
        <w:ind w:left="0" w:right="0" w:firstLine="687" w:firstLineChars="200"/>
        <w:jc w:val="both"/>
        <w:rPr>
          <w:rFonts w:hint="default" w:ascii="仿宋_GB2312" w:hAnsi="仿宋_GB2312" w:eastAsia="仿宋_GB2312" w:cs="仿宋_GB2312"/>
          <w:b w:val="0"/>
          <w:i w:val="0"/>
          <w:caps w:val="0"/>
          <w:color w:val="auto"/>
          <w:spacing w:val="0"/>
          <w:w w:val="100"/>
          <w:kern w:val="2"/>
          <w:sz w:val="32"/>
          <w:szCs w:val="32"/>
          <w:lang w:val="en-US" w:eastAsia="zh-CN" w:bidi="ar-SA"/>
        </w:rPr>
      </w:pPr>
      <w:r>
        <w:rPr>
          <w:rFonts w:hint="eastAsia" w:ascii="仿宋_GB2312" w:hAnsi="仿宋_GB2312" w:eastAsia="仿宋_GB2312" w:cs="仿宋_GB2312"/>
          <w:b/>
          <w:bCs/>
          <w:snapToGrid w:val="0"/>
          <w:spacing w:val="11"/>
          <w:kern w:val="21"/>
          <w:sz w:val="32"/>
          <w:szCs w:val="32"/>
          <w:highlight w:val="none"/>
          <w:lang w:val="en-US" w:eastAsia="zh-CN" w:bidi="ar"/>
        </w:rPr>
        <w:t>县级评估。</w:t>
      </w:r>
      <w:r>
        <w:rPr>
          <w:rFonts w:hint="eastAsia" w:ascii="仿宋_GB2312" w:hAnsi="仿宋_GB2312" w:eastAsia="仿宋_GB2312" w:cs="仿宋_GB2312"/>
          <w:snapToGrid w:val="0"/>
          <w:spacing w:val="11"/>
          <w:kern w:val="21"/>
          <w:sz w:val="32"/>
          <w:szCs w:val="32"/>
          <w:highlight w:val="none"/>
          <w:lang w:val="en-US" w:eastAsia="zh-CN" w:bidi="ar"/>
        </w:rPr>
        <w:t>10月11日起，县</w:t>
      </w:r>
      <w:r>
        <w:rPr>
          <w:rFonts w:hint="eastAsia" w:ascii="仿宋_GB2312" w:hAnsi="仿宋_GB2312" w:eastAsia="仿宋_GB2312" w:cs="仿宋_GB2312"/>
          <w:snapToGrid w:val="0"/>
          <w:spacing w:val="11"/>
          <w:kern w:val="21"/>
          <w:sz w:val="32"/>
          <w:szCs w:val="32"/>
          <w:lang w:val="en-US" w:eastAsia="zh-CN" w:bidi="ar"/>
        </w:rPr>
        <w:t>乡村振兴局组织人员将对此次摸排上报情况进行审核汇总，并将审核结果报县政府审定，待县政府审定批复后组织人员线上录入监测对象信息。</w:t>
      </w:r>
    </w:p>
    <w:p>
      <w:pPr>
        <w:keepNext w:val="0"/>
        <w:keepLines w:val="0"/>
        <w:widowControl w:val="0"/>
        <w:numPr>
          <w:ilvl w:val="0"/>
          <w:numId w:val="1"/>
        </w:numPr>
        <w:suppressLineNumbers w:val="0"/>
        <w:spacing w:before="0" w:beforeAutospacing="0" w:after="0" w:afterAutospacing="0" w:line="560" w:lineRule="exact"/>
        <w:ind w:left="0" w:leftChars="0" w:right="0" w:rightChars="0" w:firstLine="684" w:firstLineChars="200"/>
        <w:jc w:val="both"/>
        <w:rPr>
          <w:rFonts w:hint="default" w:ascii="黑体" w:hAnsi="宋体" w:eastAsia="黑体" w:cs="黑体"/>
          <w:snapToGrid w:val="0"/>
          <w:spacing w:val="11"/>
          <w:kern w:val="21"/>
          <w:sz w:val="32"/>
          <w:szCs w:val="32"/>
          <w:lang w:val="en-US" w:eastAsia="zh-CN" w:bidi="ar"/>
        </w:rPr>
      </w:pPr>
      <w:r>
        <w:rPr>
          <w:rFonts w:hint="eastAsia" w:ascii="黑体" w:hAnsi="宋体" w:eastAsia="黑体" w:cs="黑体"/>
          <w:snapToGrid w:val="0"/>
          <w:spacing w:val="11"/>
          <w:kern w:val="21"/>
          <w:sz w:val="32"/>
          <w:szCs w:val="32"/>
          <w:lang w:val="en-US" w:eastAsia="zh-CN" w:bidi="ar"/>
        </w:rPr>
        <w:t>工作要求</w:t>
      </w:r>
    </w:p>
    <w:p>
      <w:pPr>
        <w:keepNext w:val="0"/>
        <w:keepLines w:val="0"/>
        <w:widowControl w:val="0"/>
        <w:numPr>
          <w:ilvl w:val="0"/>
          <w:numId w:val="3"/>
        </w:numPr>
        <w:suppressLineNumbers w:val="0"/>
        <w:adjustRightInd w:val="0"/>
        <w:snapToGrid w:val="0"/>
        <w:spacing w:before="0" w:beforeAutospacing="0" w:after="0" w:afterAutospacing="0" w:line="560" w:lineRule="exact"/>
        <w:ind w:left="0" w:right="0" w:firstLine="684" w:firstLineChars="200"/>
        <w:jc w:val="both"/>
        <w:rPr>
          <w:rFonts w:hint="eastAsia" w:ascii="仿宋_GB2312" w:hAnsi="仿宋_GB2312" w:eastAsia="仿宋_GB2312" w:cs="仿宋_GB2312"/>
          <w:spacing w:val="11"/>
          <w:kern w:val="21"/>
          <w:sz w:val="32"/>
          <w:szCs w:val="32"/>
          <w:lang w:val="en-US" w:eastAsia="zh-CN" w:bidi="ar"/>
        </w:rPr>
      </w:pPr>
      <w:r>
        <w:rPr>
          <w:rFonts w:hint="eastAsia" w:ascii="仿宋_GB2312" w:hAnsi="仿宋_GB2312" w:eastAsia="仿宋_GB2312" w:cs="仿宋_GB2312"/>
          <w:snapToGrid w:val="0"/>
          <w:spacing w:val="11"/>
          <w:kern w:val="21"/>
          <w:sz w:val="32"/>
          <w:szCs w:val="32"/>
          <w:lang w:val="en-US" w:eastAsia="zh-CN" w:bidi="ar"/>
        </w:rPr>
        <w:t>加强组织领导。各乡镇（街道）人民政府（办事处）、管委会和乡村振兴部门、驻镇帮镇扶村干部务必高度重视，切实履行主体责任，加强统</w:t>
      </w:r>
      <w:bookmarkStart w:id="0" w:name="_GoBack"/>
      <w:bookmarkEnd w:id="0"/>
      <w:r>
        <w:rPr>
          <w:rFonts w:hint="eastAsia" w:ascii="仿宋_GB2312" w:hAnsi="仿宋_GB2312" w:eastAsia="仿宋_GB2312" w:cs="仿宋_GB2312"/>
          <w:snapToGrid w:val="0"/>
          <w:spacing w:val="11"/>
          <w:kern w:val="21"/>
          <w:sz w:val="32"/>
          <w:szCs w:val="32"/>
          <w:lang w:val="en-US" w:eastAsia="zh-CN" w:bidi="ar"/>
        </w:rPr>
        <w:t>筹协调</w:t>
      </w:r>
      <w:r>
        <w:rPr>
          <w:rFonts w:hint="eastAsia" w:ascii="仿宋_GB2312" w:hAnsi="仿宋_GB2312" w:eastAsia="仿宋_GB2312" w:cs="仿宋_GB2312"/>
          <w:spacing w:val="11"/>
          <w:kern w:val="21"/>
          <w:sz w:val="32"/>
          <w:szCs w:val="32"/>
          <w:lang w:val="en-US" w:eastAsia="zh-CN" w:bidi="ar"/>
        </w:rPr>
        <w:t xml:space="preserve">, </w:t>
      </w:r>
      <w:r>
        <w:rPr>
          <w:rFonts w:hint="eastAsia" w:ascii="仿宋_GB2312" w:hAnsi="仿宋_GB2312" w:eastAsia="仿宋_GB2312" w:cs="仿宋_GB2312"/>
          <w:snapToGrid w:val="0"/>
          <w:spacing w:val="11"/>
          <w:kern w:val="21"/>
          <w:sz w:val="32"/>
          <w:szCs w:val="32"/>
          <w:lang w:val="en-US" w:eastAsia="zh-CN" w:bidi="ar"/>
        </w:rPr>
        <w:t>精心组织</w:t>
      </w:r>
      <w:r>
        <w:rPr>
          <w:rFonts w:hint="eastAsia" w:ascii="仿宋_GB2312" w:hAnsi="仿宋_GB2312" w:eastAsia="仿宋_GB2312" w:cs="仿宋_GB2312"/>
          <w:spacing w:val="11"/>
          <w:kern w:val="21"/>
          <w:sz w:val="32"/>
          <w:szCs w:val="32"/>
          <w:lang w:val="en-US" w:eastAsia="zh-CN" w:bidi="ar"/>
        </w:rPr>
        <w:t>,</w:t>
      </w:r>
      <w:r>
        <w:rPr>
          <w:rFonts w:hint="eastAsia" w:ascii="仿宋_GB2312" w:hAnsi="仿宋_GB2312" w:eastAsia="仿宋_GB2312" w:cs="仿宋_GB2312"/>
          <w:snapToGrid w:val="0"/>
          <w:spacing w:val="11"/>
          <w:kern w:val="21"/>
          <w:sz w:val="32"/>
          <w:szCs w:val="32"/>
          <w:lang w:val="en-US" w:eastAsia="zh-CN" w:bidi="ar"/>
        </w:rPr>
        <w:t>制定具体方案，确保按时高质量完成任务。要充分调动力量，集中时间组织开展排查工作。</w:t>
      </w:r>
      <w:r>
        <w:rPr>
          <w:rFonts w:hint="eastAsia" w:ascii="仿宋_GB2312" w:hAnsi="仿宋_GB2312" w:eastAsia="仿宋_GB2312" w:cs="仿宋_GB2312"/>
          <w:spacing w:val="11"/>
          <w:kern w:val="21"/>
          <w:sz w:val="32"/>
          <w:szCs w:val="32"/>
          <w:lang w:val="en-US" w:eastAsia="zh-CN" w:bidi="ar"/>
        </w:rPr>
        <w:t xml:space="preserve"> </w:t>
      </w:r>
    </w:p>
    <w:p>
      <w:pPr>
        <w:keepNext w:val="0"/>
        <w:keepLines w:val="0"/>
        <w:widowControl w:val="0"/>
        <w:numPr>
          <w:ilvl w:val="0"/>
          <w:numId w:val="3"/>
        </w:numPr>
        <w:suppressLineNumbers w:val="0"/>
        <w:adjustRightInd w:val="0"/>
        <w:snapToGrid w:val="0"/>
        <w:spacing w:before="0" w:beforeAutospacing="0" w:after="0" w:afterAutospacing="0" w:line="560" w:lineRule="exact"/>
        <w:ind w:left="0" w:right="0" w:firstLine="684" w:firstLineChars="200"/>
        <w:jc w:val="both"/>
        <w:rPr>
          <w:rFonts w:hint="eastAsia" w:ascii="仿宋_GB2312" w:hAnsi="仿宋_GB2312" w:eastAsia="仿宋_GB2312" w:cs="仿宋_GB2312"/>
          <w:spacing w:val="11"/>
          <w:kern w:val="21"/>
          <w:sz w:val="32"/>
          <w:szCs w:val="32"/>
          <w:lang w:val="en-US" w:eastAsia="zh-CN" w:bidi="ar"/>
        </w:rPr>
      </w:pPr>
      <w:r>
        <w:rPr>
          <w:rFonts w:hint="eastAsia" w:ascii="仿宋_GB2312" w:hAnsi="仿宋_GB2312" w:eastAsia="仿宋_GB2312" w:cs="仿宋_GB2312"/>
          <w:spacing w:val="11"/>
          <w:kern w:val="21"/>
          <w:sz w:val="32"/>
          <w:szCs w:val="32"/>
          <w:lang w:val="en-US" w:eastAsia="zh-CN" w:bidi="ar"/>
        </w:rPr>
        <w:t>严格考核评估。省将防止返贫动态监测与帮扶工作纳入过渡期巩固拓展脱贫攻坚成果评估、实施乡村振兴战略实绩考核范围，强化考核结果运用。各乡镇（街道）、管委会要按要求做好相关台账，确保工作开展有章可循、有据可查。</w:t>
      </w:r>
    </w:p>
    <w:p>
      <w:pPr>
        <w:keepNext w:val="0"/>
        <w:keepLines w:val="0"/>
        <w:widowControl w:val="0"/>
        <w:numPr>
          <w:ilvl w:val="0"/>
          <w:numId w:val="3"/>
        </w:numPr>
        <w:suppressLineNumbers w:val="0"/>
        <w:adjustRightInd w:val="0"/>
        <w:snapToGrid w:val="0"/>
        <w:spacing w:before="0" w:beforeAutospacing="0" w:after="0" w:afterAutospacing="0" w:line="560" w:lineRule="exact"/>
        <w:ind w:left="0" w:right="0" w:firstLine="684" w:firstLineChars="200"/>
        <w:jc w:val="both"/>
        <w:rPr>
          <w:rFonts w:hint="eastAsia" w:ascii="仿宋_GB2312" w:hAnsi="仿宋_GB2312" w:eastAsia="仿宋_GB2312" w:cs="仿宋_GB2312"/>
          <w:spacing w:val="11"/>
          <w:kern w:val="21"/>
          <w:sz w:val="32"/>
          <w:szCs w:val="32"/>
          <w:lang w:val="en-US" w:eastAsia="zh-CN" w:bidi="ar"/>
        </w:rPr>
      </w:pPr>
      <w:r>
        <w:rPr>
          <w:rFonts w:hint="eastAsia" w:ascii="仿宋_GB2312" w:hAnsi="仿宋_GB2312" w:eastAsia="仿宋_GB2312" w:cs="仿宋_GB2312"/>
          <w:spacing w:val="11"/>
          <w:kern w:val="21"/>
          <w:sz w:val="32"/>
          <w:szCs w:val="32"/>
          <w:lang w:val="en-US" w:eastAsia="zh-CN" w:bidi="ar"/>
        </w:rPr>
        <w:t>健全政策帮扶。健全完善返贫致贫监测对象的帮扶机制，及时排查规模性返贫风险，科学制定防范措施，落实帮扶举措，坚决守住不发生规模性返贫的底线。</w:t>
      </w:r>
    </w:p>
    <w:p>
      <w:pPr>
        <w:keepNext w:val="0"/>
        <w:keepLines w:val="0"/>
        <w:widowControl w:val="0"/>
        <w:numPr>
          <w:ilvl w:val="0"/>
          <w:numId w:val="0"/>
        </w:numPr>
        <w:suppressLineNumbers w:val="0"/>
        <w:adjustRightInd w:val="0"/>
        <w:snapToGrid w:val="0"/>
        <w:spacing w:before="0" w:beforeAutospacing="0" w:after="0" w:afterAutospacing="0" w:line="560" w:lineRule="exact"/>
        <w:ind w:right="0" w:rightChars="0"/>
        <w:jc w:val="both"/>
        <w:rPr>
          <w:rFonts w:hint="eastAsia" w:ascii="仿宋_GB2312" w:hAnsi="仿宋_GB2312" w:eastAsia="仿宋_GB2312" w:cs="仿宋_GB2312"/>
          <w:spacing w:val="11"/>
          <w:kern w:val="21"/>
          <w:sz w:val="32"/>
          <w:szCs w:val="32"/>
          <w:lang w:val="en-US" w:eastAsia="zh-CN" w:bidi="ar"/>
        </w:rPr>
      </w:pPr>
    </w:p>
    <w:p>
      <w:pPr>
        <w:keepNext w:val="0"/>
        <w:keepLines w:val="0"/>
        <w:widowControl w:val="0"/>
        <w:numPr>
          <w:ilvl w:val="0"/>
          <w:numId w:val="0"/>
        </w:numPr>
        <w:suppressLineNumbers w:val="0"/>
        <w:adjustRightInd w:val="0"/>
        <w:snapToGrid w:val="0"/>
        <w:spacing w:before="0" w:beforeAutospacing="0" w:after="0" w:afterAutospacing="0" w:line="560" w:lineRule="exact"/>
        <w:ind w:right="0" w:rightChars="0" w:firstLine="684" w:firstLineChars="200"/>
        <w:jc w:val="both"/>
        <w:rPr>
          <w:rFonts w:hint="eastAsia" w:ascii="方正仿宋_GB2312" w:hAnsi="方正仿宋_GB2312" w:eastAsia="方正仿宋_GB2312" w:cs="方正仿宋_GB2312"/>
          <w:color w:val="1C1B10"/>
          <w:kern w:val="2"/>
          <w:sz w:val="32"/>
          <w:szCs w:val="32"/>
          <w:lang w:val="en-US" w:eastAsia="zh-CN" w:bidi="ar"/>
        </w:rPr>
      </w:pPr>
      <w:r>
        <w:rPr>
          <w:rFonts w:hint="eastAsia" w:ascii="方正仿宋_GB2312" w:hAnsi="方正仿宋_GB2312" w:eastAsia="方正仿宋_GB2312" w:cs="方正仿宋_GB2312"/>
          <w:spacing w:val="11"/>
          <w:kern w:val="21"/>
          <w:sz w:val="32"/>
          <w:szCs w:val="32"/>
          <w:lang w:val="en-US" w:eastAsia="zh-CN" w:bidi="ar"/>
        </w:rPr>
        <w:t>附件1：《</w:t>
      </w:r>
      <w:r>
        <w:rPr>
          <w:rFonts w:hint="eastAsia" w:ascii="方正仿宋_GB2312" w:hAnsi="方正仿宋_GB2312" w:eastAsia="方正仿宋_GB2312" w:cs="方正仿宋_GB2312"/>
          <w:color w:val="1C1B10"/>
          <w:kern w:val="2"/>
          <w:sz w:val="32"/>
          <w:szCs w:val="32"/>
          <w:lang w:val="en-US" w:eastAsia="zh-CN" w:bidi="ar"/>
        </w:rPr>
        <w:t>关于健全防止返贫动态监测和帮扶机制的实施意见</w:t>
      </w:r>
      <w:r>
        <w:rPr>
          <w:rFonts w:hint="eastAsia" w:ascii="方正仿宋_GB2312" w:hAnsi="方正仿宋_GB2312" w:eastAsia="方正仿宋_GB2312" w:cs="方正仿宋_GB2312"/>
          <w:spacing w:val="11"/>
          <w:kern w:val="21"/>
          <w:sz w:val="32"/>
          <w:szCs w:val="32"/>
          <w:lang w:val="en-US" w:eastAsia="zh-CN" w:bidi="ar"/>
        </w:rPr>
        <w:t>》</w:t>
      </w:r>
      <w:r>
        <w:rPr>
          <w:rFonts w:hint="eastAsia" w:ascii="方正仿宋_GB2312" w:hAnsi="方正仿宋_GB2312" w:eastAsia="方正仿宋_GB2312" w:cs="方正仿宋_GB2312"/>
          <w:color w:val="1C1B10"/>
          <w:kern w:val="2"/>
          <w:sz w:val="32"/>
          <w:szCs w:val="32"/>
          <w:lang w:val="en-US" w:eastAsia="zh-CN" w:bidi="ar"/>
        </w:rPr>
        <w:t>（粤农组</w:t>
      </w:r>
      <w:r>
        <w:rPr>
          <w:rFonts w:hint="eastAsia" w:ascii="方正仿宋_GB2312" w:hAnsi="方正仿宋_GB2312" w:eastAsia="方正仿宋_GB2312" w:cs="方正仿宋_GB2312"/>
          <w:kern w:val="2"/>
          <w:sz w:val="32"/>
          <w:szCs w:val="32"/>
          <w:lang w:val="en-US" w:eastAsia="zh-CN" w:bidi="ar"/>
        </w:rPr>
        <w:t>〔2021〕8号</w:t>
      </w:r>
      <w:r>
        <w:rPr>
          <w:rFonts w:hint="eastAsia" w:ascii="方正仿宋_GB2312" w:hAnsi="方正仿宋_GB2312" w:eastAsia="方正仿宋_GB2312" w:cs="方正仿宋_GB2312"/>
          <w:color w:val="1C1B10"/>
          <w:kern w:val="2"/>
          <w:sz w:val="32"/>
          <w:szCs w:val="32"/>
          <w:lang w:val="en-US" w:eastAsia="zh-CN" w:bidi="ar"/>
        </w:rPr>
        <w:t>）</w:t>
      </w:r>
    </w:p>
    <w:p>
      <w:pPr>
        <w:keepNext w:val="0"/>
        <w:keepLines w:val="0"/>
        <w:widowControl w:val="0"/>
        <w:numPr>
          <w:ilvl w:val="0"/>
          <w:numId w:val="0"/>
        </w:numPr>
        <w:suppressLineNumbers w:val="0"/>
        <w:adjustRightInd w:val="0"/>
        <w:snapToGrid w:val="0"/>
        <w:spacing w:before="0" w:beforeAutospacing="0" w:after="0" w:afterAutospacing="0" w:line="560" w:lineRule="exact"/>
        <w:ind w:right="0" w:rightChars="0" w:firstLine="640" w:firstLineChars="200"/>
        <w:jc w:val="both"/>
        <w:rPr>
          <w:rFonts w:hint="eastAsia" w:ascii="方正仿宋_GB2312" w:hAnsi="方正仿宋_GB2312" w:eastAsia="方正仿宋_GB2312" w:cs="方正仿宋_GB2312"/>
          <w:color w:val="1C1B10"/>
          <w:kern w:val="2"/>
          <w:sz w:val="32"/>
          <w:szCs w:val="32"/>
          <w:lang w:val="en-US" w:eastAsia="zh-CN" w:bidi="ar"/>
        </w:rPr>
      </w:pPr>
      <w:r>
        <w:rPr>
          <w:rFonts w:hint="eastAsia" w:ascii="方正仿宋_GB2312" w:hAnsi="方正仿宋_GB2312" w:eastAsia="方正仿宋_GB2312" w:cs="方正仿宋_GB2312"/>
          <w:color w:val="1C1B10"/>
          <w:kern w:val="2"/>
          <w:sz w:val="32"/>
          <w:szCs w:val="32"/>
          <w:lang w:val="en-US" w:eastAsia="zh-CN" w:bidi="ar"/>
        </w:rPr>
        <w:t>附件2：</w:t>
      </w:r>
      <w:r>
        <w:rPr>
          <w:rFonts w:hint="eastAsia" w:ascii="方正仿宋_GB2312" w:hAnsi="方正仿宋_GB2312" w:eastAsia="方正仿宋_GB2312" w:cs="方正仿宋_GB2312"/>
          <w:b w:val="0"/>
          <w:bCs w:val="0"/>
          <w:i w:val="0"/>
          <w:caps w:val="0"/>
          <w:color w:val="auto"/>
          <w:spacing w:val="0"/>
          <w:w w:val="100"/>
          <w:sz w:val="32"/>
          <w:szCs w:val="32"/>
          <w:lang w:eastAsia="zh-CN"/>
        </w:rPr>
        <w:t>《关于实现巩固拓展脱贫攻坚成果同乡村振兴有效衔接的实施意见》</w:t>
      </w:r>
      <w:r>
        <w:rPr>
          <w:rFonts w:hint="eastAsia" w:ascii="方正仿宋_GB2312" w:hAnsi="方正仿宋_GB2312" w:eastAsia="方正仿宋_GB2312" w:cs="方正仿宋_GB2312"/>
          <w:color w:val="1C1B10"/>
          <w:kern w:val="2"/>
          <w:sz w:val="32"/>
          <w:szCs w:val="32"/>
          <w:lang w:val="en-US" w:eastAsia="zh-CN" w:bidi="ar"/>
        </w:rPr>
        <w:t>（粤发</w:t>
      </w:r>
      <w:r>
        <w:rPr>
          <w:rFonts w:hint="eastAsia" w:ascii="方正仿宋_GB2312" w:hAnsi="方正仿宋_GB2312" w:eastAsia="方正仿宋_GB2312" w:cs="方正仿宋_GB2312"/>
          <w:kern w:val="2"/>
          <w:sz w:val="32"/>
          <w:szCs w:val="32"/>
          <w:lang w:val="en-US" w:eastAsia="zh-CN" w:bidi="ar"/>
        </w:rPr>
        <w:t>〔2021〕10号</w:t>
      </w:r>
      <w:r>
        <w:rPr>
          <w:rFonts w:hint="eastAsia" w:ascii="方正仿宋_GB2312" w:hAnsi="方正仿宋_GB2312" w:eastAsia="方正仿宋_GB2312" w:cs="方正仿宋_GB2312"/>
          <w:color w:val="1C1B10"/>
          <w:kern w:val="2"/>
          <w:sz w:val="32"/>
          <w:szCs w:val="32"/>
          <w:lang w:val="en-US" w:eastAsia="zh-CN" w:bidi="ar"/>
        </w:rPr>
        <w:t>）</w:t>
      </w:r>
    </w:p>
    <w:p>
      <w:pPr>
        <w:keepNext w:val="0"/>
        <w:keepLines w:val="0"/>
        <w:widowControl w:val="0"/>
        <w:numPr>
          <w:ilvl w:val="0"/>
          <w:numId w:val="0"/>
        </w:numPr>
        <w:suppressLineNumbers w:val="0"/>
        <w:adjustRightInd w:val="0"/>
        <w:snapToGrid w:val="0"/>
        <w:spacing w:before="0" w:beforeAutospacing="0" w:after="0" w:afterAutospacing="0" w:line="560" w:lineRule="exact"/>
        <w:ind w:right="0" w:rightChars="0" w:firstLine="640" w:firstLineChars="200"/>
        <w:jc w:val="both"/>
        <w:rPr>
          <w:rFonts w:hint="eastAsia" w:ascii="仿宋_GB2312" w:hAnsi="仿宋_GB2312" w:eastAsia="仿宋_GB2312" w:cs="仿宋_GB2312"/>
          <w:b w:val="0"/>
          <w:bCs w:val="0"/>
          <w:i w:val="0"/>
          <w:caps w:val="0"/>
          <w:color w:val="auto"/>
          <w:spacing w:val="0"/>
          <w:w w:val="100"/>
          <w:sz w:val="32"/>
          <w:szCs w:val="32"/>
          <w:lang w:eastAsia="zh-CN"/>
        </w:rPr>
      </w:pPr>
      <w:r>
        <w:rPr>
          <w:rFonts w:hint="eastAsia" w:ascii="方正仿宋_GB2312" w:hAnsi="方正仿宋_GB2312" w:eastAsia="方正仿宋_GB2312" w:cs="方正仿宋_GB2312"/>
          <w:b w:val="0"/>
          <w:i w:val="0"/>
          <w:caps w:val="0"/>
          <w:color w:val="auto"/>
          <w:spacing w:val="0"/>
          <w:w w:val="100"/>
          <w:kern w:val="2"/>
          <w:sz w:val="32"/>
          <w:szCs w:val="32"/>
          <w:lang w:val="en-US" w:eastAsia="zh-CN" w:bidi="ar-SA"/>
        </w:rPr>
        <w:t>附件3：</w:t>
      </w:r>
      <w:r>
        <w:rPr>
          <w:rFonts w:hint="eastAsia" w:ascii="仿宋_GB2312" w:hAnsi="仿宋_GB2312" w:eastAsia="仿宋_GB2312" w:cs="仿宋_GB2312"/>
          <w:b w:val="0"/>
          <w:bCs w:val="0"/>
          <w:i w:val="0"/>
          <w:caps w:val="0"/>
          <w:color w:val="auto"/>
          <w:spacing w:val="0"/>
          <w:w w:val="100"/>
          <w:sz w:val="32"/>
          <w:szCs w:val="32"/>
          <w:lang w:eastAsia="zh-CN"/>
        </w:rPr>
        <w:t>《关于完善防贫监测和帮扶工作台账的事项》</w:t>
      </w:r>
    </w:p>
    <w:p>
      <w:pPr>
        <w:keepNext w:val="0"/>
        <w:keepLines w:val="0"/>
        <w:widowControl w:val="0"/>
        <w:numPr>
          <w:ilvl w:val="0"/>
          <w:numId w:val="0"/>
        </w:numPr>
        <w:suppressLineNumbers w:val="0"/>
        <w:adjustRightInd w:val="0"/>
        <w:snapToGrid w:val="0"/>
        <w:spacing w:before="0" w:beforeAutospacing="0" w:after="0" w:afterAutospacing="0" w:line="560" w:lineRule="exact"/>
        <w:ind w:right="0" w:rightChars="0" w:firstLine="640" w:firstLineChars="200"/>
        <w:jc w:val="both"/>
        <w:rPr>
          <w:rFonts w:hint="eastAsia" w:ascii="仿宋_GB2312" w:hAnsi="仿宋_GB2312" w:eastAsia="仿宋_GB2312" w:cs="仿宋_GB2312"/>
          <w:b w:val="0"/>
          <w:bCs w:val="0"/>
          <w:i w:val="0"/>
          <w:caps w:val="0"/>
          <w:color w:val="auto"/>
          <w:spacing w:val="0"/>
          <w:w w:val="100"/>
          <w:sz w:val="32"/>
          <w:szCs w:val="32"/>
          <w:lang w:eastAsia="zh-CN"/>
        </w:rPr>
      </w:pPr>
    </w:p>
    <w:p>
      <w:pPr>
        <w:keepNext w:val="0"/>
        <w:keepLines w:val="0"/>
        <w:widowControl w:val="0"/>
        <w:numPr>
          <w:ilvl w:val="0"/>
          <w:numId w:val="0"/>
        </w:numPr>
        <w:suppressLineNumbers w:val="0"/>
        <w:adjustRightInd w:val="0"/>
        <w:snapToGrid w:val="0"/>
        <w:spacing w:before="0" w:beforeAutospacing="0" w:after="0" w:afterAutospacing="0" w:line="560" w:lineRule="exact"/>
        <w:ind w:right="0" w:rightChars="0" w:firstLine="640" w:firstLineChars="200"/>
        <w:jc w:val="both"/>
        <w:rPr>
          <w:rFonts w:hint="eastAsia" w:ascii="方正仿宋_GB2312" w:hAnsi="方正仿宋_GB2312" w:eastAsia="方正仿宋_GB2312" w:cs="方正仿宋_GB2312"/>
          <w:b w:val="0"/>
          <w:bCs w:val="0"/>
          <w:i w:val="0"/>
          <w:caps w:val="0"/>
          <w:color w:val="auto"/>
          <w:spacing w:val="0"/>
          <w:w w:val="100"/>
          <w:sz w:val="32"/>
          <w:szCs w:val="32"/>
          <w:lang w:val="en-US" w:eastAsia="zh-CN"/>
        </w:rPr>
      </w:pPr>
      <w:r>
        <w:rPr>
          <w:rFonts w:hint="eastAsia" w:ascii="方正仿宋_GB2312" w:hAnsi="方正仿宋_GB2312" w:eastAsia="方正仿宋_GB2312" w:cs="方正仿宋_GB2312"/>
          <w:b w:val="0"/>
          <w:bCs w:val="0"/>
          <w:i w:val="0"/>
          <w:caps w:val="0"/>
          <w:color w:val="auto"/>
          <w:spacing w:val="0"/>
          <w:w w:val="100"/>
          <w:sz w:val="32"/>
          <w:szCs w:val="32"/>
          <w:lang w:eastAsia="zh-CN"/>
        </w:rPr>
        <w:t>表</w:t>
      </w:r>
      <w:r>
        <w:rPr>
          <w:rFonts w:hint="eastAsia" w:ascii="方正仿宋_GB2312" w:hAnsi="方正仿宋_GB2312" w:eastAsia="方正仿宋_GB2312" w:cs="方正仿宋_GB2312"/>
          <w:b w:val="0"/>
          <w:bCs w:val="0"/>
          <w:i w:val="0"/>
          <w:caps w:val="0"/>
          <w:color w:val="auto"/>
          <w:spacing w:val="0"/>
          <w:w w:val="100"/>
          <w:sz w:val="32"/>
          <w:szCs w:val="32"/>
          <w:lang w:val="en-US" w:eastAsia="zh-CN"/>
        </w:rPr>
        <w:t>1：村级防止返贫监测情况核查表</w:t>
      </w:r>
    </w:p>
    <w:p>
      <w:pPr>
        <w:keepNext w:val="0"/>
        <w:keepLines w:val="0"/>
        <w:widowControl w:val="0"/>
        <w:numPr>
          <w:ilvl w:val="0"/>
          <w:numId w:val="0"/>
        </w:numPr>
        <w:suppressLineNumbers w:val="0"/>
        <w:adjustRightInd w:val="0"/>
        <w:snapToGrid w:val="0"/>
        <w:spacing w:before="0" w:beforeAutospacing="0" w:after="0" w:afterAutospacing="0" w:line="560" w:lineRule="exact"/>
        <w:ind w:right="0" w:rightChars="0" w:firstLine="640" w:firstLineChars="200"/>
        <w:jc w:val="both"/>
        <w:rPr>
          <w:rFonts w:hint="default" w:ascii="方正仿宋_GB2312" w:hAnsi="方正仿宋_GB2312" w:eastAsia="方正仿宋_GB2312" w:cs="方正仿宋_GB2312"/>
          <w:b w:val="0"/>
          <w:bCs w:val="0"/>
          <w:i w:val="0"/>
          <w:caps w:val="0"/>
          <w:color w:val="auto"/>
          <w:spacing w:val="0"/>
          <w:w w:val="100"/>
          <w:sz w:val="32"/>
          <w:szCs w:val="32"/>
          <w:lang w:val="en-US" w:eastAsia="zh-CN"/>
        </w:rPr>
      </w:pPr>
      <w:r>
        <w:rPr>
          <w:rFonts w:hint="eastAsia" w:ascii="方正仿宋_GB2312" w:hAnsi="方正仿宋_GB2312" w:eastAsia="方正仿宋_GB2312" w:cs="方正仿宋_GB2312"/>
          <w:b w:val="0"/>
          <w:bCs w:val="0"/>
          <w:i w:val="0"/>
          <w:caps w:val="0"/>
          <w:color w:val="auto"/>
          <w:spacing w:val="0"/>
          <w:w w:val="100"/>
          <w:sz w:val="32"/>
          <w:szCs w:val="32"/>
          <w:lang w:val="en-US" w:eastAsia="zh-CN"/>
        </w:rPr>
        <w:t>表2：2021年拟认定监测对象乡镇核查表</w:t>
      </w:r>
    </w:p>
    <w:p>
      <w:pPr>
        <w:keepNext w:val="0"/>
        <w:keepLines w:val="0"/>
        <w:widowControl w:val="0"/>
        <w:numPr>
          <w:ilvl w:val="0"/>
          <w:numId w:val="0"/>
        </w:numPr>
        <w:suppressLineNumbers w:val="0"/>
        <w:adjustRightInd w:val="0"/>
        <w:snapToGrid w:val="0"/>
        <w:spacing w:before="0" w:beforeAutospacing="0" w:after="0" w:afterAutospacing="0" w:line="560" w:lineRule="exact"/>
        <w:ind w:right="0" w:rightChars="0" w:firstLine="640" w:firstLineChars="200"/>
        <w:jc w:val="both"/>
        <w:rPr>
          <w:rFonts w:hint="eastAsia" w:ascii="方正仿宋_GB2312" w:hAnsi="方正仿宋_GB2312" w:eastAsia="方正仿宋_GB2312" w:cs="方正仿宋_GB2312"/>
          <w:b w:val="0"/>
          <w:bCs w:val="0"/>
          <w:i w:val="0"/>
          <w:caps w:val="0"/>
          <w:color w:val="auto"/>
          <w:spacing w:val="0"/>
          <w:w w:val="100"/>
          <w:sz w:val="32"/>
          <w:szCs w:val="32"/>
          <w:lang w:val="en-US" w:eastAsia="zh-CN"/>
        </w:rPr>
      </w:pPr>
      <w:r>
        <w:rPr>
          <w:rFonts w:hint="eastAsia" w:ascii="方正仿宋_GB2312" w:hAnsi="方正仿宋_GB2312" w:eastAsia="方正仿宋_GB2312" w:cs="方正仿宋_GB2312"/>
          <w:b w:val="0"/>
          <w:bCs w:val="0"/>
          <w:i w:val="0"/>
          <w:caps w:val="0"/>
          <w:color w:val="auto"/>
          <w:spacing w:val="0"/>
          <w:w w:val="100"/>
          <w:sz w:val="32"/>
          <w:szCs w:val="32"/>
          <w:lang w:val="en-US" w:eastAsia="zh-CN"/>
        </w:rPr>
        <w:t>表3：镇级防止返贫监测帮扶对象情况统计表</w:t>
      </w:r>
    </w:p>
    <w:p>
      <w:pPr>
        <w:keepNext w:val="0"/>
        <w:keepLines w:val="0"/>
        <w:widowControl w:val="0"/>
        <w:numPr>
          <w:ilvl w:val="0"/>
          <w:numId w:val="0"/>
        </w:numPr>
        <w:suppressLineNumbers w:val="0"/>
        <w:adjustRightInd w:val="0"/>
        <w:snapToGrid w:val="0"/>
        <w:spacing w:before="0" w:beforeAutospacing="0" w:after="0" w:afterAutospacing="0" w:line="560" w:lineRule="exact"/>
        <w:ind w:right="0" w:rightChars="0" w:firstLine="640" w:firstLineChars="200"/>
        <w:jc w:val="both"/>
        <w:rPr>
          <w:rFonts w:hint="default" w:ascii="方正仿宋_GB2312" w:hAnsi="方正仿宋_GB2312" w:eastAsia="方正仿宋_GB2312" w:cs="方正仿宋_GB2312"/>
          <w:b w:val="0"/>
          <w:bCs w:val="0"/>
          <w:i w:val="0"/>
          <w:caps w:val="0"/>
          <w:color w:val="auto"/>
          <w:spacing w:val="0"/>
          <w:w w:val="100"/>
          <w:sz w:val="32"/>
          <w:szCs w:val="32"/>
          <w:lang w:val="en-US" w:eastAsia="zh-CN"/>
        </w:rPr>
      </w:pPr>
    </w:p>
    <w:p>
      <w:pPr>
        <w:keepNext w:val="0"/>
        <w:keepLines w:val="0"/>
        <w:widowControl w:val="0"/>
        <w:numPr>
          <w:ilvl w:val="0"/>
          <w:numId w:val="0"/>
        </w:numPr>
        <w:suppressLineNumbers w:val="0"/>
        <w:adjustRightInd w:val="0"/>
        <w:snapToGrid w:val="0"/>
        <w:spacing w:before="0" w:beforeAutospacing="0" w:after="0" w:afterAutospacing="0" w:line="560" w:lineRule="exact"/>
        <w:ind w:leftChars="200" w:right="0" w:rightChars="0"/>
        <w:jc w:val="both"/>
        <w:rPr>
          <w:rFonts w:hint="eastAsia" w:ascii="仿宋_GB2312" w:hAnsi="仿宋_GB2312" w:eastAsia="仿宋_GB2312" w:cs="仿宋_GB2312"/>
          <w:spacing w:val="11"/>
          <w:kern w:val="21"/>
          <w:sz w:val="32"/>
          <w:szCs w:val="32"/>
          <w:lang w:val="en-US" w:eastAsia="zh-CN" w:bidi="ar"/>
        </w:rPr>
      </w:pPr>
      <w:r>
        <w:rPr>
          <w:rFonts w:hint="eastAsia" w:ascii="仿宋_GB2312" w:hAnsi="仿宋_GB2312" w:eastAsia="仿宋_GB2312" w:cs="仿宋_GB2312"/>
          <w:b w:val="0"/>
          <w:i w:val="0"/>
          <w:caps w:val="0"/>
          <w:color w:val="auto"/>
          <w:spacing w:val="0"/>
          <w:w w:val="100"/>
          <w:kern w:val="2"/>
          <w:sz w:val="32"/>
          <w:szCs w:val="32"/>
          <w:lang w:val="en-US" w:eastAsia="zh-CN" w:bidi="ar-SA"/>
        </w:rPr>
        <w:t xml:space="preserve">                               </w:t>
      </w:r>
    </w:p>
    <w:p>
      <w:pPr>
        <w:keepNext w:val="0"/>
        <w:keepLines w:val="0"/>
        <w:widowControl w:val="0"/>
        <w:suppressLineNumbers w:val="0"/>
        <w:adjustRightInd w:val="0"/>
        <w:snapToGrid w:val="0"/>
        <w:spacing w:before="0" w:beforeAutospacing="0" w:after="0" w:afterAutospacing="0" w:line="560" w:lineRule="exact"/>
        <w:ind w:left="0" w:right="0" w:firstLine="684" w:firstLineChars="200"/>
        <w:jc w:val="both"/>
        <w:rPr>
          <w:rFonts w:hint="eastAsia" w:ascii="仿宋_GB2312" w:hAnsi="仿宋_GB2312" w:eastAsia="仿宋_GB2312" w:cs="仿宋_GB2312"/>
          <w:spacing w:val="11"/>
          <w:kern w:val="21"/>
          <w:sz w:val="32"/>
          <w:szCs w:val="32"/>
          <w:lang w:val="en-US"/>
        </w:rPr>
      </w:pP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590" w:lineRule="exact"/>
        <w:ind w:right="0" w:rightChars="0" w:firstLine="643" w:firstLineChars="200"/>
        <w:jc w:val="both"/>
        <w:textAlignment w:val="baseline"/>
        <w:outlineLvl w:val="9"/>
        <w:rPr>
          <w:rFonts w:hint="default" w:ascii="仿宋_GB2312" w:hAnsi="仿宋_GB2312" w:eastAsia="仿宋_GB2312" w:cs="仿宋_GB2312"/>
          <w:b/>
          <w:bCs/>
          <w:i w:val="0"/>
          <w:caps w:val="0"/>
          <w:color w:val="auto"/>
          <w:spacing w:val="0"/>
          <w:w w:val="100"/>
          <w:sz w:val="32"/>
          <w:szCs w:val="32"/>
          <w:lang w:val="en-US" w:eastAsia="zh-CN"/>
        </w:rPr>
      </w:pPr>
    </w:p>
    <w:sectPr>
      <w:footerReference r:id="rId3" w:type="default"/>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357B2"/>
    <w:multiLevelType w:val="singleLevel"/>
    <w:tmpl w:val="BC6357B2"/>
    <w:lvl w:ilvl="0" w:tentative="0">
      <w:start w:val="1"/>
      <w:numFmt w:val="chineseCounting"/>
      <w:suff w:val="nothing"/>
      <w:lvlText w:val="（%1）"/>
      <w:lvlJc w:val="left"/>
      <w:rPr>
        <w:rFonts w:hint="eastAsia"/>
      </w:rPr>
    </w:lvl>
  </w:abstractNum>
  <w:abstractNum w:abstractNumId="1">
    <w:nsid w:val="EE5449CC"/>
    <w:multiLevelType w:val="singleLevel"/>
    <w:tmpl w:val="EE5449CC"/>
    <w:lvl w:ilvl="0" w:tentative="0">
      <w:start w:val="1"/>
      <w:numFmt w:val="chineseCounting"/>
      <w:suff w:val="nothing"/>
      <w:lvlText w:val="%1、"/>
      <w:lvlJc w:val="left"/>
      <w:rPr>
        <w:rFonts w:hint="eastAsia"/>
      </w:rPr>
    </w:lvl>
  </w:abstractNum>
  <w:abstractNum w:abstractNumId="2">
    <w:nsid w:val="5818B089"/>
    <w:multiLevelType w:val="singleLevel"/>
    <w:tmpl w:val="5818B089"/>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F43412"/>
    <w:rsid w:val="027D7B54"/>
    <w:rsid w:val="123B6E50"/>
    <w:rsid w:val="12A15784"/>
    <w:rsid w:val="15974C9E"/>
    <w:rsid w:val="24261CDF"/>
    <w:rsid w:val="617F7C16"/>
    <w:rsid w:val="6B743155"/>
    <w:rsid w:val="7CF43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next w:val="3"/>
    <w:link w:val="8"/>
    <w:qFormat/>
    <w:uiPriority w:val="0"/>
    <w:pPr>
      <w:spacing w:after="120" w:afterLines="0" w:afterAutospacing="0"/>
    </w:pPr>
  </w:style>
  <w:style w:type="paragraph" w:styleId="3">
    <w:name w:val="toc 5"/>
    <w:basedOn w:val="1"/>
    <w:next w:val="1"/>
    <w:qFormat/>
    <w:uiPriority w:val="0"/>
    <w:pPr>
      <w:ind w:left="1680"/>
    </w:pPr>
    <w:rPr>
      <w:rFonts w:ascii="Times New Roman" w:hAnsi="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正文文本 Char"/>
    <w:basedOn w:val="7"/>
    <w:link w:val="2"/>
    <w:qFormat/>
    <w:uiPriority w:val="0"/>
    <w:rPr>
      <w:kern w:val="2"/>
      <w:sz w:val="21"/>
      <w:szCs w:val="24"/>
    </w:rPr>
  </w:style>
  <w:style w:type="paragraph" w:customStyle="1" w:styleId="9">
    <w:name w:val="Heading3"/>
    <w:basedOn w:val="1"/>
    <w:next w:val="1"/>
    <w:qFormat/>
    <w:uiPriority w:val="0"/>
    <w:pPr>
      <w:keepNext/>
      <w:keepLines/>
      <w:spacing w:before="260" w:after="260" w:line="416" w:lineRule="auto"/>
      <w:jc w:val="both"/>
      <w:textAlignment w:val="baseline"/>
    </w:pPr>
    <w:rPr>
      <w:rFonts w:ascii="Calibri" w:hAnsi="Calibri" w:eastAsia="等线"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BFEAC5"/>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2021-09-13T00:49:00Z</dcterms:created>
  <dc:creator>康奶爸</dc:creator>
  <cp:lastModifiedBy>康奶爸</cp:lastModifiedBy>
  <cp:lastPrinted>2021-09-15T04:38:00Z</cp:lastPrinted>
  <dcterms:modified xsi:type="dcterms:W3CDTF">2021-09-16T01:28:39Z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9C63943D0214454A81D1716C7868D1AB</vt:lpwstr>
  </property>
</Properties>
</file>