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黑体" w:hAnsi="黑体" w:eastAsia="黑体"/>
        </w:rPr>
      </w:pPr>
      <w:r>
        <w:rPr>
          <w:rFonts w:hint="eastAsia" w:ascii="黑体" w:hAnsi="黑体" w:eastAsia="黑体"/>
        </w:rPr>
        <w:t>附件：</w:t>
      </w:r>
    </w:p>
    <w:p>
      <w:pPr>
        <w:pStyle w:val="5"/>
        <w:rPr>
          <w:sz w:val="28"/>
          <w:szCs w:val="28"/>
        </w:rPr>
      </w:pPr>
      <w:r>
        <w:rPr>
          <w:rFonts w:hint="eastAsia"/>
          <w:sz w:val="28"/>
          <w:szCs w:val="28"/>
        </w:rPr>
        <w:t>关于《博罗县“三旧”改造实施办法（试行）（第二次征求意见稿）》</w:t>
      </w:r>
    </w:p>
    <w:p>
      <w:pPr>
        <w:pStyle w:val="5"/>
        <w:rPr>
          <w:sz w:val="28"/>
          <w:szCs w:val="28"/>
        </w:rPr>
      </w:pPr>
      <w:r>
        <w:rPr>
          <w:rFonts w:hint="eastAsia"/>
          <w:sz w:val="28"/>
          <w:szCs w:val="28"/>
        </w:rPr>
        <w:t>征求意见及采纳情况汇总表</w:t>
      </w:r>
    </w:p>
    <w:p>
      <w:pPr>
        <w:ind w:firstLine="632"/>
      </w:pPr>
    </w:p>
    <w:p>
      <w:pPr>
        <w:ind w:firstLine="0" w:firstLineChars="0"/>
        <w:rPr>
          <w:b/>
          <w:bCs/>
          <w:sz w:val="28"/>
          <w:szCs w:val="28"/>
        </w:rPr>
      </w:pPr>
      <w:r>
        <w:rPr>
          <w:rFonts w:hint="eastAsia"/>
          <w:b/>
          <w:bCs/>
          <w:sz w:val="28"/>
          <w:szCs w:val="28"/>
        </w:rPr>
        <w:t>单位：博罗县自然资源局</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rFonts w:hint="eastAsia"/>
          <w:b/>
          <w:bCs/>
          <w:sz w:val="28"/>
          <w:szCs w:val="28"/>
        </w:rPr>
        <w:t>2022年01月10日</w:t>
      </w:r>
    </w:p>
    <w:tbl>
      <w:tblPr>
        <w:tblStyle w:val="7"/>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818"/>
        <w:gridCol w:w="3954"/>
        <w:gridCol w:w="724"/>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453" w:type="dxa"/>
            <w:vAlign w:val="center"/>
          </w:tcPr>
          <w:p>
            <w:pPr>
              <w:pStyle w:val="13"/>
              <w:jc w:val="center"/>
              <w:rPr>
                <w:b/>
                <w:bCs/>
                <w:sz w:val="24"/>
                <w:szCs w:val="28"/>
              </w:rPr>
            </w:pPr>
            <w:r>
              <w:rPr>
                <w:rFonts w:hint="eastAsia"/>
                <w:b/>
                <w:bCs/>
                <w:sz w:val="24"/>
                <w:szCs w:val="28"/>
              </w:rPr>
              <w:t>序号</w:t>
            </w:r>
          </w:p>
        </w:tc>
        <w:tc>
          <w:tcPr>
            <w:tcW w:w="818" w:type="dxa"/>
            <w:vAlign w:val="center"/>
          </w:tcPr>
          <w:p>
            <w:pPr>
              <w:pStyle w:val="13"/>
              <w:jc w:val="center"/>
              <w:rPr>
                <w:b/>
                <w:bCs/>
                <w:sz w:val="24"/>
                <w:szCs w:val="28"/>
              </w:rPr>
            </w:pPr>
            <w:r>
              <w:rPr>
                <w:rFonts w:hint="eastAsia"/>
                <w:b/>
                <w:bCs/>
                <w:sz w:val="24"/>
                <w:szCs w:val="28"/>
              </w:rPr>
              <w:t>反馈单位</w:t>
            </w:r>
          </w:p>
        </w:tc>
        <w:tc>
          <w:tcPr>
            <w:tcW w:w="3954" w:type="dxa"/>
            <w:vAlign w:val="center"/>
          </w:tcPr>
          <w:p>
            <w:pPr>
              <w:pStyle w:val="13"/>
              <w:jc w:val="center"/>
              <w:rPr>
                <w:b/>
                <w:bCs/>
                <w:sz w:val="24"/>
                <w:szCs w:val="28"/>
              </w:rPr>
            </w:pPr>
            <w:r>
              <w:rPr>
                <w:rFonts w:hint="eastAsia"/>
                <w:b/>
                <w:bCs/>
                <w:sz w:val="24"/>
                <w:szCs w:val="28"/>
              </w:rPr>
              <w:t>反馈意见</w:t>
            </w:r>
          </w:p>
        </w:tc>
        <w:tc>
          <w:tcPr>
            <w:tcW w:w="724" w:type="dxa"/>
            <w:vAlign w:val="center"/>
          </w:tcPr>
          <w:p>
            <w:pPr>
              <w:pStyle w:val="13"/>
              <w:jc w:val="center"/>
              <w:rPr>
                <w:b/>
                <w:bCs/>
                <w:sz w:val="24"/>
                <w:szCs w:val="28"/>
              </w:rPr>
            </w:pPr>
            <w:r>
              <w:rPr>
                <w:rFonts w:hint="eastAsia"/>
                <w:b/>
                <w:bCs/>
                <w:sz w:val="24"/>
                <w:szCs w:val="28"/>
              </w:rPr>
              <w:t>采纳</w:t>
            </w:r>
          </w:p>
          <w:p>
            <w:pPr>
              <w:pStyle w:val="13"/>
              <w:jc w:val="center"/>
              <w:rPr>
                <w:b/>
                <w:bCs/>
                <w:sz w:val="24"/>
                <w:szCs w:val="28"/>
              </w:rPr>
            </w:pPr>
            <w:r>
              <w:rPr>
                <w:rFonts w:hint="eastAsia"/>
                <w:b/>
                <w:bCs/>
                <w:sz w:val="24"/>
                <w:szCs w:val="28"/>
              </w:rPr>
              <w:t>情况</w:t>
            </w:r>
          </w:p>
        </w:tc>
        <w:tc>
          <w:tcPr>
            <w:tcW w:w="2895" w:type="dxa"/>
            <w:vAlign w:val="center"/>
          </w:tcPr>
          <w:p>
            <w:pPr>
              <w:pStyle w:val="13"/>
              <w:jc w:val="center"/>
              <w:rPr>
                <w:b/>
                <w:bCs/>
                <w:sz w:val="24"/>
                <w:szCs w:val="28"/>
              </w:rPr>
            </w:pPr>
            <w:r>
              <w:rPr>
                <w:rFonts w:hint="eastAsia"/>
                <w:b/>
                <w:bCs/>
                <w:sz w:val="24"/>
                <w:szCs w:val="28"/>
              </w:rPr>
              <w:t>采纳或不采纳理由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6" w:hRule="atLeast"/>
          <w:jc w:val="center"/>
        </w:trPr>
        <w:tc>
          <w:tcPr>
            <w:tcW w:w="453" w:type="dxa"/>
            <w:vAlign w:val="center"/>
          </w:tcPr>
          <w:p>
            <w:pPr>
              <w:pStyle w:val="13"/>
              <w:rPr>
                <w:sz w:val="24"/>
                <w:szCs w:val="28"/>
              </w:rPr>
            </w:pPr>
            <w:r>
              <w:rPr>
                <w:rFonts w:hint="eastAsia"/>
                <w:sz w:val="24"/>
                <w:szCs w:val="28"/>
              </w:rPr>
              <w:t>1</w:t>
            </w:r>
          </w:p>
        </w:tc>
        <w:tc>
          <w:tcPr>
            <w:tcW w:w="818" w:type="dxa"/>
            <w:vAlign w:val="center"/>
          </w:tcPr>
          <w:p>
            <w:pPr>
              <w:pStyle w:val="13"/>
              <w:rPr>
                <w:sz w:val="24"/>
                <w:szCs w:val="28"/>
              </w:rPr>
            </w:pPr>
            <w:r>
              <w:rPr>
                <w:rFonts w:hint="eastAsia"/>
                <w:sz w:val="24"/>
                <w:szCs w:val="28"/>
              </w:rPr>
              <w:t>县司法局</w:t>
            </w:r>
          </w:p>
        </w:tc>
        <w:tc>
          <w:tcPr>
            <w:tcW w:w="3954" w:type="dxa"/>
            <w:vAlign w:val="center"/>
          </w:tcPr>
          <w:p>
            <w:pPr>
              <w:pStyle w:val="13"/>
              <w:rPr>
                <w:sz w:val="24"/>
                <w:szCs w:val="28"/>
              </w:rPr>
            </w:pPr>
            <w:r>
              <w:rPr>
                <w:rFonts w:hint="eastAsia"/>
                <w:sz w:val="24"/>
                <w:szCs w:val="28"/>
              </w:rPr>
              <w:t>《博罗县“三旧”改造实施办法（试行）》属于行政规范性文件，应按《广东省行政规范性文件管理规定》(广东省人民政府令第277号)《惠州市行政机关规范性文件制定程序规定》（惠府〔2017〕46号）的规定进行制发。</w:t>
            </w:r>
          </w:p>
        </w:tc>
        <w:tc>
          <w:tcPr>
            <w:tcW w:w="724" w:type="dxa"/>
            <w:vAlign w:val="center"/>
          </w:tcPr>
          <w:p>
            <w:pPr>
              <w:pStyle w:val="13"/>
              <w:rPr>
                <w:sz w:val="24"/>
                <w:szCs w:val="28"/>
              </w:rPr>
            </w:pPr>
            <w:r>
              <w:rPr>
                <w:rFonts w:hint="eastAsia"/>
                <w:sz w:val="24"/>
                <w:szCs w:val="28"/>
              </w:rPr>
              <w:t>采纳</w:t>
            </w:r>
          </w:p>
        </w:tc>
        <w:tc>
          <w:tcPr>
            <w:tcW w:w="2895" w:type="dxa"/>
            <w:vAlign w:val="center"/>
          </w:tcPr>
          <w:p>
            <w:pPr>
              <w:pStyle w:val="13"/>
              <w:rPr>
                <w:sz w:val="24"/>
                <w:szCs w:val="28"/>
              </w:rPr>
            </w:pPr>
            <w:r>
              <w:rPr>
                <w:rFonts w:hint="eastAsia"/>
                <w:sz w:val="24"/>
                <w:szCs w:val="28"/>
              </w:rPr>
              <w:t>我局将按相关规定制发本文件。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jc w:val="center"/>
        </w:trPr>
        <w:tc>
          <w:tcPr>
            <w:tcW w:w="453" w:type="dxa"/>
            <w:vMerge w:val="restart"/>
            <w:vAlign w:val="center"/>
          </w:tcPr>
          <w:p>
            <w:pPr>
              <w:pStyle w:val="13"/>
              <w:rPr>
                <w:sz w:val="24"/>
                <w:szCs w:val="28"/>
              </w:rPr>
            </w:pPr>
            <w:r>
              <w:rPr>
                <w:rFonts w:hint="eastAsia"/>
                <w:sz w:val="24"/>
                <w:szCs w:val="28"/>
              </w:rPr>
              <w:t>2</w:t>
            </w:r>
          </w:p>
        </w:tc>
        <w:tc>
          <w:tcPr>
            <w:tcW w:w="818" w:type="dxa"/>
            <w:vMerge w:val="restart"/>
            <w:vAlign w:val="center"/>
          </w:tcPr>
          <w:p>
            <w:pPr>
              <w:pStyle w:val="13"/>
              <w:rPr>
                <w:sz w:val="24"/>
                <w:szCs w:val="28"/>
              </w:rPr>
            </w:pPr>
            <w:r>
              <w:rPr>
                <w:rFonts w:hint="eastAsia"/>
                <w:sz w:val="24"/>
                <w:szCs w:val="28"/>
              </w:rPr>
              <w:t>广东伟伦（仲恺）律师事务所</w:t>
            </w:r>
          </w:p>
        </w:tc>
        <w:tc>
          <w:tcPr>
            <w:tcW w:w="3954" w:type="dxa"/>
            <w:vAlign w:val="center"/>
          </w:tcPr>
          <w:p>
            <w:pPr>
              <w:pStyle w:val="13"/>
              <w:rPr>
                <w:sz w:val="24"/>
                <w:szCs w:val="28"/>
              </w:rPr>
            </w:pPr>
            <w:r>
              <w:rPr>
                <w:rFonts w:hint="eastAsia"/>
                <w:sz w:val="24"/>
                <w:szCs w:val="28"/>
              </w:rPr>
              <w:t>《办法》第七条：建议签订监管协议的主体为县级“三旧” 改造主管部门或办公室</w:t>
            </w:r>
          </w:p>
        </w:tc>
        <w:tc>
          <w:tcPr>
            <w:tcW w:w="724" w:type="dxa"/>
            <w:vAlign w:val="center"/>
          </w:tcPr>
          <w:p>
            <w:pPr>
              <w:pStyle w:val="13"/>
              <w:rPr>
                <w:sz w:val="24"/>
                <w:szCs w:val="28"/>
              </w:rPr>
            </w:pPr>
            <w:r>
              <w:rPr>
                <w:rFonts w:hint="eastAsia"/>
                <w:sz w:val="24"/>
                <w:szCs w:val="28"/>
              </w:rPr>
              <w:t>部分采纳</w:t>
            </w:r>
          </w:p>
        </w:tc>
        <w:tc>
          <w:tcPr>
            <w:tcW w:w="2895" w:type="dxa"/>
            <w:vAlign w:val="center"/>
          </w:tcPr>
          <w:p>
            <w:pPr>
              <w:pStyle w:val="13"/>
              <w:rPr>
                <w:sz w:val="24"/>
                <w:szCs w:val="28"/>
              </w:rPr>
            </w:pPr>
            <w:r>
              <w:rPr>
                <w:rFonts w:hint="eastAsia"/>
                <w:sz w:val="24"/>
                <w:szCs w:val="28"/>
              </w:rPr>
              <w:t>镇（街道）为项目的责任主体，签订监管协议以调动其在项目实施中的主动性、积极性，确保权责统一。在制度保障上，增加了主管部门日常监管以及不按《实施方案》实施的退出机制。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53" w:type="dxa"/>
            <w:vMerge w:val="continue"/>
            <w:vAlign w:val="center"/>
          </w:tcPr>
          <w:p>
            <w:pPr>
              <w:pStyle w:val="13"/>
              <w:rPr>
                <w:sz w:val="24"/>
                <w:szCs w:val="28"/>
              </w:rPr>
            </w:pPr>
          </w:p>
        </w:tc>
        <w:tc>
          <w:tcPr>
            <w:tcW w:w="818" w:type="dxa"/>
            <w:vMerge w:val="continue"/>
            <w:vAlign w:val="center"/>
          </w:tcPr>
          <w:p>
            <w:pPr>
              <w:pStyle w:val="13"/>
              <w:rPr>
                <w:sz w:val="24"/>
                <w:szCs w:val="28"/>
              </w:rPr>
            </w:pPr>
          </w:p>
        </w:tc>
        <w:tc>
          <w:tcPr>
            <w:tcW w:w="3954" w:type="dxa"/>
            <w:vAlign w:val="center"/>
          </w:tcPr>
          <w:p>
            <w:pPr>
              <w:pStyle w:val="13"/>
              <w:rPr>
                <w:sz w:val="24"/>
                <w:szCs w:val="28"/>
              </w:rPr>
            </w:pPr>
            <w:r>
              <w:rPr>
                <w:rFonts w:hint="eastAsia"/>
                <w:sz w:val="24"/>
                <w:szCs w:val="28"/>
              </w:rPr>
              <w:t>在办法中对于国企参与以及市场主导等方面多增加相关规定，鼓励村民的自愿行为，进一步探索政府引导、市场运作、公众参与的城市更新可持续模式，达到对此通知的理解贯彻和实施，当然也可以通过后续制订配套措施来完善。</w:t>
            </w:r>
          </w:p>
        </w:tc>
        <w:tc>
          <w:tcPr>
            <w:tcW w:w="724" w:type="dxa"/>
            <w:vAlign w:val="center"/>
          </w:tcPr>
          <w:p>
            <w:pPr>
              <w:pStyle w:val="13"/>
              <w:rPr>
                <w:sz w:val="24"/>
                <w:szCs w:val="28"/>
              </w:rPr>
            </w:pPr>
            <w:r>
              <w:rPr>
                <w:rFonts w:hint="eastAsia"/>
                <w:sz w:val="24"/>
                <w:szCs w:val="28"/>
              </w:rPr>
              <w:t>未采纳</w:t>
            </w:r>
          </w:p>
        </w:tc>
        <w:tc>
          <w:tcPr>
            <w:tcW w:w="2895" w:type="dxa"/>
            <w:vAlign w:val="center"/>
          </w:tcPr>
          <w:p>
            <w:pPr>
              <w:pStyle w:val="13"/>
              <w:rPr>
                <w:sz w:val="24"/>
                <w:szCs w:val="28"/>
              </w:rPr>
            </w:pPr>
            <w:r>
              <w:rPr>
                <w:rFonts w:hint="eastAsia"/>
                <w:sz w:val="24"/>
                <w:szCs w:val="28"/>
              </w:rPr>
              <w:t>已增加县属、镇属企业参与表述，功能型国企参与路径暂不清晰。</w:t>
            </w:r>
          </w:p>
          <w:p>
            <w:pPr>
              <w:pStyle w:val="13"/>
              <w:rPr>
                <w:sz w:val="24"/>
                <w:szCs w:val="28"/>
              </w:rPr>
            </w:pPr>
            <w:r>
              <w:rPr>
                <w:rFonts w:hint="eastAsia"/>
                <w:sz w:val="24"/>
                <w:szCs w:val="28"/>
              </w:rPr>
              <w:t>政策体系中，下阶段将制定专项指引，市场主体参与形式将在其中明确。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453" w:type="dxa"/>
            <w:vMerge w:val="continue"/>
            <w:vAlign w:val="center"/>
          </w:tcPr>
          <w:p>
            <w:pPr>
              <w:pStyle w:val="13"/>
              <w:rPr>
                <w:sz w:val="24"/>
                <w:szCs w:val="28"/>
              </w:rPr>
            </w:pPr>
          </w:p>
        </w:tc>
        <w:tc>
          <w:tcPr>
            <w:tcW w:w="818" w:type="dxa"/>
            <w:vMerge w:val="continue"/>
            <w:vAlign w:val="center"/>
          </w:tcPr>
          <w:p>
            <w:pPr>
              <w:pStyle w:val="13"/>
              <w:rPr>
                <w:sz w:val="24"/>
                <w:szCs w:val="28"/>
              </w:rPr>
            </w:pPr>
          </w:p>
        </w:tc>
        <w:tc>
          <w:tcPr>
            <w:tcW w:w="3954" w:type="dxa"/>
            <w:vAlign w:val="center"/>
          </w:tcPr>
          <w:p>
            <w:pPr>
              <w:pStyle w:val="13"/>
              <w:rPr>
                <w:sz w:val="24"/>
                <w:szCs w:val="28"/>
              </w:rPr>
            </w:pPr>
            <w:r>
              <w:rPr>
                <w:rFonts w:hint="eastAsia"/>
                <w:sz w:val="24"/>
                <w:szCs w:val="28"/>
              </w:rPr>
              <w:t>综述部分：《关于在实施城市更新行动中防止大拆大建问题的通知》（建科〔2021〕63号）文件对城更有较大影响，是否放在此处请予以考虑</w:t>
            </w:r>
          </w:p>
        </w:tc>
        <w:tc>
          <w:tcPr>
            <w:tcW w:w="724" w:type="dxa"/>
            <w:vAlign w:val="center"/>
          </w:tcPr>
          <w:p>
            <w:pPr>
              <w:pStyle w:val="13"/>
              <w:rPr>
                <w:sz w:val="24"/>
                <w:szCs w:val="28"/>
              </w:rPr>
            </w:pPr>
            <w:r>
              <w:rPr>
                <w:rFonts w:hint="eastAsia"/>
                <w:sz w:val="24"/>
                <w:szCs w:val="28"/>
              </w:rPr>
              <w:t>未采纳</w:t>
            </w:r>
          </w:p>
        </w:tc>
        <w:tc>
          <w:tcPr>
            <w:tcW w:w="2895" w:type="dxa"/>
            <w:vAlign w:val="center"/>
          </w:tcPr>
          <w:p>
            <w:pPr>
              <w:pStyle w:val="13"/>
              <w:rPr>
                <w:sz w:val="24"/>
                <w:szCs w:val="28"/>
              </w:rPr>
            </w:pPr>
            <w:r>
              <w:rPr>
                <w:rFonts w:hint="eastAsia"/>
                <w:sz w:val="24"/>
                <w:szCs w:val="28"/>
              </w:rPr>
              <w:t>本《办法》为自然资源部门规范性文件，住建部门政策暂不计划纳入，待上位政策有更明确规定后再行修订。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453" w:type="dxa"/>
            <w:vMerge w:val="continue"/>
            <w:vAlign w:val="center"/>
          </w:tcPr>
          <w:p>
            <w:pPr>
              <w:pStyle w:val="13"/>
              <w:rPr>
                <w:sz w:val="24"/>
                <w:szCs w:val="28"/>
              </w:rPr>
            </w:pPr>
          </w:p>
        </w:tc>
        <w:tc>
          <w:tcPr>
            <w:tcW w:w="818" w:type="dxa"/>
            <w:vMerge w:val="continue"/>
            <w:vAlign w:val="center"/>
          </w:tcPr>
          <w:p>
            <w:pPr>
              <w:pStyle w:val="13"/>
              <w:rPr>
                <w:sz w:val="24"/>
                <w:szCs w:val="28"/>
              </w:rPr>
            </w:pPr>
          </w:p>
        </w:tc>
        <w:tc>
          <w:tcPr>
            <w:tcW w:w="3954" w:type="dxa"/>
            <w:vAlign w:val="center"/>
          </w:tcPr>
          <w:p>
            <w:pPr>
              <w:pStyle w:val="13"/>
              <w:rPr>
                <w:sz w:val="24"/>
                <w:szCs w:val="28"/>
              </w:rPr>
            </w:pPr>
            <w:r>
              <w:rPr>
                <w:rFonts w:hint="eastAsia"/>
                <w:sz w:val="24"/>
                <w:szCs w:val="28"/>
              </w:rPr>
              <w:t>第八条：本条中对“权利人”的定义表述不清，办法中还提及到“权利主体”“原权利人”等表述，易造成混淆。另在本条中权利人的职权表述不相一致，如第（一）款对应权利人是类似政府办公室的部门，第（二）款对应权利人是类似村集体，第（三）款对应权利人是类似改造主体，因此对此条权利人的理解容易产生混淆，建议予以阐述分明</w:t>
            </w:r>
          </w:p>
        </w:tc>
        <w:tc>
          <w:tcPr>
            <w:tcW w:w="724" w:type="dxa"/>
            <w:vAlign w:val="center"/>
          </w:tcPr>
          <w:p>
            <w:pPr>
              <w:pStyle w:val="13"/>
              <w:rPr>
                <w:sz w:val="24"/>
                <w:szCs w:val="28"/>
              </w:rPr>
            </w:pPr>
            <w:r>
              <w:rPr>
                <w:rFonts w:hint="eastAsia"/>
                <w:sz w:val="24"/>
                <w:szCs w:val="28"/>
              </w:rPr>
              <w:t>采纳</w:t>
            </w:r>
          </w:p>
        </w:tc>
        <w:tc>
          <w:tcPr>
            <w:tcW w:w="2895" w:type="dxa"/>
            <w:vAlign w:val="center"/>
          </w:tcPr>
          <w:p>
            <w:pPr>
              <w:pStyle w:val="13"/>
              <w:rPr>
                <w:sz w:val="24"/>
                <w:szCs w:val="28"/>
              </w:rPr>
            </w:pPr>
            <w:r>
              <w:rPr>
                <w:rFonts w:hint="eastAsia"/>
                <w:sz w:val="24"/>
                <w:szCs w:val="28"/>
              </w:rPr>
              <w:t>本条所在章节内容为规范政府部门权责，本条已删除，对权利人的具体规定将在后续指引文件中明确。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453" w:type="dxa"/>
            <w:vMerge w:val="continue"/>
            <w:vAlign w:val="center"/>
          </w:tcPr>
          <w:p>
            <w:pPr>
              <w:pStyle w:val="13"/>
              <w:rPr>
                <w:sz w:val="24"/>
                <w:szCs w:val="28"/>
              </w:rPr>
            </w:pPr>
          </w:p>
        </w:tc>
        <w:tc>
          <w:tcPr>
            <w:tcW w:w="818" w:type="dxa"/>
            <w:vMerge w:val="continue"/>
            <w:vAlign w:val="center"/>
          </w:tcPr>
          <w:p>
            <w:pPr>
              <w:pStyle w:val="13"/>
              <w:rPr>
                <w:sz w:val="24"/>
                <w:szCs w:val="28"/>
              </w:rPr>
            </w:pPr>
          </w:p>
        </w:tc>
        <w:tc>
          <w:tcPr>
            <w:tcW w:w="3954" w:type="dxa"/>
            <w:vAlign w:val="center"/>
          </w:tcPr>
          <w:p>
            <w:pPr>
              <w:pStyle w:val="13"/>
              <w:rPr>
                <w:sz w:val="24"/>
                <w:szCs w:val="28"/>
              </w:rPr>
            </w:pPr>
            <w:r>
              <w:rPr>
                <w:rFonts w:hint="eastAsia"/>
                <w:sz w:val="24"/>
                <w:szCs w:val="28"/>
              </w:rPr>
              <w:t>第十六条：本条规定没有对政府主导和市场主导的改造实施方案制定主体做一个明显的区分，缺乏市场主导时实施方案制定者应是改造主体的约定，因在市场主导的过程中，政府仅进行监督、引导和批复，实施方案应由市场主体进行自行编造，不宜一起由政府部门起草制定。</w:t>
            </w:r>
          </w:p>
        </w:tc>
        <w:tc>
          <w:tcPr>
            <w:tcW w:w="724" w:type="dxa"/>
            <w:vAlign w:val="center"/>
          </w:tcPr>
          <w:p>
            <w:pPr>
              <w:pStyle w:val="13"/>
              <w:rPr>
                <w:sz w:val="24"/>
                <w:szCs w:val="28"/>
              </w:rPr>
            </w:pPr>
            <w:r>
              <w:rPr>
                <w:rFonts w:hint="eastAsia"/>
                <w:sz w:val="24"/>
                <w:szCs w:val="28"/>
              </w:rPr>
              <w:t>未采纳</w:t>
            </w:r>
          </w:p>
        </w:tc>
        <w:tc>
          <w:tcPr>
            <w:tcW w:w="2895" w:type="dxa"/>
            <w:vAlign w:val="center"/>
          </w:tcPr>
          <w:p>
            <w:pPr>
              <w:pStyle w:val="13"/>
              <w:rPr>
                <w:sz w:val="24"/>
                <w:szCs w:val="28"/>
              </w:rPr>
            </w:pPr>
            <w:r>
              <w:rPr>
                <w:rFonts w:hint="eastAsia"/>
                <w:sz w:val="24"/>
                <w:szCs w:val="28"/>
              </w:rPr>
              <w:t>政府引导原则下，镇（街道）负责组织相关工作。实际工作中，项目中的部分工作可能需要镇（街道）与前期服务单位共同完成，故暂未对工作内容明确权责。项目推进过程中，结合实际，在招引方案中明确各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453" w:type="dxa"/>
            <w:vMerge w:val="continue"/>
            <w:vAlign w:val="center"/>
          </w:tcPr>
          <w:p>
            <w:pPr>
              <w:pStyle w:val="13"/>
              <w:rPr>
                <w:sz w:val="24"/>
                <w:szCs w:val="28"/>
              </w:rPr>
            </w:pPr>
          </w:p>
        </w:tc>
        <w:tc>
          <w:tcPr>
            <w:tcW w:w="818" w:type="dxa"/>
            <w:vMerge w:val="continue"/>
            <w:vAlign w:val="center"/>
          </w:tcPr>
          <w:p>
            <w:pPr>
              <w:pStyle w:val="13"/>
              <w:rPr>
                <w:sz w:val="24"/>
                <w:szCs w:val="28"/>
              </w:rPr>
            </w:pPr>
          </w:p>
        </w:tc>
        <w:tc>
          <w:tcPr>
            <w:tcW w:w="3954" w:type="dxa"/>
            <w:vAlign w:val="center"/>
          </w:tcPr>
          <w:p>
            <w:pPr>
              <w:pStyle w:val="13"/>
              <w:rPr>
                <w:sz w:val="24"/>
                <w:szCs w:val="28"/>
              </w:rPr>
            </w:pPr>
            <w:r>
              <w:rPr>
                <w:rFonts w:hint="eastAsia"/>
                <w:sz w:val="24"/>
                <w:szCs w:val="28"/>
              </w:rPr>
              <w:t>第十九条：对于本条中第（三）款，建议具体改造方案的编制等操作细则由县三旧办进行制定，以保证统一性，而非下放到镇（街道）三旧办，同时可考虑前期成本等能否增加在此条里面。</w:t>
            </w:r>
          </w:p>
        </w:tc>
        <w:tc>
          <w:tcPr>
            <w:tcW w:w="724" w:type="dxa"/>
            <w:vAlign w:val="center"/>
          </w:tcPr>
          <w:p>
            <w:pPr>
              <w:pStyle w:val="13"/>
              <w:rPr>
                <w:sz w:val="24"/>
                <w:szCs w:val="28"/>
              </w:rPr>
            </w:pPr>
            <w:r>
              <w:rPr>
                <w:rFonts w:hint="eastAsia"/>
                <w:sz w:val="24"/>
                <w:szCs w:val="28"/>
              </w:rPr>
              <w:t>未采纳</w:t>
            </w:r>
          </w:p>
        </w:tc>
        <w:tc>
          <w:tcPr>
            <w:tcW w:w="2895" w:type="dxa"/>
            <w:vAlign w:val="center"/>
          </w:tcPr>
          <w:p>
            <w:pPr>
              <w:pStyle w:val="13"/>
              <w:rPr>
                <w:sz w:val="24"/>
                <w:szCs w:val="28"/>
              </w:rPr>
            </w:pPr>
            <w:r>
              <w:rPr>
                <w:rFonts w:hint="eastAsia"/>
                <w:sz w:val="24"/>
                <w:szCs w:val="28"/>
              </w:rPr>
              <w:t>“制定工作标准，发布标准模板”任务已在第五条明确放在县“三旧”办（修订版调整至自然资源局制定），此处为组织方案编制。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453" w:type="dxa"/>
            <w:vMerge w:val="continue"/>
            <w:vAlign w:val="center"/>
          </w:tcPr>
          <w:p>
            <w:pPr>
              <w:pStyle w:val="13"/>
              <w:rPr>
                <w:sz w:val="24"/>
                <w:szCs w:val="28"/>
              </w:rPr>
            </w:pPr>
          </w:p>
        </w:tc>
        <w:tc>
          <w:tcPr>
            <w:tcW w:w="818" w:type="dxa"/>
            <w:vMerge w:val="continue"/>
            <w:vAlign w:val="center"/>
          </w:tcPr>
          <w:p>
            <w:pPr>
              <w:pStyle w:val="13"/>
              <w:rPr>
                <w:sz w:val="24"/>
                <w:szCs w:val="28"/>
              </w:rPr>
            </w:pPr>
          </w:p>
        </w:tc>
        <w:tc>
          <w:tcPr>
            <w:tcW w:w="3954" w:type="dxa"/>
            <w:vAlign w:val="center"/>
          </w:tcPr>
          <w:p>
            <w:pPr>
              <w:pStyle w:val="13"/>
              <w:rPr>
                <w:sz w:val="24"/>
                <w:szCs w:val="28"/>
              </w:rPr>
            </w:pPr>
            <w:r>
              <w:rPr>
                <w:rFonts w:hint="eastAsia"/>
                <w:sz w:val="24"/>
                <w:szCs w:val="28"/>
              </w:rPr>
              <w:t>第二十四条：本条中第一款中主体约定不明确，“确定由改造主体联合政府在约定期限内完成拆迁工作”中拆迁工作的主要负责主体系改造主体联合政府进行，还是政府单独进行，从此款约定中无法得出明确/的答案，无法确定继续拆迁工作的主要负责主体，建议予以明确。</w:t>
            </w:r>
          </w:p>
        </w:tc>
        <w:tc>
          <w:tcPr>
            <w:tcW w:w="724" w:type="dxa"/>
            <w:vAlign w:val="center"/>
          </w:tcPr>
          <w:p>
            <w:pPr>
              <w:pStyle w:val="13"/>
              <w:rPr>
                <w:sz w:val="24"/>
                <w:szCs w:val="28"/>
              </w:rPr>
            </w:pPr>
            <w:r>
              <w:rPr>
                <w:rFonts w:hint="eastAsia"/>
                <w:sz w:val="24"/>
                <w:szCs w:val="28"/>
              </w:rPr>
              <w:t>采纳</w:t>
            </w:r>
          </w:p>
        </w:tc>
        <w:tc>
          <w:tcPr>
            <w:tcW w:w="2895" w:type="dxa"/>
            <w:vAlign w:val="center"/>
          </w:tcPr>
          <w:p>
            <w:pPr>
              <w:pStyle w:val="13"/>
              <w:rPr>
                <w:sz w:val="24"/>
                <w:szCs w:val="28"/>
              </w:rPr>
            </w:pPr>
            <w:r>
              <w:rPr>
                <w:rFonts w:hint="eastAsia"/>
                <w:sz w:val="24"/>
                <w:szCs w:val="28"/>
              </w:rPr>
              <w:t>此条已作删除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 w:hRule="atLeast"/>
          <w:jc w:val="center"/>
        </w:trPr>
        <w:tc>
          <w:tcPr>
            <w:tcW w:w="453" w:type="dxa"/>
            <w:vMerge w:val="continue"/>
            <w:vAlign w:val="center"/>
          </w:tcPr>
          <w:p>
            <w:pPr>
              <w:pStyle w:val="13"/>
              <w:rPr>
                <w:sz w:val="24"/>
                <w:szCs w:val="28"/>
              </w:rPr>
            </w:pPr>
          </w:p>
        </w:tc>
        <w:tc>
          <w:tcPr>
            <w:tcW w:w="818" w:type="dxa"/>
            <w:vMerge w:val="continue"/>
            <w:vAlign w:val="center"/>
          </w:tcPr>
          <w:p>
            <w:pPr>
              <w:pStyle w:val="13"/>
              <w:rPr>
                <w:sz w:val="24"/>
                <w:szCs w:val="28"/>
              </w:rPr>
            </w:pPr>
          </w:p>
        </w:tc>
        <w:tc>
          <w:tcPr>
            <w:tcW w:w="3954" w:type="dxa"/>
            <w:vAlign w:val="center"/>
          </w:tcPr>
          <w:p>
            <w:pPr>
              <w:pStyle w:val="13"/>
              <w:rPr>
                <w:sz w:val="24"/>
                <w:szCs w:val="28"/>
              </w:rPr>
            </w:pPr>
            <w:r>
              <w:rPr>
                <w:rFonts w:hint="eastAsia"/>
                <w:sz w:val="24"/>
                <w:szCs w:val="28"/>
              </w:rPr>
              <w:t>第三十二条：本条主要是引用了省71号文的相关规定，对于省三旧改造办法中关于交出土地的制度也可予以适当考虑。</w:t>
            </w:r>
          </w:p>
        </w:tc>
        <w:tc>
          <w:tcPr>
            <w:tcW w:w="724" w:type="dxa"/>
            <w:vAlign w:val="center"/>
          </w:tcPr>
          <w:p>
            <w:pPr>
              <w:pStyle w:val="13"/>
              <w:rPr>
                <w:sz w:val="24"/>
                <w:szCs w:val="28"/>
              </w:rPr>
            </w:pPr>
            <w:r>
              <w:rPr>
                <w:rFonts w:hint="eastAsia"/>
                <w:sz w:val="24"/>
                <w:szCs w:val="28"/>
              </w:rPr>
              <w:t>不采纳</w:t>
            </w:r>
          </w:p>
        </w:tc>
        <w:tc>
          <w:tcPr>
            <w:tcW w:w="2895" w:type="dxa"/>
            <w:vAlign w:val="center"/>
          </w:tcPr>
          <w:p>
            <w:pPr>
              <w:pStyle w:val="13"/>
              <w:rPr>
                <w:sz w:val="24"/>
                <w:szCs w:val="28"/>
              </w:rPr>
            </w:pPr>
            <w:r>
              <w:rPr>
                <w:rFonts w:hint="eastAsia"/>
                <w:sz w:val="24"/>
                <w:szCs w:val="28"/>
              </w:rPr>
              <w:t>将在细则指引中明确此类内容，不在《办法》中细化</w:t>
            </w:r>
          </w:p>
        </w:tc>
      </w:tr>
    </w:tbl>
    <w:p>
      <w:pPr>
        <w:ind w:firstLine="6095" w:firstLineChars="1929"/>
        <w:jc w:val="center"/>
      </w:pPr>
    </w:p>
    <w:sectPr>
      <w:headerReference r:id="rId7" w:type="first"/>
      <w:footerReference r:id="rId10" w:type="first"/>
      <w:headerReference r:id="rId5" w:type="default"/>
      <w:footerReference r:id="rId8" w:type="default"/>
      <w:headerReference r:id="rId6" w:type="even"/>
      <w:footerReference r:id="rId9" w:type="even"/>
      <w:pgSz w:w="11906" w:h="16838"/>
      <w:pgMar w:top="2041" w:right="1531" w:bottom="2041" w:left="1531" w:header="851" w:footer="992" w:gutter="0"/>
      <w:cols w:space="425"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32"/>
      </w:pPr>
      <w:r>
        <w:separator/>
      </w:r>
    </w:p>
  </w:endnote>
  <w:endnote w:type="continuationSeparator" w:id="1">
    <w:p>
      <w:pPr>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仿宋" w:hAnsi="仿宋"/>
        <w:sz w:val="28"/>
        <w:szCs w:val="28"/>
      </w:rPr>
      <w:id w:val="1445261505"/>
      <w:docPartObj>
        <w:docPartGallery w:val="AutoText"/>
      </w:docPartObj>
    </w:sdtPr>
    <w:sdtEndPr>
      <w:rPr>
        <w:rFonts w:ascii="宋体" w:hAnsi="宋体" w:eastAsia="宋体"/>
        <w:sz w:val="28"/>
        <w:szCs w:val="28"/>
      </w:rPr>
    </w:sdtEndPr>
    <w:sdtContent>
      <w:p>
        <w:pPr>
          <w:pStyle w:val="3"/>
          <w:ind w:firstLine="0" w:firstLineChars="0"/>
          <w:jc w:val="center"/>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32"/>
      </w:pPr>
      <w:r>
        <w:separator/>
      </w:r>
    </w:p>
  </w:footnote>
  <w:footnote w:type="continuationSeparator" w:id="1">
    <w:p>
      <w:pPr>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58"/>
  <w:drawingGridVerticalSpacing w:val="579"/>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28C"/>
    <w:rsid w:val="00000DF8"/>
    <w:rsid w:val="00002002"/>
    <w:rsid w:val="00011765"/>
    <w:rsid w:val="000471D5"/>
    <w:rsid w:val="000B2E25"/>
    <w:rsid w:val="00290F4A"/>
    <w:rsid w:val="002A1853"/>
    <w:rsid w:val="002D680E"/>
    <w:rsid w:val="003509FA"/>
    <w:rsid w:val="004409A9"/>
    <w:rsid w:val="004476BA"/>
    <w:rsid w:val="00450596"/>
    <w:rsid w:val="00642878"/>
    <w:rsid w:val="006431EA"/>
    <w:rsid w:val="0068085B"/>
    <w:rsid w:val="00703032"/>
    <w:rsid w:val="00746507"/>
    <w:rsid w:val="007F36C6"/>
    <w:rsid w:val="0083026B"/>
    <w:rsid w:val="008A3561"/>
    <w:rsid w:val="00912466"/>
    <w:rsid w:val="00950BC9"/>
    <w:rsid w:val="009A4293"/>
    <w:rsid w:val="00A4400F"/>
    <w:rsid w:val="00A65253"/>
    <w:rsid w:val="00A92223"/>
    <w:rsid w:val="00AC12FE"/>
    <w:rsid w:val="00BE4A66"/>
    <w:rsid w:val="00C0750C"/>
    <w:rsid w:val="00C242C0"/>
    <w:rsid w:val="00C50E09"/>
    <w:rsid w:val="00C8537A"/>
    <w:rsid w:val="00CE384B"/>
    <w:rsid w:val="00D06DAB"/>
    <w:rsid w:val="00D12988"/>
    <w:rsid w:val="00D17199"/>
    <w:rsid w:val="00D65ABB"/>
    <w:rsid w:val="00D837CF"/>
    <w:rsid w:val="00DC628C"/>
    <w:rsid w:val="09FB74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640" w:firstLineChars="200"/>
      <w:jc w:val="both"/>
    </w:pPr>
    <w:rPr>
      <w:rFonts w:ascii="Times New Roman" w:hAnsi="Times New Roman" w:eastAsia="仿宋" w:cstheme="minorBidi"/>
      <w:kern w:val="2"/>
      <w:sz w:val="32"/>
      <w:szCs w:val="32"/>
      <w:lang w:val="en-US" w:eastAsia="zh-CN" w:bidi="ar-SA"/>
    </w:rPr>
  </w:style>
  <w:style w:type="paragraph" w:styleId="2">
    <w:name w:val="heading 1"/>
    <w:basedOn w:val="1"/>
    <w:next w:val="1"/>
    <w:link w:val="11"/>
    <w:qFormat/>
    <w:uiPriority w:val="9"/>
    <w:pPr>
      <w:ind w:firstLine="0" w:firstLineChars="0"/>
      <w:jc w:val="center"/>
      <w:outlineLvl w:val="0"/>
    </w:pPr>
    <w:rPr>
      <w:rFonts w:ascii="方正小标宋简体" w:hAnsi="方正小标宋简体" w:eastAsia="方正小标宋简体"/>
      <w:sz w:val="40"/>
      <w:szCs w:val="40"/>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2"/>
    <w:next w:val="1"/>
    <w:link w:val="12"/>
    <w:qFormat/>
    <w:uiPriority w:val="10"/>
    <w:rPr>
      <w:sz w:val="36"/>
      <w:szCs w:val="36"/>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4"/>
    <w:uiPriority w:val="99"/>
    <w:rPr>
      <w:sz w:val="18"/>
      <w:szCs w:val="18"/>
    </w:rPr>
  </w:style>
  <w:style w:type="character" w:customStyle="1" w:styleId="10">
    <w:name w:val="页脚 字符"/>
    <w:basedOn w:val="8"/>
    <w:link w:val="3"/>
    <w:uiPriority w:val="99"/>
    <w:rPr>
      <w:sz w:val="18"/>
      <w:szCs w:val="18"/>
    </w:rPr>
  </w:style>
  <w:style w:type="character" w:customStyle="1" w:styleId="11">
    <w:name w:val="标题 1 字符"/>
    <w:basedOn w:val="8"/>
    <w:link w:val="2"/>
    <w:qFormat/>
    <w:uiPriority w:val="9"/>
    <w:rPr>
      <w:rFonts w:ascii="方正小标宋简体" w:hAnsi="方正小标宋简体" w:eastAsia="方正小标宋简体"/>
      <w:sz w:val="40"/>
      <w:szCs w:val="40"/>
    </w:rPr>
  </w:style>
  <w:style w:type="character" w:customStyle="1" w:styleId="12">
    <w:name w:val="标题 字符"/>
    <w:basedOn w:val="8"/>
    <w:link w:val="5"/>
    <w:qFormat/>
    <w:uiPriority w:val="10"/>
    <w:rPr>
      <w:rFonts w:ascii="方正小标宋简体" w:hAnsi="方正小标宋简体" w:eastAsia="方正小标宋简体"/>
      <w:sz w:val="36"/>
      <w:szCs w:val="36"/>
    </w:rPr>
  </w:style>
  <w:style w:type="paragraph" w:styleId="13">
    <w:name w:val="No Spacing"/>
    <w:qFormat/>
    <w:uiPriority w:val="1"/>
    <w:pPr>
      <w:widowControl w:val="0"/>
      <w:snapToGrid w:val="0"/>
      <w:jc w:val="both"/>
    </w:pPr>
    <w:rPr>
      <w:rFonts w:ascii="仿宋" w:hAnsi="仿宋" w:eastAsia="仿宋" w:cstheme="minorBidi"/>
      <w:kern w:val="2"/>
      <w:sz w:val="28"/>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博罗县自然资源局</Company>
  <Pages>3</Pages>
  <Words>255</Words>
  <Characters>1459</Characters>
  <Lines>12</Lines>
  <Paragraphs>3</Paragraphs>
  <TotalTime>102</TotalTime>
  <ScaleCrop>false</ScaleCrop>
  <LinksUpToDate>false</LinksUpToDate>
  <CharactersWithSpaces>1711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2021-12-23T00:49:00Z</dcterms:created>
  <dc:creator>宫本堂</dc:creator>
  <cp:lastModifiedBy>幸运的人</cp:lastModifiedBy>
  <dcterms:modified xsi:type="dcterms:W3CDTF">2022-01-10T03:30:36Z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9A439B06C8074ECFB22583308097E5FE</vt:lpwstr>
  </property>
</Properties>
</file>