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eastAsia="zh-CN"/>
        </w:rPr>
        <w:t>附件</w:t>
      </w:r>
      <w:r>
        <w:rPr>
          <w:rFonts w:hint="eastAsia" w:ascii="仿宋_GB2312" w:hAnsi="仿宋_GB2312" w:eastAsia="仿宋_GB2312"/>
          <w:color w:val="auto"/>
          <w:sz w:val="32"/>
          <w:szCs w:val="32"/>
          <w:lang w:val="en-US" w:eastAsia="zh-CN"/>
        </w:rPr>
        <w:t>：</w:t>
      </w:r>
    </w:p>
    <w:p>
      <w:pPr>
        <w:pStyle w:val="2"/>
        <w:rPr>
          <w:rFonts w:hint="default"/>
          <w:color w:val="auto"/>
          <w:lang w:val="en-US" w:eastAsia="zh-CN"/>
        </w:rPr>
      </w:pPr>
    </w:p>
    <w:p>
      <w:pPr>
        <w:jc w:val="center"/>
        <w:rPr>
          <w:rFonts w:hint="eastAsia" w:ascii="黑体" w:hAnsi="黑体" w:eastAsia="黑体" w:cs="黑体"/>
          <w:color w:val="auto"/>
          <w:sz w:val="44"/>
          <w:szCs w:val="44"/>
          <w:lang w:eastAsia="zh-CN"/>
        </w:rPr>
      </w:pPr>
      <w:r>
        <w:rPr>
          <w:rFonts w:hint="eastAsia" w:ascii="黑体" w:hAnsi="黑体" w:eastAsia="黑体" w:cs="黑体"/>
          <w:color w:val="auto"/>
          <w:sz w:val="44"/>
          <w:szCs w:val="44"/>
          <w:lang w:eastAsia="zh-CN"/>
        </w:rPr>
        <w:t>博罗县</w:t>
      </w:r>
      <w:r>
        <w:rPr>
          <w:rFonts w:hint="eastAsia" w:ascii="黑体" w:hAnsi="黑体" w:eastAsia="黑体" w:cs="黑体"/>
          <w:color w:val="auto"/>
          <w:sz w:val="44"/>
          <w:szCs w:val="44"/>
          <w:lang w:val="en-US" w:eastAsia="zh-CN"/>
        </w:rPr>
        <w:t>2023年</w:t>
      </w:r>
      <w:r>
        <w:rPr>
          <w:rFonts w:hint="eastAsia" w:ascii="黑体" w:hAnsi="黑体" w:eastAsia="黑体" w:cs="黑体"/>
          <w:color w:val="auto"/>
          <w:sz w:val="44"/>
          <w:szCs w:val="44"/>
          <w:lang w:eastAsia="zh-CN"/>
        </w:rPr>
        <w:t>企业上云上平台申报指南</w:t>
      </w:r>
    </w:p>
    <w:p>
      <w:pPr>
        <w:rPr>
          <w:rFonts w:hint="eastAsia" w:ascii="仿宋_GB2312" w:hAnsi="仿宋_GB2312" w:eastAsia="仿宋_GB2312"/>
          <w:color w:val="auto"/>
          <w:sz w:val="32"/>
          <w:szCs w:val="32"/>
          <w:lang w:eastAsia="zh-CN"/>
        </w:rPr>
      </w:pPr>
    </w:p>
    <w:p>
      <w:pPr>
        <w:spacing w:line="360" w:lineRule="auto"/>
        <w:ind w:firstLine="640" w:firstLineChars="200"/>
        <w:rPr>
          <w:rFonts w:hint="default" w:ascii="仿宋_GB2312" w:hAnsi="仿宋_GB2312" w:eastAsia="仿宋_GB2312"/>
          <w:color w:val="auto"/>
          <w:sz w:val="32"/>
          <w:szCs w:val="32"/>
          <w:lang w:val="en-US" w:eastAsia="zh-CN"/>
        </w:rPr>
      </w:pPr>
      <w:r>
        <w:rPr>
          <w:rFonts w:hint="eastAsia" w:ascii="黑体" w:hAnsi="黑体" w:eastAsia="黑体" w:cs="黑体"/>
          <w:color w:val="auto"/>
          <w:sz w:val="32"/>
          <w:szCs w:val="40"/>
          <w:lang w:eastAsia="zh-CN"/>
        </w:rPr>
        <w:t>一</w:t>
      </w:r>
      <w:r>
        <w:rPr>
          <w:rFonts w:hint="eastAsia" w:ascii="黑体" w:hAnsi="黑体" w:eastAsia="黑体" w:cs="黑体"/>
          <w:color w:val="auto"/>
          <w:sz w:val="32"/>
          <w:szCs w:val="40"/>
        </w:rPr>
        <w:t>、支持范围</w:t>
      </w:r>
    </w:p>
    <w:p>
      <w:pPr>
        <w:pStyle w:val="9"/>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ascii="仿宋_GB2312" w:hAnsi="仿宋_GB2312" w:eastAsia="仿宋_GB2312"/>
          <w:color w:val="auto"/>
          <w:sz w:val="32"/>
          <w:szCs w:val="32"/>
        </w:rPr>
      </w:pPr>
      <w:r>
        <w:rPr>
          <w:rFonts w:hint="eastAsia" w:ascii="仿宋_GB2312" w:hAnsi="仿宋_GB2312" w:eastAsia="仿宋_GB2312"/>
          <w:color w:val="auto"/>
          <w:sz w:val="32"/>
          <w:szCs w:val="32"/>
          <w:lang w:val="en-US" w:eastAsia="zh-CN"/>
        </w:rPr>
        <w:t>1、</w:t>
      </w:r>
      <w:r>
        <w:rPr>
          <w:rFonts w:hint="eastAsia" w:ascii="仿宋_GB2312" w:hAnsi="仿宋_GB2312" w:eastAsia="仿宋_GB2312"/>
          <w:color w:val="auto"/>
          <w:sz w:val="32"/>
          <w:szCs w:val="32"/>
          <w:highlight w:val="none"/>
        </w:rPr>
        <w:t>在博罗县内依法设立</w:t>
      </w:r>
      <w:r>
        <w:rPr>
          <w:rFonts w:hint="eastAsia" w:ascii="仿宋_GB2312" w:hAnsi="仿宋_GB2312" w:eastAsia="仿宋_GB2312"/>
          <w:color w:val="auto"/>
          <w:sz w:val="32"/>
          <w:szCs w:val="32"/>
          <w:highlight w:val="none"/>
          <w:lang w:eastAsia="zh-CN"/>
        </w:rPr>
        <w:t>具</w:t>
      </w:r>
      <w:r>
        <w:rPr>
          <w:rFonts w:hint="eastAsia" w:ascii="仿宋_GB2312" w:hAnsi="仿宋_GB2312" w:eastAsia="仿宋_GB2312"/>
          <w:color w:val="auto"/>
          <w:sz w:val="32"/>
          <w:szCs w:val="40"/>
          <w:highlight w:val="none"/>
        </w:rPr>
        <w:t>有独立法人</w:t>
      </w:r>
      <w:r>
        <w:rPr>
          <w:rFonts w:hint="eastAsia" w:ascii="仿宋_GB2312" w:hAnsi="仿宋_GB2312" w:eastAsia="仿宋_GB2312"/>
          <w:color w:val="auto"/>
          <w:sz w:val="32"/>
          <w:szCs w:val="40"/>
          <w:highlight w:val="none"/>
          <w:lang w:eastAsia="zh-CN"/>
        </w:rPr>
        <w:t>资格</w:t>
      </w:r>
      <w:r>
        <w:rPr>
          <w:rFonts w:hint="eastAsia" w:ascii="仿宋_GB2312" w:hAnsi="仿宋_GB2312" w:eastAsia="仿宋_GB2312"/>
          <w:color w:val="auto"/>
          <w:sz w:val="32"/>
          <w:szCs w:val="32"/>
          <w:highlight w:val="none"/>
        </w:rPr>
        <w:t>并有效存续</w:t>
      </w:r>
      <w:r>
        <w:rPr>
          <w:rFonts w:hint="eastAsia" w:ascii="仿宋_GB2312" w:hAnsi="仿宋_GB2312" w:eastAsia="仿宋_GB2312"/>
          <w:color w:val="auto"/>
          <w:sz w:val="32"/>
          <w:szCs w:val="40"/>
          <w:highlight w:val="none"/>
        </w:rPr>
        <w:t>的工业企业</w:t>
      </w:r>
      <w:r>
        <w:rPr>
          <w:rFonts w:hint="eastAsia" w:ascii="仿宋_GB2312" w:hAnsi="仿宋_GB2312" w:eastAsia="仿宋_GB2312"/>
          <w:color w:val="auto"/>
          <w:sz w:val="32"/>
          <w:szCs w:val="32"/>
          <w:highlight w:val="none"/>
        </w:rPr>
        <w:t>；</w:t>
      </w:r>
    </w:p>
    <w:p>
      <w:pPr>
        <w:pStyle w:val="9"/>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ascii="仿宋_GB2312" w:hAnsi="仿宋_GB2312" w:eastAsia="仿宋_GB2312"/>
          <w:color w:val="auto"/>
          <w:sz w:val="32"/>
          <w:szCs w:val="32"/>
        </w:rPr>
      </w:pPr>
      <w:r>
        <w:rPr>
          <w:rFonts w:hint="eastAsia" w:ascii="仿宋_GB2312" w:hAnsi="仿宋_GB2312" w:eastAsia="仿宋_GB2312"/>
          <w:color w:val="auto"/>
          <w:sz w:val="32"/>
          <w:szCs w:val="32"/>
          <w:lang w:val="en-US" w:eastAsia="zh-CN"/>
        </w:rPr>
        <w:t>2、</w:t>
      </w:r>
      <w:r>
        <w:rPr>
          <w:rFonts w:hint="eastAsia" w:ascii="仿宋_GB2312" w:hAnsi="仿宋_GB2312" w:eastAsia="仿宋_GB2312"/>
          <w:color w:val="auto"/>
          <w:sz w:val="32"/>
          <w:szCs w:val="32"/>
        </w:rPr>
        <w:t>企业近</w:t>
      </w:r>
      <w:r>
        <w:rPr>
          <w:rFonts w:hint="eastAsia" w:ascii="仿宋_GB2312" w:hAnsi="仿宋_GB2312" w:eastAsia="仿宋_GB2312"/>
          <w:color w:val="auto"/>
          <w:sz w:val="32"/>
          <w:szCs w:val="32"/>
          <w:lang w:val="en-US" w:eastAsia="zh-CN"/>
        </w:rPr>
        <w:t>3</w:t>
      </w:r>
      <w:r>
        <w:rPr>
          <w:rFonts w:hint="eastAsia" w:ascii="仿宋_GB2312" w:hAnsi="仿宋_GB2312" w:eastAsia="仿宋_GB2312"/>
          <w:color w:val="auto"/>
          <w:sz w:val="32"/>
          <w:szCs w:val="32"/>
        </w:rPr>
        <w:t>年内未出现过财政资金严重违法违规情况及严重失信问题；</w:t>
      </w:r>
    </w:p>
    <w:p>
      <w:pPr>
        <w:pStyle w:val="9"/>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ascii="仿宋_GB2312" w:hAnsi="仿宋_GB2312" w:eastAsia="仿宋_GB2312"/>
          <w:color w:val="auto"/>
          <w:sz w:val="32"/>
          <w:szCs w:val="32"/>
        </w:rPr>
      </w:pPr>
      <w:r>
        <w:rPr>
          <w:rFonts w:hint="eastAsia" w:ascii="仿宋_GB2312" w:hAnsi="仿宋_GB2312" w:eastAsia="仿宋_GB2312"/>
          <w:color w:val="auto"/>
          <w:sz w:val="32"/>
          <w:szCs w:val="32"/>
          <w:lang w:val="en-US" w:eastAsia="zh-CN"/>
        </w:rPr>
        <w:t>3、</w:t>
      </w:r>
      <w:r>
        <w:rPr>
          <w:rFonts w:hint="eastAsia" w:ascii="仿宋_GB2312" w:hAnsi="仿宋_GB2312" w:eastAsia="仿宋_GB2312"/>
          <w:color w:val="auto"/>
          <w:sz w:val="32"/>
          <w:szCs w:val="32"/>
        </w:rPr>
        <w:t>企业“上云上平台”涉及的内容，未获得过其他财政专项资金；</w:t>
      </w:r>
    </w:p>
    <w:p>
      <w:pPr>
        <w:pStyle w:val="9"/>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ascii="仿宋_GB2312" w:hAnsi="仿宋_GB2312" w:eastAsia="仿宋_GB2312"/>
          <w:color w:val="auto"/>
          <w:sz w:val="32"/>
          <w:szCs w:val="32"/>
        </w:rPr>
      </w:pPr>
      <w:r>
        <w:rPr>
          <w:rFonts w:hint="eastAsia" w:ascii="仿宋_GB2312" w:hAnsi="仿宋_GB2312" w:eastAsia="仿宋_GB2312"/>
          <w:color w:val="auto"/>
          <w:sz w:val="32"/>
          <w:szCs w:val="32"/>
          <w:lang w:val="en-US" w:eastAsia="zh-CN"/>
        </w:rPr>
        <w:t>4、企业</w:t>
      </w:r>
      <w:r>
        <w:rPr>
          <w:rFonts w:hint="eastAsia" w:ascii="仿宋_GB2312" w:hAnsi="仿宋_GB2312" w:eastAsia="仿宋_GB2312"/>
          <w:color w:val="auto"/>
          <w:sz w:val="32"/>
          <w:szCs w:val="32"/>
        </w:rPr>
        <w:t>“上云上平台”</w:t>
      </w:r>
      <w:r>
        <w:rPr>
          <w:rFonts w:hint="eastAsia" w:ascii="仿宋_GB2312" w:hAnsi="仿宋_GB2312" w:eastAsia="仿宋_GB2312"/>
          <w:color w:val="auto"/>
          <w:sz w:val="32"/>
          <w:szCs w:val="32"/>
          <w:lang w:eastAsia="zh-CN"/>
        </w:rPr>
        <w:t>项目</w:t>
      </w:r>
      <w:r>
        <w:rPr>
          <w:rFonts w:hint="eastAsia" w:ascii="Times New Roman" w:hAnsi="Times New Roman" w:eastAsia="仿宋_GB2312" w:cs="Times New Roman"/>
          <w:color w:val="auto"/>
          <w:kern w:val="0"/>
          <w:sz w:val="32"/>
          <w:szCs w:val="32"/>
          <w:lang w:val="en-US" w:eastAsia="zh-CN"/>
        </w:rPr>
        <w:t>未获得过市专项资金；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5、企业“上云上平台”的实施地点应在博罗县辖区内，购买设备后服务类应用产品的，上云设备可在外地。</w:t>
      </w:r>
    </w:p>
    <w:p>
      <w:pPr>
        <w:spacing w:line="360" w:lineRule="auto"/>
        <w:ind w:firstLine="640" w:firstLineChars="200"/>
        <w:rPr>
          <w:rFonts w:hint="eastAsia" w:ascii="仿宋_GB2312" w:hAnsi="仿宋_GB2312" w:eastAsia="仿宋_GB2312"/>
          <w:color w:val="auto"/>
          <w:sz w:val="32"/>
          <w:szCs w:val="40"/>
          <w:lang w:eastAsia="zh-CN"/>
        </w:rPr>
      </w:pPr>
      <w:r>
        <w:rPr>
          <w:rFonts w:hint="eastAsia" w:ascii="仿宋_GB2312" w:hAnsi="仿宋_GB2312" w:eastAsia="仿宋_GB2312"/>
          <w:color w:val="auto"/>
          <w:sz w:val="32"/>
          <w:szCs w:val="40"/>
          <w:lang w:val="en-US" w:eastAsia="zh-CN"/>
        </w:rPr>
        <w:t>6、本</w:t>
      </w:r>
      <w:r>
        <w:rPr>
          <w:rFonts w:hint="eastAsia" w:ascii="仿宋_GB2312" w:hAnsi="仿宋_GB2312" w:eastAsia="仿宋_GB2312"/>
          <w:color w:val="auto"/>
          <w:sz w:val="32"/>
          <w:szCs w:val="40"/>
        </w:rPr>
        <w:t>奖补</w:t>
      </w:r>
      <w:r>
        <w:rPr>
          <w:rFonts w:hint="eastAsia" w:ascii="仿宋_GB2312" w:hAnsi="仿宋_GB2312" w:eastAsia="仿宋_GB2312"/>
          <w:color w:val="auto"/>
          <w:sz w:val="32"/>
          <w:szCs w:val="40"/>
          <w:lang w:eastAsia="zh-CN"/>
        </w:rPr>
        <w:t>专项资金</w:t>
      </w:r>
      <w:r>
        <w:rPr>
          <w:rFonts w:hint="eastAsia" w:ascii="仿宋_GB2312" w:hAnsi="仿宋_GB2312" w:eastAsia="仿宋_GB2312"/>
          <w:color w:val="auto"/>
          <w:sz w:val="32"/>
          <w:szCs w:val="40"/>
        </w:rPr>
        <w:t>适用</w:t>
      </w:r>
      <w:r>
        <w:rPr>
          <w:rFonts w:hint="eastAsia" w:ascii="仿宋_GB2312" w:hAnsi="仿宋_GB2312" w:eastAsia="仿宋_GB2312"/>
          <w:color w:val="auto"/>
          <w:sz w:val="32"/>
          <w:szCs w:val="40"/>
          <w:lang w:eastAsia="zh-CN"/>
        </w:rPr>
        <w:t>服务商</w:t>
      </w:r>
      <w:r>
        <w:rPr>
          <w:rFonts w:hint="eastAsia" w:ascii="仿宋_GB2312" w:hAnsi="仿宋_GB2312" w:eastAsia="仿宋_GB2312"/>
          <w:color w:val="auto"/>
          <w:sz w:val="32"/>
          <w:szCs w:val="40"/>
        </w:rPr>
        <w:t>由博罗县科技工业和信息化局</w:t>
      </w:r>
      <w:r>
        <w:rPr>
          <w:rFonts w:hint="eastAsia" w:ascii="仿宋_GB2312" w:hAnsi="仿宋_GB2312" w:eastAsia="仿宋_GB2312"/>
          <w:color w:val="auto"/>
          <w:sz w:val="32"/>
          <w:szCs w:val="40"/>
          <w:lang w:eastAsia="zh-CN"/>
        </w:rPr>
        <w:t>完成有关</w:t>
      </w:r>
      <w:r>
        <w:rPr>
          <w:rFonts w:hint="eastAsia" w:ascii="仿宋_GB2312" w:hAnsi="仿宋_GB2312" w:eastAsia="仿宋_GB2312"/>
          <w:color w:val="auto"/>
          <w:sz w:val="32"/>
          <w:szCs w:val="40"/>
        </w:rPr>
        <w:t>服务商入库工作后公布</w:t>
      </w:r>
      <w:r>
        <w:rPr>
          <w:rFonts w:hint="eastAsia" w:ascii="仿宋_GB2312" w:hAnsi="仿宋_GB2312" w:eastAsia="仿宋_GB2312"/>
          <w:color w:val="auto"/>
          <w:sz w:val="32"/>
          <w:szCs w:val="40"/>
          <w:lang w:eastAsia="zh-CN"/>
        </w:rPr>
        <w:t>，以后不断对</w:t>
      </w:r>
      <w:r>
        <w:rPr>
          <w:rFonts w:hint="eastAsia" w:ascii="仿宋_GB2312" w:hAnsi="仿宋_GB2312" w:eastAsia="仿宋_GB2312"/>
          <w:color w:val="auto"/>
          <w:sz w:val="32"/>
          <w:szCs w:val="40"/>
        </w:rPr>
        <w:t>适用应用产品目录</w:t>
      </w:r>
      <w:r>
        <w:rPr>
          <w:rFonts w:hint="eastAsia" w:ascii="仿宋_GB2312" w:hAnsi="仿宋_GB2312" w:eastAsia="仿宋_GB2312"/>
          <w:color w:val="auto"/>
          <w:sz w:val="32"/>
          <w:szCs w:val="40"/>
          <w:lang w:eastAsia="zh-CN"/>
        </w:rPr>
        <w:t>（附件</w:t>
      </w:r>
      <w:r>
        <w:rPr>
          <w:rFonts w:hint="eastAsia" w:ascii="仿宋_GB2312" w:hAnsi="仿宋_GB2312" w:eastAsia="仿宋_GB2312"/>
          <w:color w:val="auto"/>
          <w:sz w:val="32"/>
          <w:szCs w:val="40"/>
          <w:lang w:val="en-US" w:eastAsia="zh-CN"/>
        </w:rPr>
        <w:t>3</w:t>
      </w:r>
      <w:r>
        <w:rPr>
          <w:rFonts w:hint="eastAsia" w:ascii="仿宋_GB2312" w:hAnsi="仿宋_GB2312" w:eastAsia="仿宋_GB2312"/>
          <w:color w:val="auto"/>
          <w:sz w:val="32"/>
          <w:szCs w:val="40"/>
          <w:lang w:eastAsia="zh-CN"/>
        </w:rPr>
        <w:t>）和入库服务商进行迭代更新</w:t>
      </w:r>
      <w:r>
        <w:rPr>
          <w:rFonts w:hint="eastAsia" w:ascii="仿宋_GB2312" w:hAnsi="仿宋_GB2312" w:eastAsia="仿宋_GB2312"/>
          <w:color w:val="auto"/>
          <w:sz w:val="32"/>
          <w:szCs w:val="40"/>
        </w:rPr>
        <w:t>。</w:t>
      </w:r>
    </w:p>
    <w:p>
      <w:pPr>
        <w:pStyle w:val="10"/>
        <w:widowControl/>
        <w:spacing w:line="360" w:lineRule="auto"/>
        <w:ind w:firstLine="640" w:firstLineChars="200"/>
        <w:jc w:val="left"/>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、奖补</w:t>
      </w:r>
      <w:r>
        <w:rPr>
          <w:rFonts w:hint="eastAsia" w:ascii="黑体" w:hAnsi="黑体" w:eastAsia="黑体" w:cs="黑体"/>
          <w:color w:val="auto"/>
          <w:sz w:val="32"/>
          <w:szCs w:val="32"/>
          <w:lang w:eastAsia="zh-CN"/>
        </w:rPr>
        <w:t>标准</w:t>
      </w:r>
    </w:p>
    <w:p>
      <w:pPr>
        <w:spacing w:line="360" w:lineRule="auto"/>
        <w:ind w:firstLine="640" w:firstLineChars="200"/>
        <w:rPr>
          <w:rFonts w:ascii="仿宋_GB2312" w:hAnsi="仿宋_GB2312" w:eastAsia="仿宋_GB2312"/>
          <w:color w:val="auto"/>
          <w:sz w:val="32"/>
          <w:szCs w:val="32"/>
        </w:rPr>
      </w:pPr>
      <w:r>
        <w:rPr>
          <w:rFonts w:hint="eastAsia" w:ascii="仿宋_GB2312" w:hAnsi="仿宋_GB2312" w:eastAsia="仿宋_GB2312" w:cs="方正楷体_GBK"/>
          <w:color w:val="auto"/>
          <w:sz w:val="32"/>
          <w:szCs w:val="32"/>
        </w:rPr>
        <w:t>（一）奖补比例</w:t>
      </w:r>
      <w:r>
        <w:rPr>
          <w:rFonts w:hint="eastAsia" w:ascii="仿宋_GB2312" w:hAnsi="仿宋_GB2312" w:eastAsia="仿宋_GB2312" w:cs="方正楷体_GBK"/>
          <w:color w:val="auto"/>
          <w:sz w:val="32"/>
          <w:szCs w:val="32"/>
          <w:lang w:eastAsia="zh-CN"/>
        </w:rPr>
        <w:t>。</w:t>
      </w:r>
      <w:r>
        <w:rPr>
          <w:rFonts w:ascii="仿宋_GB2312" w:hAnsi="仿宋_GB2312" w:eastAsia="仿宋_GB2312"/>
          <w:color w:val="auto"/>
          <w:kern w:val="0"/>
          <w:sz w:val="32"/>
          <w:szCs w:val="32"/>
        </w:rPr>
        <w:t>不超过实际合同额</w:t>
      </w:r>
      <w:r>
        <w:rPr>
          <w:rFonts w:hint="eastAsia" w:ascii="仿宋_GB2312" w:hAnsi="仿宋_GB2312" w:eastAsia="仿宋_GB2312"/>
          <w:color w:val="auto"/>
          <w:kern w:val="0"/>
          <w:sz w:val="32"/>
          <w:szCs w:val="32"/>
        </w:rPr>
        <w:t>的60</w:t>
      </w:r>
      <w:r>
        <w:rPr>
          <w:rFonts w:ascii="仿宋_GB2312" w:hAnsi="仿宋_GB2312" w:eastAsia="仿宋_GB2312"/>
          <w:color w:val="auto"/>
          <w:kern w:val="0"/>
          <w:sz w:val="32"/>
          <w:szCs w:val="32"/>
        </w:rPr>
        <w:t>%（含），且不超出该应用所属目录分类的奖补上限。单个企业当年度享受</w:t>
      </w:r>
      <w:r>
        <w:rPr>
          <w:rFonts w:hint="eastAsia" w:ascii="仿宋_GB2312" w:hAnsi="仿宋_GB2312" w:eastAsia="仿宋_GB2312"/>
          <w:color w:val="auto"/>
          <w:kern w:val="0"/>
          <w:sz w:val="32"/>
          <w:szCs w:val="32"/>
        </w:rPr>
        <w:t>县</w:t>
      </w:r>
      <w:r>
        <w:rPr>
          <w:rFonts w:ascii="仿宋_GB2312" w:hAnsi="仿宋_GB2312" w:eastAsia="仿宋_GB2312"/>
          <w:color w:val="auto"/>
          <w:kern w:val="0"/>
          <w:sz w:val="32"/>
          <w:szCs w:val="32"/>
        </w:rPr>
        <w:t>政府财政资金奖补上限为20万元。</w:t>
      </w:r>
    </w:p>
    <w:p>
      <w:pPr>
        <w:spacing w:line="360" w:lineRule="auto"/>
        <w:ind w:firstLine="640" w:firstLineChars="200"/>
        <w:rPr>
          <w:rFonts w:hint="default" w:ascii="仿宋_GB2312" w:hAnsi="仿宋_GB2312" w:eastAsia="仿宋_GB2312" w:cs="方正楷体_GBK"/>
          <w:color w:val="auto"/>
          <w:sz w:val="32"/>
          <w:szCs w:val="32"/>
          <w:lang w:val="en-US" w:eastAsia="zh-CN"/>
        </w:rPr>
      </w:pPr>
      <w:r>
        <w:rPr>
          <w:rFonts w:hint="eastAsia" w:ascii="仿宋_GB2312" w:hAnsi="仿宋_GB2312" w:eastAsia="仿宋_GB2312" w:cs="方正楷体_GBK"/>
          <w:color w:val="auto"/>
          <w:sz w:val="32"/>
          <w:szCs w:val="32"/>
          <w:lang w:eastAsia="zh-CN"/>
        </w:rPr>
        <w:t>（二）适用项目合同期限。申报本次奖补专项资金的应用服务合同适用于</w:t>
      </w:r>
      <w:r>
        <w:rPr>
          <w:rFonts w:hint="eastAsia" w:ascii="仿宋_GB2312" w:hAnsi="仿宋_GB2312" w:eastAsia="仿宋_GB2312" w:cs="方正楷体_GBK"/>
          <w:color w:val="auto"/>
          <w:sz w:val="32"/>
          <w:szCs w:val="32"/>
          <w:lang w:val="en-US" w:eastAsia="zh-CN"/>
        </w:rPr>
        <w:t>2021年8月1日至2022年7月31日期间签订的合同。</w:t>
      </w:r>
    </w:p>
    <w:p>
      <w:pPr>
        <w:spacing w:line="360" w:lineRule="auto"/>
        <w:ind w:firstLine="640" w:firstLineChars="200"/>
        <w:rPr>
          <w:rFonts w:hint="eastAsia" w:ascii="仿宋_GB2312" w:hAnsi="仿宋_GB2312" w:eastAsia="仿宋_GB2312"/>
          <w:color w:val="auto"/>
          <w:sz w:val="32"/>
          <w:szCs w:val="32"/>
          <w:lang w:eastAsia="zh-CN"/>
        </w:rPr>
      </w:pPr>
      <w:r>
        <w:rPr>
          <w:rFonts w:hint="eastAsia" w:ascii="仿宋_GB2312" w:hAnsi="仿宋_GB2312" w:eastAsia="仿宋_GB2312" w:cs="方正楷体_GBK"/>
          <w:color w:val="auto"/>
          <w:sz w:val="32"/>
          <w:szCs w:val="32"/>
        </w:rPr>
        <w:t>（</w:t>
      </w:r>
      <w:r>
        <w:rPr>
          <w:rFonts w:hint="eastAsia" w:ascii="仿宋_GB2312" w:hAnsi="仿宋_GB2312" w:eastAsia="仿宋_GB2312" w:cs="方正楷体_GBK"/>
          <w:color w:val="auto"/>
          <w:sz w:val="32"/>
          <w:szCs w:val="32"/>
          <w:lang w:eastAsia="zh-CN"/>
        </w:rPr>
        <w:t>三</w:t>
      </w:r>
      <w:r>
        <w:rPr>
          <w:rFonts w:hint="eastAsia" w:ascii="仿宋_GB2312" w:hAnsi="仿宋_GB2312" w:eastAsia="仿宋_GB2312" w:cs="方正楷体_GBK"/>
          <w:color w:val="auto"/>
          <w:sz w:val="32"/>
          <w:szCs w:val="32"/>
        </w:rPr>
        <w:t>）特别说明。</w:t>
      </w:r>
      <w:r>
        <w:rPr>
          <w:rFonts w:hint="eastAsia" w:ascii="仿宋_GB2312" w:hAnsi="仿宋_GB2312" w:eastAsia="仿宋_GB2312"/>
          <w:b/>
          <w:bCs/>
          <w:color w:val="auto"/>
          <w:sz w:val="32"/>
          <w:szCs w:val="40"/>
        </w:rPr>
        <w:t>一是合同签订要规范。</w:t>
      </w:r>
      <w:r>
        <w:rPr>
          <w:rFonts w:hint="eastAsia" w:ascii="仿宋_GB2312" w:hAnsi="仿宋_GB2312" w:eastAsia="仿宋_GB2312"/>
          <w:color w:val="auto"/>
          <w:sz w:val="32"/>
          <w:szCs w:val="40"/>
        </w:rPr>
        <w:t>项目合同应按照符合规范的商业合同的要求和格式签订，不得利用本政策制定特殊条款（如合同中不能出现“上云上平台奖补”等字眼，合同不能以“上云上平台合同”来命名，建议采用项目名称）；合同中要明确交付企业使用的功能模块，验收报告的项目应与合同内容相对应，对将完成哪些硬件/软件/功能模块/服务的交付使用予以明确；合同中要明确费用明细，如硬件、软件、咨询或实施服务费用等，严禁出现产品服务明显超出市场合理价格定价的问题。</w:t>
      </w:r>
      <w:r>
        <w:rPr>
          <w:rFonts w:hint="eastAsia" w:ascii="仿宋_GB2312" w:hAnsi="仿宋_GB2312" w:eastAsia="仿宋_GB2312"/>
          <w:b/>
          <w:bCs/>
          <w:color w:val="auto"/>
          <w:sz w:val="32"/>
          <w:szCs w:val="40"/>
        </w:rPr>
        <w:t>二是信息要准确。</w:t>
      </w:r>
      <w:r>
        <w:rPr>
          <w:rFonts w:hint="eastAsia" w:ascii="仿宋_GB2312" w:hAnsi="仿宋_GB2312" w:eastAsia="仿宋_GB2312"/>
          <w:color w:val="auto"/>
          <w:sz w:val="32"/>
          <w:szCs w:val="40"/>
        </w:rPr>
        <w:t>比如企业名称</w:t>
      </w:r>
      <w:r>
        <w:rPr>
          <w:rFonts w:hint="eastAsia" w:ascii="仿宋_GB2312" w:hAnsi="仿宋_GB2312" w:eastAsia="仿宋_GB2312"/>
          <w:color w:val="auto"/>
          <w:sz w:val="32"/>
          <w:szCs w:val="40"/>
          <w:lang w:eastAsia="zh-CN"/>
        </w:rPr>
        <w:t>要与营业执照一致</w:t>
      </w:r>
      <w:r>
        <w:rPr>
          <w:rFonts w:hint="eastAsia" w:ascii="仿宋_GB2312" w:hAnsi="仿宋_GB2312" w:eastAsia="仿宋_GB2312"/>
          <w:color w:val="auto"/>
          <w:sz w:val="32"/>
          <w:szCs w:val="40"/>
        </w:rPr>
        <w:t>，应用产品目录填写要规范；合同盖章、签字、日期等不能漏项</w:t>
      </w:r>
      <w:r>
        <w:rPr>
          <w:rFonts w:hint="eastAsia" w:ascii="仿宋_GB2312" w:hAnsi="仿宋_GB2312" w:eastAsia="仿宋_GB2312"/>
          <w:color w:val="auto"/>
          <w:sz w:val="32"/>
          <w:szCs w:val="40"/>
          <w:lang w:eastAsia="zh-CN"/>
        </w:rPr>
        <w:t>；合同金额和申请</w:t>
      </w:r>
      <w:r>
        <w:rPr>
          <w:rFonts w:hint="eastAsia" w:ascii="仿宋_GB2312" w:hAnsi="仿宋_GB2312" w:eastAsia="仿宋_GB2312"/>
          <w:color w:val="auto"/>
          <w:sz w:val="32"/>
          <w:szCs w:val="40"/>
          <w:lang w:val="en-US" w:eastAsia="zh-CN"/>
        </w:rPr>
        <w:t>奖补金额</w:t>
      </w:r>
      <w:r>
        <w:rPr>
          <w:rFonts w:hint="eastAsia" w:ascii="仿宋_GB2312" w:hAnsi="仿宋_GB2312" w:eastAsia="仿宋_GB2312"/>
          <w:color w:val="auto"/>
          <w:sz w:val="32"/>
          <w:szCs w:val="40"/>
          <w:lang w:eastAsia="zh-CN"/>
        </w:rPr>
        <w:t>单位要核对准确</w:t>
      </w:r>
      <w:r>
        <w:rPr>
          <w:rFonts w:hint="eastAsia" w:ascii="仿宋_GB2312" w:hAnsi="仿宋_GB2312" w:eastAsia="仿宋_GB2312"/>
          <w:color w:val="auto"/>
          <w:sz w:val="32"/>
          <w:szCs w:val="40"/>
        </w:rPr>
        <w:t>。</w:t>
      </w:r>
      <w:r>
        <w:rPr>
          <w:rFonts w:hint="eastAsia" w:ascii="仿宋_GB2312" w:hAnsi="仿宋_GB2312" w:eastAsia="仿宋_GB2312"/>
          <w:b/>
          <w:bCs/>
          <w:color w:val="auto"/>
          <w:sz w:val="32"/>
          <w:szCs w:val="40"/>
          <w:lang w:eastAsia="zh-CN"/>
        </w:rPr>
        <w:t>三</w:t>
      </w:r>
      <w:r>
        <w:rPr>
          <w:rFonts w:hint="eastAsia" w:ascii="仿宋_GB2312" w:hAnsi="仿宋_GB2312" w:eastAsia="仿宋_GB2312"/>
          <w:b/>
          <w:bCs/>
          <w:color w:val="auto"/>
          <w:sz w:val="32"/>
          <w:szCs w:val="40"/>
        </w:rPr>
        <w:t>是发票要正规。</w:t>
      </w:r>
      <w:r>
        <w:rPr>
          <w:rFonts w:hint="eastAsia" w:ascii="仿宋_GB2312" w:hAnsi="仿宋_GB2312" w:eastAsia="仿宋_GB2312" w:cs="Times New Roman"/>
          <w:color w:val="auto"/>
          <w:sz w:val="32"/>
          <w:szCs w:val="32"/>
          <w:lang w:val="en-US" w:eastAsia="zh-CN"/>
        </w:rPr>
        <w:t>开具</w:t>
      </w:r>
      <w:r>
        <w:rPr>
          <w:rFonts w:hint="eastAsia" w:ascii="仿宋_GB2312" w:hAnsi="仿宋_GB2312" w:eastAsia="仿宋_GB2312" w:cs="Times New Roman"/>
          <w:color w:val="auto"/>
          <w:sz w:val="32"/>
          <w:szCs w:val="32"/>
        </w:rPr>
        <w:t>增</w:t>
      </w:r>
      <w:r>
        <w:rPr>
          <w:rFonts w:hint="eastAsia" w:ascii="仿宋_GB2312" w:hAnsi="仿宋_GB2312" w:eastAsia="仿宋_GB2312"/>
          <w:color w:val="auto"/>
          <w:sz w:val="32"/>
          <w:szCs w:val="32"/>
        </w:rPr>
        <w:t>值税专用发票，不能使用普通发票，发票名称中应清晰体现对应的项目、系统服务及云租赁等金额明细。</w:t>
      </w:r>
      <w:r>
        <w:rPr>
          <w:rFonts w:hint="eastAsia" w:ascii="仿宋_GB2312" w:hAnsi="仿宋_GB2312" w:eastAsia="仿宋_GB2312"/>
          <w:b/>
          <w:bCs/>
          <w:color w:val="auto"/>
          <w:sz w:val="32"/>
          <w:szCs w:val="32"/>
          <w:lang w:eastAsia="zh-CN"/>
        </w:rPr>
        <w:t>四是同一“二级目录”产品不得重复申领。</w:t>
      </w:r>
      <w:r>
        <w:rPr>
          <w:rFonts w:ascii="仿宋_GB2312" w:hAnsi="仿宋_GB2312" w:eastAsia="仿宋_GB2312"/>
          <w:color w:val="auto"/>
          <w:sz w:val="32"/>
          <w:szCs w:val="32"/>
        </w:rPr>
        <w:t>已</w:t>
      </w:r>
      <w:r>
        <w:rPr>
          <w:rFonts w:hint="eastAsia" w:ascii="仿宋_GB2312" w:hAnsi="仿宋_GB2312" w:eastAsia="仿宋_GB2312"/>
          <w:color w:val="auto"/>
          <w:sz w:val="32"/>
          <w:szCs w:val="32"/>
        </w:rPr>
        <w:t>申领过</w:t>
      </w:r>
      <w:r>
        <w:rPr>
          <w:rFonts w:ascii="仿宋_GB2312" w:hAnsi="仿宋_GB2312" w:eastAsia="仿宋_GB2312"/>
          <w:color w:val="auto"/>
          <w:sz w:val="32"/>
          <w:szCs w:val="32"/>
        </w:rPr>
        <w:t>“生产协同”（含Ⅰ、Ⅱ、III）中任意一项，不得再申领“生产协同”</w:t>
      </w:r>
      <w:r>
        <w:rPr>
          <w:rFonts w:hint="eastAsia" w:ascii="仿宋_GB2312" w:hAnsi="仿宋_GB2312" w:eastAsia="仿宋_GB2312"/>
          <w:color w:val="auto"/>
          <w:sz w:val="32"/>
          <w:szCs w:val="32"/>
        </w:rPr>
        <w:t>产品</w:t>
      </w:r>
      <w:r>
        <w:rPr>
          <w:rFonts w:ascii="仿宋_GB2312" w:hAnsi="仿宋_GB2312" w:eastAsia="仿宋_GB2312"/>
          <w:color w:val="auto"/>
          <w:sz w:val="32"/>
          <w:szCs w:val="32"/>
        </w:rPr>
        <w:t>；已</w:t>
      </w:r>
      <w:r>
        <w:rPr>
          <w:rFonts w:hint="eastAsia" w:ascii="仿宋_GB2312" w:hAnsi="仿宋_GB2312" w:eastAsia="仿宋_GB2312"/>
          <w:color w:val="auto"/>
          <w:sz w:val="32"/>
          <w:szCs w:val="32"/>
        </w:rPr>
        <w:t>申领过</w:t>
      </w:r>
      <w:r>
        <w:rPr>
          <w:rFonts w:ascii="仿宋_GB2312" w:hAnsi="仿宋_GB2312" w:eastAsia="仿宋_GB2312"/>
          <w:color w:val="auto"/>
          <w:sz w:val="32"/>
          <w:szCs w:val="32"/>
        </w:rPr>
        <w:t>“能源管理”（含通用配电设备、通用生产设备、高耗能工艺设备）中任意一项，不得再申领“能源管理”</w:t>
      </w:r>
      <w:r>
        <w:rPr>
          <w:rFonts w:hint="eastAsia" w:ascii="仿宋_GB2312" w:hAnsi="仿宋_GB2312" w:eastAsia="仿宋_GB2312"/>
          <w:color w:val="auto"/>
          <w:sz w:val="32"/>
          <w:szCs w:val="32"/>
        </w:rPr>
        <w:t>产品</w:t>
      </w:r>
      <w:r>
        <w:rPr>
          <w:rFonts w:ascii="仿宋_GB2312" w:hAnsi="仿宋_GB2312" w:eastAsia="仿宋_GB2312"/>
          <w:color w:val="auto"/>
          <w:sz w:val="32"/>
          <w:szCs w:val="32"/>
        </w:rPr>
        <w:t>；已</w:t>
      </w:r>
      <w:r>
        <w:rPr>
          <w:rFonts w:hint="eastAsia" w:ascii="仿宋_GB2312" w:hAnsi="仿宋_GB2312" w:eastAsia="仿宋_GB2312"/>
          <w:color w:val="auto"/>
          <w:sz w:val="32"/>
          <w:szCs w:val="32"/>
        </w:rPr>
        <w:t>申领过</w:t>
      </w:r>
      <w:r>
        <w:rPr>
          <w:rFonts w:ascii="仿宋_GB2312" w:hAnsi="仿宋_GB2312" w:eastAsia="仿宋_GB2312"/>
          <w:color w:val="auto"/>
          <w:sz w:val="32"/>
          <w:szCs w:val="32"/>
        </w:rPr>
        <w:t>“资源计划”（含Ⅰ、Ⅱ）中任意一项，不得再申领“资源计划”</w:t>
      </w:r>
      <w:r>
        <w:rPr>
          <w:rFonts w:hint="eastAsia" w:ascii="仿宋_GB2312" w:hAnsi="仿宋_GB2312" w:eastAsia="仿宋_GB2312"/>
          <w:color w:val="auto"/>
          <w:sz w:val="32"/>
          <w:szCs w:val="32"/>
        </w:rPr>
        <w:t>产品</w:t>
      </w:r>
      <w:r>
        <w:rPr>
          <w:rFonts w:ascii="仿宋_GB2312" w:hAnsi="仿宋_GB2312" w:eastAsia="仿宋_GB2312"/>
          <w:color w:val="auto"/>
          <w:sz w:val="32"/>
          <w:szCs w:val="32"/>
        </w:rPr>
        <w:t>；已</w:t>
      </w:r>
      <w:r>
        <w:rPr>
          <w:rFonts w:hint="eastAsia" w:ascii="仿宋_GB2312" w:hAnsi="仿宋_GB2312" w:eastAsia="仿宋_GB2312"/>
          <w:color w:val="auto"/>
          <w:sz w:val="32"/>
          <w:szCs w:val="32"/>
        </w:rPr>
        <w:t>申领过</w:t>
      </w:r>
      <w:r>
        <w:rPr>
          <w:rFonts w:ascii="仿宋_GB2312" w:hAnsi="仿宋_GB2312" w:eastAsia="仿宋_GB2312"/>
          <w:color w:val="auto"/>
          <w:sz w:val="32"/>
          <w:szCs w:val="32"/>
        </w:rPr>
        <w:t>“设备物联、设备管理、设备智能”中任意一项，不得再申领“设备物联、设备管理、设备智能”</w:t>
      </w:r>
      <w:r>
        <w:rPr>
          <w:rFonts w:hint="eastAsia" w:ascii="仿宋_GB2312" w:hAnsi="仿宋_GB2312" w:eastAsia="仿宋_GB2312"/>
          <w:color w:val="auto"/>
          <w:sz w:val="32"/>
          <w:szCs w:val="32"/>
        </w:rPr>
        <w:t>产品。</w:t>
      </w:r>
      <w:r>
        <w:rPr>
          <w:rFonts w:ascii="仿宋_GB2312" w:hAnsi="仿宋_GB2312" w:eastAsia="仿宋_GB2312"/>
          <w:color w:val="auto"/>
          <w:sz w:val="32"/>
          <w:szCs w:val="32"/>
        </w:rPr>
        <w:t xml:space="preserve"> </w:t>
      </w:r>
    </w:p>
    <w:p>
      <w:pPr>
        <w:spacing w:line="360" w:lineRule="auto"/>
        <w:ind w:firstLine="640" w:firstLineChars="200"/>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三、入库程序</w:t>
      </w:r>
    </w:p>
    <w:p>
      <w:pPr>
        <w:spacing w:line="360" w:lineRule="auto"/>
        <w:ind w:firstLine="640" w:firstLineChars="200"/>
        <w:rPr>
          <w:rFonts w:ascii="仿宋_GB2312" w:hAnsi="仿宋_GB2312" w:eastAsia="仿宋_GB2312"/>
          <w:color w:val="auto"/>
          <w:sz w:val="32"/>
          <w:szCs w:val="32"/>
        </w:rPr>
      </w:pPr>
      <w:r>
        <w:rPr>
          <w:rFonts w:hint="eastAsia" w:ascii="仿宋_GB2312" w:hAnsi="仿宋_GB2312" w:eastAsia="仿宋_GB2312" w:cs="方正楷体_GBK"/>
          <w:color w:val="auto"/>
          <w:sz w:val="32"/>
          <w:szCs w:val="32"/>
        </w:rPr>
        <w:t>（一）项目入库申请。</w:t>
      </w:r>
      <w:r>
        <w:rPr>
          <w:rFonts w:hint="eastAsia" w:ascii="仿宋_GB2312" w:hAnsi="仿宋_GB2312" w:eastAsia="仿宋_GB2312"/>
          <w:color w:val="auto"/>
          <w:sz w:val="32"/>
          <w:szCs w:val="32"/>
        </w:rPr>
        <w:t>各云平台服务商认真填写《202</w:t>
      </w:r>
      <w:r>
        <w:rPr>
          <w:rFonts w:hint="eastAsia" w:ascii="仿宋_GB2312" w:hAnsi="仿宋_GB2312" w:eastAsia="仿宋_GB2312"/>
          <w:color w:val="auto"/>
          <w:sz w:val="32"/>
          <w:szCs w:val="32"/>
          <w:lang w:val="en-US" w:eastAsia="zh-CN"/>
        </w:rPr>
        <w:t>3</w:t>
      </w:r>
      <w:r>
        <w:rPr>
          <w:rFonts w:hint="eastAsia" w:ascii="仿宋_GB2312" w:hAnsi="仿宋_GB2312" w:eastAsia="仿宋_GB2312"/>
          <w:color w:val="auto"/>
          <w:sz w:val="32"/>
          <w:szCs w:val="32"/>
        </w:rPr>
        <w:t>年博罗县企业上云上平台项目入库汇总表》（附件1）</w:t>
      </w:r>
      <w:r>
        <w:rPr>
          <w:rFonts w:hint="eastAsia" w:ascii="仿宋_GB2312" w:hAnsi="仿宋_GB2312" w:eastAsia="仿宋_GB2312"/>
          <w:color w:val="auto"/>
          <w:sz w:val="32"/>
          <w:szCs w:val="32"/>
          <w:lang w:eastAsia="zh-CN"/>
        </w:rPr>
        <w:t>和《</w:t>
      </w:r>
      <w:r>
        <w:rPr>
          <w:rFonts w:hint="eastAsia" w:ascii="仿宋_GB2312" w:hAnsi="仿宋_GB2312" w:eastAsia="仿宋_GB2312"/>
          <w:color w:val="auto"/>
          <w:sz w:val="32"/>
          <w:szCs w:val="32"/>
          <w:lang w:val="en-US" w:eastAsia="zh-CN"/>
        </w:rPr>
        <w:t>2023年</w:t>
      </w:r>
      <w:r>
        <w:rPr>
          <w:rFonts w:hint="eastAsia" w:ascii="仿宋_GB2312" w:hAnsi="仿宋_GB2312" w:eastAsia="仿宋_GB2312"/>
          <w:color w:val="auto"/>
          <w:sz w:val="32"/>
          <w:szCs w:val="32"/>
          <w:lang w:eastAsia="zh-CN"/>
        </w:rPr>
        <w:t>博罗县企业上云上平台项目申报表》（附件</w:t>
      </w:r>
      <w:r>
        <w:rPr>
          <w:rFonts w:hint="eastAsia" w:ascii="仿宋_GB2312" w:hAnsi="仿宋_GB2312" w:eastAsia="仿宋_GB2312"/>
          <w:color w:val="auto"/>
          <w:sz w:val="32"/>
          <w:szCs w:val="32"/>
          <w:lang w:val="en-US" w:eastAsia="zh-CN"/>
        </w:rPr>
        <w:t>2</w:t>
      </w:r>
      <w:r>
        <w:rPr>
          <w:rFonts w:hint="eastAsia" w:ascii="仿宋_GB2312" w:hAnsi="仿宋_GB2312" w:eastAsia="仿宋_GB2312"/>
          <w:color w:val="auto"/>
          <w:sz w:val="32"/>
          <w:szCs w:val="32"/>
          <w:lang w:eastAsia="zh-CN"/>
        </w:rPr>
        <w:t>），并提供以下材料：与</w:t>
      </w:r>
      <w:r>
        <w:rPr>
          <w:rFonts w:ascii="仿宋_GB2312" w:hAnsi="仿宋_GB2312" w:eastAsia="仿宋_GB2312"/>
          <w:color w:val="auto"/>
          <w:sz w:val="32"/>
          <w:szCs w:val="32"/>
        </w:rPr>
        <w:t>企业签订的上云上平台服务合同</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盖单位公章</w:t>
      </w:r>
      <w:r>
        <w:rPr>
          <w:rFonts w:hint="eastAsia" w:ascii="仿宋_GB2312" w:hAnsi="仿宋_GB2312" w:eastAsia="仿宋_GB2312"/>
          <w:color w:val="auto"/>
          <w:sz w:val="32"/>
          <w:szCs w:val="32"/>
        </w:rPr>
        <w:t>电子版扫描件）</w:t>
      </w:r>
      <w:r>
        <w:rPr>
          <w:rFonts w:hint="eastAsia" w:ascii="仿宋_GB2312" w:hAnsi="仿宋_GB2312" w:eastAsia="仿宋_GB2312"/>
          <w:color w:val="auto"/>
          <w:sz w:val="32"/>
          <w:szCs w:val="32"/>
          <w:lang w:eastAsia="zh-CN"/>
        </w:rPr>
        <w:t>、企业营业执照复印件、</w:t>
      </w:r>
      <w:r>
        <w:rPr>
          <w:rFonts w:hint="eastAsia" w:ascii="仿宋_GB2312" w:hAnsi="仿宋_GB2312" w:eastAsia="仿宋_GB2312"/>
          <w:color w:val="auto"/>
          <w:sz w:val="32"/>
          <w:szCs w:val="32"/>
        </w:rPr>
        <w:t>增值税专用发票、支付凭证及验收报告</w:t>
      </w:r>
      <w:r>
        <w:rPr>
          <w:rFonts w:hint="eastAsia" w:ascii="仿宋_GB2312" w:hAnsi="仿宋_GB2312" w:eastAsia="仿宋_GB2312" w:cs="Times New Roman"/>
          <w:color w:val="auto"/>
          <w:kern w:val="0"/>
          <w:sz w:val="32"/>
          <w:szCs w:val="32"/>
          <w:lang w:val="en-US" w:eastAsia="zh-CN" w:bidi="ar"/>
        </w:rPr>
        <w:t>。</w:t>
      </w:r>
    </w:p>
    <w:p>
      <w:pPr>
        <w:spacing w:line="360" w:lineRule="auto"/>
        <w:ind w:left="0" w:leftChars="0" w:firstLine="640" w:firstLineChars="200"/>
        <w:rPr>
          <w:rFonts w:hint="eastAsia" w:ascii="仿宋_GB2312" w:hAnsi="仿宋_GB2312" w:eastAsia="仿宋_GB2312"/>
          <w:color w:val="auto"/>
          <w:sz w:val="32"/>
          <w:szCs w:val="32"/>
          <w:lang w:eastAsia="zh-CN"/>
        </w:rPr>
      </w:pPr>
      <w:r>
        <w:rPr>
          <w:rFonts w:ascii="仿宋_GB2312" w:hAnsi="仿宋_GB2312" w:eastAsia="仿宋_GB2312" w:cs="方正楷体_GBK"/>
          <w:color w:val="auto"/>
          <w:sz w:val="32"/>
          <w:szCs w:val="32"/>
        </w:rPr>
        <w:t>（二）项目入库</w:t>
      </w:r>
      <w:r>
        <w:rPr>
          <w:rFonts w:hint="eastAsia" w:ascii="仿宋_GB2312" w:hAnsi="仿宋_GB2312" w:eastAsia="仿宋_GB2312" w:cs="方正楷体_GBK"/>
          <w:color w:val="auto"/>
          <w:sz w:val="32"/>
          <w:szCs w:val="32"/>
        </w:rPr>
        <w:t>审查。</w:t>
      </w:r>
      <w:r>
        <w:rPr>
          <w:rFonts w:hint="eastAsia" w:ascii="仿宋_GB2312" w:hAnsi="仿宋_GB2312" w:eastAsia="仿宋_GB2312"/>
          <w:color w:val="auto"/>
          <w:sz w:val="32"/>
          <w:szCs w:val="32"/>
        </w:rPr>
        <w:t>企业上云上平台实行事后奖补，由县科技工业和信息化局</w:t>
      </w:r>
      <w:r>
        <w:rPr>
          <w:rFonts w:hint="eastAsia" w:ascii="仿宋_GB2312" w:hAnsi="仿宋_GB2312" w:eastAsia="仿宋_GB2312"/>
          <w:color w:val="auto"/>
          <w:sz w:val="32"/>
          <w:szCs w:val="32"/>
          <w:lang w:eastAsia="zh-CN"/>
        </w:rPr>
        <w:t>委托的第三方机构</w:t>
      </w:r>
      <w:r>
        <w:rPr>
          <w:rFonts w:hint="eastAsia" w:ascii="仿宋_GB2312" w:hAnsi="仿宋_GB2312" w:eastAsia="仿宋_GB2312"/>
          <w:color w:val="auto"/>
          <w:sz w:val="32"/>
          <w:szCs w:val="32"/>
        </w:rPr>
        <w:t>对入库项目进行书面审核，并按照服务商全覆盖、</w:t>
      </w:r>
      <w:r>
        <w:rPr>
          <w:rFonts w:hint="eastAsia" w:ascii="仿宋_GB2312" w:hAnsi="仿宋_GB2312" w:eastAsia="仿宋_GB2312"/>
          <w:color w:val="auto"/>
          <w:sz w:val="32"/>
          <w:szCs w:val="32"/>
          <w:lang w:eastAsia="zh-CN"/>
        </w:rPr>
        <w:t>申请奖补金额较大</w:t>
      </w:r>
      <w:bookmarkStart w:id="1" w:name="_GoBack"/>
      <w:bookmarkEnd w:id="1"/>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rPr>
        <w:t>不低于入库项目40%的比例</w:t>
      </w:r>
      <w:r>
        <w:rPr>
          <w:rFonts w:hint="eastAsia" w:ascii="仿宋_GB2312" w:hAnsi="仿宋_GB2312" w:eastAsia="仿宋_GB2312"/>
          <w:color w:val="auto"/>
          <w:sz w:val="32"/>
          <w:szCs w:val="32"/>
          <w:lang w:eastAsia="zh-CN"/>
        </w:rPr>
        <w:t>随机抽取项目</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全年项目低于</w:t>
      </w:r>
      <w:r>
        <w:rPr>
          <w:rFonts w:hint="eastAsia" w:ascii="仿宋_GB2312" w:hAnsi="仿宋_GB2312" w:eastAsia="仿宋_GB2312"/>
          <w:color w:val="auto"/>
          <w:sz w:val="32"/>
          <w:szCs w:val="32"/>
          <w:lang w:val="en-US" w:eastAsia="zh-CN"/>
        </w:rPr>
        <w:t>10宗时全部纳入现场核查范围，</w:t>
      </w:r>
      <w:r>
        <w:rPr>
          <w:rFonts w:hint="eastAsia" w:ascii="仿宋_GB2312" w:hAnsi="仿宋_GB2312" w:eastAsia="仿宋_GB2312"/>
          <w:color w:val="auto"/>
          <w:sz w:val="32"/>
          <w:szCs w:val="32"/>
          <w:lang w:eastAsia="zh-CN"/>
        </w:rPr>
        <w:t>组织</w:t>
      </w:r>
      <w:r>
        <w:rPr>
          <w:rFonts w:hint="eastAsia" w:ascii="仿宋_GB2312" w:hAnsi="仿宋_GB2312" w:eastAsia="仿宋_GB2312"/>
          <w:color w:val="auto"/>
          <w:sz w:val="32"/>
          <w:szCs w:val="32"/>
        </w:rPr>
        <w:t>专家组</w:t>
      </w:r>
      <w:r>
        <w:rPr>
          <w:rFonts w:hint="eastAsia" w:ascii="仿宋_GB2312" w:hAnsi="仿宋_GB2312" w:eastAsia="仿宋_GB2312"/>
          <w:color w:val="auto"/>
          <w:sz w:val="32"/>
          <w:szCs w:val="32"/>
          <w:lang w:eastAsia="zh-CN"/>
        </w:rPr>
        <w:t>对抽查项目进行现场核查，</w:t>
      </w:r>
      <w:r>
        <w:rPr>
          <w:rFonts w:hint="eastAsia" w:ascii="仿宋_GB2312" w:hAnsi="仿宋_GB2312" w:eastAsia="仿宋_GB2312"/>
          <w:color w:val="auto"/>
          <w:sz w:val="32"/>
          <w:szCs w:val="32"/>
          <w:lang w:val="en-US" w:eastAsia="zh-CN"/>
        </w:rPr>
        <w:t>本专项资金的宗旨是鼓励企业用云应用赋能企业生产经营，所以将</w:t>
      </w:r>
      <w:r>
        <w:rPr>
          <w:rFonts w:hint="eastAsia" w:ascii="仿宋_GB2312" w:hAnsi="仿宋_GB2312" w:eastAsia="仿宋_GB2312"/>
          <w:color w:val="auto"/>
          <w:sz w:val="32"/>
          <w:szCs w:val="32"/>
          <w:lang w:eastAsia="zh-CN"/>
        </w:rPr>
        <w:t>重点对项目各功能模块的运行情况进行核查，满足“</w:t>
      </w:r>
      <w:r>
        <w:rPr>
          <w:rFonts w:hint="eastAsia" w:ascii="仿宋_GB2312" w:hAnsi="仿宋_GB2312" w:eastAsia="仿宋_GB2312"/>
          <w:color w:val="auto"/>
          <w:sz w:val="32"/>
          <w:szCs w:val="32"/>
          <w:lang w:val="en-US" w:eastAsia="zh-CN"/>
        </w:rPr>
        <w:t>应用产品目录”中所载功能模块的80-100%常态化运行的全额奖补；达到</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lang w:val="en-US" w:eastAsia="zh-CN"/>
        </w:rPr>
        <w:t>应用产品目录”中所载功能模块的60%-80%常态化运行的，专家组将按每少10%，核减10%的奖补额度；低于</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lang w:val="en-US" w:eastAsia="zh-CN"/>
        </w:rPr>
        <w:t>应用产品目录”中所载功能模块的60%（不含60%）常态化运行的不予奖补；对于不能全额奖补和不予奖补的可完善功能模块常态化运行后在下一年度重新申报，项目审核通过后纳入下一年度财政专项资金预算。</w:t>
      </w:r>
    </w:p>
    <w:p>
      <w:pPr>
        <w:spacing w:line="360" w:lineRule="auto"/>
        <w:ind w:firstLine="640" w:firstLineChars="200"/>
        <w:rPr>
          <w:rFonts w:hint="eastAsia" w:ascii="仿宋_GB2312" w:hAnsi="仿宋_GB2312" w:eastAsia="仿宋_GB2312"/>
          <w:color w:val="auto"/>
          <w:sz w:val="32"/>
          <w:szCs w:val="32"/>
          <w:lang w:eastAsia="zh-CN"/>
        </w:rPr>
      </w:pPr>
      <w:r>
        <w:rPr>
          <w:rFonts w:hint="eastAsia" w:ascii="仿宋_GB2312" w:hAnsi="仿宋_GB2312" w:eastAsia="仿宋_GB2312" w:cs="方正楷体_GBK"/>
          <w:color w:val="auto"/>
          <w:sz w:val="32"/>
          <w:szCs w:val="32"/>
        </w:rPr>
        <w:t>（三）</w:t>
      </w:r>
      <w:r>
        <w:rPr>
          <w:rFonts w:hint="eastAsia" w:ascii="仿宋_GB2312" w:hAnsi="仿宋_GB2312" w:eastAsia="仿宋_GB2312" w:cs="方正楷体_GBK"/>
          <w:color w:val="auto"/>
          <w:sz w:val="32"/>
          <w:szCs w:val="32"/>
          <w:lang w:eastAsia="zh-CN"/>
        </w:rPr>
        <w:t>时间节点。</w:t>
      </w:r>
      <w:r>
        <w:rPr>
          <w:rFonts w:hint="eastAsia" w:ascii="仿宋_GB2312" w:hAnsi="仿宋_GB2312" w:eastAsia="仿宋_GB2312"/>
          <w:color w:val="auto"/>
          <w:sz w:val="32"/>
          <w:szCs w:val="32"/>
        </w:rPr>
        <w:t>此次入库项目须在202</w:t>
      </w:r>
      <w:r>
        <w:rPr>
          <w:rFonts w:ascii="仿宋_GB2312" w:hAnsi="仿宋_GB2312" w:eastAsia="仿宋_GB2312"/>
          <w:color w:val="auto"/>
          <w:sz w:val="32"/>
          <w:szCs w:val="32"/>
        </w:rPr>
        <w:t>2</w:t>
      </w:r>
      <w:r>
        <w:rPr>
          <w:rFonts w:hint="eastAsia" w:ascii="仿宋_GB2312" w:hAnsi="仿宋_GB2312" w:eastAsia="仿宋_GB2312"/>
          <w:color w:val="auto"/>
          <w:sz w:val="32"/>
          <w:szCs w:val="32"/>
        </w:rPr>
        <w:t>年</w:t>
      </w:r>
      <w:r>
        <w:rPr>
          <w:rFonts w:hint="eastAsia" w:ascii="仿宋_GB2312" w:hAnsi="仿宋_GB2312" w:eastAsia="仿宋_GB2312"/>
          <w:color w:val="auto"/>
          <w:sz w:val="32"/>
          <w:szCs w:val="32"/>
          <w:lang w:val="en-US" w:eastAsia="zh-CN"/>
        </w:rPr>
        <w:t>8</w:t>
      </w:r>
      <w:r>
        <w:rPr>
          <w:rFonts w:hint="eastAsia" w:ascii="仿宋_GB2312" w:hAnsi="仿宋_GB2312" w:eastAsia="仿宋_GB2312"/>
          <w:color w:val="auto"/>
          <w:sz w:val="32"/>
          <w:szCs w:val="32"/>
        </w:rPr>
        <w:t>月</w:t>
      </w:r>
      <w:r>
        <w:rPr>
          <w:rFonts w:hint="eastAsia" w:ascii="仿宋_GB2312" w:hAnsi="仿宋_GB2312" w:eastAsia="仿宋_GB2312"/>
          <w:color w:val="auto"/>
          <w:sz w:val="32"/>
          <w:szCs w:val="32"/>
          <w:lang w:val="en-US" w:eastAsia="zh-CN"/>
        </w:rPr>
        <w:t>20日</w:t>
      </w:r>
      <w:r>
        <w:rPr>
          <w:rFonts w:hint="eastAsia" w:ascii="仿宋_GB2312" w:hAnsi="仿宋_GB2312" w:eastAsia="仿宋_GB2312"/>
          <w:color w:val="auto"/>
          <w:sz w:val="32"/>
          <w:szCs w:val="32"/>
        </w:rPr>
        <w:t>前完成实施，</w:t>
      </w:r>
      <w:r>
        <w:rPr>
          <w:rFonts w:hint="eastAsia" w:ascii="仿宋_GB2312" w:hAnsi="仿宋_GB2312" w:eastAsia="仿宋_GB2312"/>
          <w:color w:val="auto"/>
          <w:sz w:val="32"/>
          <w:szCs w:val="32"/>
          <w:lang w:eastAsia="zh-CN"/>
        </w:rPr>
        <w:t>已付</w:t>
      </w:r>
      <w:r>
        <w:rPr>
          <w:rFonts w:hint="eastAsia" w:ascii="仿宋_GB2312" w:hAnsi="仿宋_GB2312" w:eastAsia="仿宋_GB2312"/>
          <w:color w:val="auto"/>
          <w:sz w:val="32"/>
          <w:szCs w:val="32"/>
        </w:rPr>
        <w:t>金额不</w:t>
      </w:r>
      <w:r>
        <w:rPr>
          <w:rFonts w:hint="eastAsia" w:ascii="仿宋_GB2312" w:hAnsi="仿宋_GB2312" w:eastAsia="仿宋_GB2312"/>
          <w:color w:val="auto"/>
          <w:sz w:val="32"/>
          <w:szCs w:val="32"/>
          <w:lang w:eastAsia="zh-CN"/>
        </w:rPr>
        <w:t>得</w:t>
      </w:r>
      <w:r>
        <w:rPr>
          <w:rFonts w:hint="eastAsia" w:ascii="仿宋_GB2312" w:hAnsi="仿宋_GB2312" w:eastAsia="仿宋_GB2312"/>
          <w:color w:val="auto"/>
          <w:sz w:val="32"/>
          <w:szCs w:val="32"/>
        </w:rPr>
        <w:t>低于合同金额的90%</w:t>
      </w:r>
      <w:r>
        <w:rPr>
          <w:rFonts w:hint="eastAsia" w:ascii="仿宋_GB2312" w:hAnsi="仿宋_GB2312" w:eastAsia="仿宋_GB2312"/>
          <w:color w:val="auto"/>
          <w:sz w:val="32"/>
          <w:szCs w:val="32"/>
          <w:lang w:eastAsia="zh-CN"/>
        </w:rPr>
        <w:t>，</w:t>
      </w:r>
      <w:r>
        <w:rPr>
          <w:rFonts w:hint="eastAsia" w:ascii="仿宋_GB2312" w:hAnsi="仿宋_GB2312" w:eastAsia="仿宋_GB2312" w:cs="方正楷体_GBK"/>
          <w:color w:val="auto"/>
          <w:sz w:val="32"/>
          <w:szCs w:val="32"/>
          <w:lang w:eastAsia="zh-CN"/>
        </w:rPr>
        <w:t>各云服务商于</w:t>
      </w:r>
      <w:r>
        <w:rPr>
          <w:rFonts w:hint="eastAsia" w:ascii="仿宋_GB2312" w:hAnsi="仿宋_GB2312" w:eastAsia="仿宋_GB2312" w:cs="Times New Roman"/>
          <w:color w:val="auto"/>
          <w:kern w:val="0"/>
          <w:sz w:val="32"/>
          <w:szCs w:val="32"/>
          <w:lang w:val="en-US" w:eastAsia="zh-CN" w:bidi="ar"/>
        </w:rPr>
        <w:t>8月23日前将《2023年博罗县“企业上云上平台”奖补资金申报材料》（附件2）、</w:t>
      </w:r>
      <w:r>
        <w:rPr>
          <w:rFonts w:hint="eastAsia" w:ascii="仿宋_GB2312" w:hAnsi="仿宋_GB2312" w:eastAsia="仿宋_GB2312"/>
          <w:color w:val="auto"/>
          <w:sz w:val="32"/>
          <w:szCs w:val="32"/>
        </w:rPr>
        <w:t>增值税专用发票、支付凭证和验收报告等相关材料扫描</w:t>
      </w:r>
      <w:r>
        <w:rPr>
          <w:rFonts w:hint="eastAsia" w:ascii="仿宋_GB2312" w:hAnsi="仿宋_GB2312" w:eastAsia="仿宋_GB2312"/>
          <w:color w:val="auto"/>
          <w:sz w:val="32"/>
          <w:szCs w:val="32"/>
          <w:lang w:eastAsia="zh-CN"/>
        </w:rPr>
        <w:t>件和纸质件（盖单位公章）</w:t>
      </w:r>
      <w:r>
        <w:rPr>
          <w:rFonts w:hint="eastAsia" w:ascii="仿宋_GB2312" w:hAnsi="仿宋_GB2312" w:eastAsia="仿宋_GB2312" w:cs="Times New Roman"/>
          <w:color w:val="auto"/>
          <w:kern w:val="0"/>
          <w:sz w:val="32"/>
          <w:szCs w:val="32"/>
          <w:lang w:val="en-US" w:eastAsia="zh-CN" w:bidi="ar"/>
        </w:rPr>
        <w:t>报送至博罗县社会服务中心1号楼三楼企业开办经营许可及税务服务厅（E厅）综合窗口（接受寄付式快递材料），逾期不再受理，联系人：陈股长，联系电话：0752-6299327，咨询电话：0752-6206282、6206283</w:t>
      </w:r>
      <w:r>
        <w:rPr>
          <w:rFonts w:hint="eastAsia" w:ascii="仿宋_GB2312" w:hAnsi="仿宋_GB2312" w:eastAsia="仿宋_GB2312"/>
          <w:color w:val="auto"/>
          <w:sz w:val="32"/>
          <w:szCs w:val="32"/>
          <w:lang w:val="en-US" w:eastAsia="zh-CN"/>
        </w:rPr>
        <w:t>。</w:t>
      </w:r>
    </w:p>
    <w:p>
      <w:pPr>
        <w:ind w:left="638" w:leftChars="304" w:firstLine="0" w:firstLineChars="0"/>
        <w:rPr>
          <w:rFonts w:hint="eastAsia" w:ascii="仿宋_GB2312" w:hAnsi="仿宋_GB2312" w:eastAsia="仿宋_GB2312"/>
          <w:color w:val="auto"/>
          <w:sz w:val="32"/>
          <w:szCs w:val="32"/>
          <w:lang w:eastAsia="zh-CN"/>
        </w:rPr>
      </w:pPr>
    </w:p>
    <w:p>
      <w:pPr>
        <w:ind w:left="638" w:leftChars="304" w:firstLine="0" w:firstLineChars="0"/>
        <w:rPr>
          <w:rFonts w:hint="eastAsia" w:ascii="仿宋_GB2312" w:hAnsi="仿宋_GB2312" w:eastAsia="仿宋_GB2312"/>
          <w:color w:val="auto"/>
          <w:sz w:val="32"/>
          <w:szCs w:val="32"/>
          <w:lang w:eastAsia="zh-CN"/>
        </w:rPr>
      </w:pPr>
    </w:p>
    <w:p>
      <w:pPr>
        <w:ind w:left="638" w:leftChars="304" w:firstLine="0" w:firstLineChars="0"/>
        <w:rPr>
          <w:rFonts w:hint="eastAsia" w:ascii="仿宋_GB2312" w:hAnsi="仿宋_GB2312" w:eastAsia="仿宋_GB2312"/>
          <w:color w:val="auto"/>
          <w:sz w:val="32"/>
          <w:szCs w:val="32"/>
          <w:lang w:eastAsia="zh-CN"/>
        </w:rPr>
      </w:pPr>
      <w:r>
        <w:rPr>
          <w:rFonts w:hint="eastAsia" w:ascii="仿宋_GB2312" w:hAnsi="仿宋_GB2312" w:eastAsia="仿宋_GB2312"/>
          <w:color w:val="auto"/>
          <w:sz w:val="32"/>
          <w:szCs w:val="32"/>
          <w:lang w:eastAsia="zh-CN"/>
        </w:rPr>
        <w:t>附件：</w:t>
      </w:r>
      <w:r>
        <w:rPr>
          <w:rFonts w:hint="eastAsia" w:ascii="仿宋_GB2312" w:hAnsi="仿宋_GB2312" w:eastAsia="仿宋_GB2312"/>
          <w:color w:val="auto"/>
          <w:sz w:val="32"/>
          <w:szCs w:val="32"/>
          <w:lang w:val="en-US" w:eastAsia="zh-CN"/>
        </w:rPr>
        <w:t>1、</w:t>
      </w:r>
      <w:r>
        <w:rPr>
          <w:rFonts w:hint="eastAsia" w:ascii="仿宋_GB2312" w:hAnsi="仿宋_GB2312" w:eastAsia="仿宋_GB2312"/>
          <w:color w:val="auto"/>
          <w:sz w:val="32"/>
          <w:szCs w:val="32"/>
        </w:rPr>
        <w:t>202</w:t>
      </w:r>
      <w:r>
        <w:rPr>
          <w:rFonts w:hint="eastAsia" w:ascii="仿宋_GB2312" w:hAnsi="仿宋_GB2312" w:eastAsia="仿宋_GB2312"/>
          <w:color w:val="auto"/>
          <w:sz w:val="32"/>
          <w:szCs w:val="32"/>
          <w:lang w:val="en-US" w:eastAsia="zh-CN"/>
        </w:rPr>
        <w:t>3</w:t>
      </w:r>
      <w:r>
        <w:rPr>
          <w:rFonts w:hint="eastAsia" w:ascii="仿宋_GB2312" w:hAnsi="仿宋_GB2312" w:eastAsia="仿宋_GB2312"/>
          <w:color w:val="auto"/>
          <w:sz w:val="32"/>
          <w:szCs w:val="32"/>
        </w:rPr>
        <w:t>年博罗县企业上云上平台项目入库汇总表</w:t>
      </w:r>
      <w:r>
        <w:rPr>
          <w:rFonts w:hint="eastAsia" w:ascii="仿宋_GB2312" w:hAnsi="仿宋_GB2312" w:eastAsia="仿宋_GB2312"/>
          <w:color w:val="auto"/>
          <w:sz w:val="32"/>
          <w:szCs w:val="32"/>
          <w:lang w:eastAsia="zh-CN"/>
        </w:rPr>
        <w:t>；</w:t>
      </w:r>
    </w:p>
    <w:p>
      <w:pPr>
        <w:pStyle w:val="2"/>
        <w:ind w:left="638" w:leftChars="304" w:firstLine="0" w:firstLineChars="0"/>
        <w:rPr>
          <w:rFonts w:hint="default"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2、2023年博罗县“企业上云上平台”奖补资金申报材料</w:t>
      </w:r>
      <w:r>
        <w:rPr>
          <w:rFonts w:hint="eastAsia" w:ascii="仿宋_GB2312" w:hAnsi="仿宋_GB2312" w:eastAsia="仿宋_GB2312"/>
          <w:color w:val="auto"/>
          <w:sz w:val="32"/>
          <w:szCs w:val="32"/>
          <w:lang w:eastAsia="zh-CN"/>
        </w:rPr>
        <w:t>；</w:t>
      </w:r>
    </w:p>
    <w:p>
      <w:pPr>
        <w:pStyle w:val="2"/>
        <w:ind w:firstLine="640" w:firstLineChars="200"/>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3、博罗县企业上云上平台应用产品目录（2022版）。</w:t>
      </w:r>
    </w:p>
    <w:p>
      <w:pPr>
        <w:pStyle w:val="2"/>
        <w:rPr>
          <w:rFonts w:hint="default" w:ascii="仿宋_GB2312" w:hAnsi="仿宋_GB2312" w:eastAsia="仿宋_GB2312"/>
          <w:color w:val="auto"/>
          <w:sz w:val="32"/>
          <w:szCs w:val="32"/>
          <w:lang w:val="en-US" w:eastAsia="zh-CN"/>
        </w:rPr>
      </w:pPr>
    </w:p>
    <w:p>
      <w:pPr>
        <w:rPr>
          <w:rFonts w:hint="eastAsia" w:ascii="方正黑体_GBK" w:hAnsi="方正黑体_GBK" w:eastAsia="方正黑体_GBK" w:cs="方正黑体_GBK"/>
          <w:b w:val="0"/>
          <w:bCs/>
          <w:color w:val="auto"/>
          <w:sz w:val="32"/>
          <w:szCs w:val="32"/>
        </w:rPr>
        <w:sectPr>
          <w:footerReference r:id="rId3" w:type="default"/>
          <w:pgSz w:w="11906" w:h="16838"/>
          <w:pgMar w:top="1440" w:right="1800" w:bottom="1440" w:left="1800" w:header="851" w:footer="992" w:gutter="0"/>
          <w:cols w:space="425" w:num="1"/>
          <w:docGrid w:type="lines" w:linePitch="312" w:charSpace="0"/>
        </w:sectPr>
      </w:pPr>
      <w:r>
        <w:rPr>
          <w:rFonts w:hint="eastAsia"/>
          <w:color w:val="auto"/>
          <w:lang w:eastAsia="zh-CN"/>
        </w:rPr>
        <w:br w:type="page"/>
      </w:r>
    </w:p>
    <w:p>
      <w:pPr>
        <w:rPr>
          <w:rFonts w:hint="eastAsia" w:ascii="黑体" w:hAnsi="黑体" w:eastAsia="黑体" w:cs="黑体"/>
          <w:color w:val="auto"/>
          <w:sz w:val="32"/>
          <w:szCs w:val="32"/>
          <w:lang w:eastAsia="zh-CN"/>
        </w:rPr>
      </w:pPr>
      <w:r>
        <w:rPr>
          <w:rFonts w:hint="eastAsia" w:ascii="方正黑体_GBK" w:hAnsi="方正黑体_GBK" w:eastAsia="方正黑体_GBK" w:cs="方正黑体_GBK"/>
          <w:b w:val="0"/>
          <w:bCs/>
          <w:color w:val="auto"/>
          <w:sz w:val="32"/>
          <w:szCs w:val="32"/>
        </w:rPr>
        <w:t>附件</w:t>
      </w:r>
      <w:r>
        <w:rPr>
          <w:rFonts w:hint="eastAsia" w:ascii="方正黑体_GBK" w:hAnsi="方正黑体_GBK" w:eastAsia="方正黑体_GBK" w:cs="方正黑体_GBK"/>
          <w:b w:val="0"/>
          <w:bCs/>
          <w:color w:val="auto"/>
          <w:sz w:val="32"/>
          <w:szCs w:val="32"/>
          <w:lang w:val="en-US" w:eastAsia="zh-CN"/>
        </w:rPr>
        <w:t>1</w:t>
      </w:r>
      <w:r>
        <w:rPr>
          <w:rFonts w:hint="eastAsia" w:ascii="方正黑体_GBK" w:hAnsi="方正黑体_GBK" w:eastAsia="方正黑体_GBK" w:cs="方正黑体_GBK"/>
          <w:b w:val="0"/>
          <w:bCs/>
          <w:color w:val="auto"/>
          <w:sz w:val="32"/>
          <w:szCs w:val="32"/>
          <w:lang w:eastAsia="zh-CN"/>
        </w:rPr>
        <w:t>：</w:t>
      </w:r>
    </w:p>
    <w:p>
      <w:pPr>
        <w:jc w:val="center"/>
        <w:rPr>
          <w:rFonts w:hint="default" w:ascii="Times New Roman" w:hAnsi="Times New Roman" w:eastAsia="方正小标宋简体" w:cs="Times New Roman"/>
          <w:color w:val="auto"/>
          <w:kern w:val="0"/>
          <w:sz w:val="44"/>
          <w:szCs w:val="44"/>
        </w:rPr>
      </w:pPr>
      <w:r>
        <w:rPr>
          <w:rFonts w:hint="default" w:ascii="Times New Roman" w:hAnsi="Times New Roman" w:eastAsia="方正小标宋简体" w:cs="Times New Roman"/>
          <w:color w:val="auto"/>
          <w:kern w:val="0"/>
          <w:sz w:val="44"/>
          <w:szCs w:val="44"/>
        </w:rPr>
        <w:t>202</w:t>
      </w:r>
      <w:r>
        <w:rPr>
          <w:rFonts w:hint="default" w:ascii="Times New Roman" w:hAnsi="Times New Roman" w:eastAsia="方正小标宋简体" w:cs="Times New Roman"/>
          <w:color w:val="auto"/>
          <w:kern w:val="0"/>
          <w:sz w:val="44"/>
          <w:szCs w:val="44"/>
          <w:lang w:val="en-US" w:eastAsia="zh-CN"/>
        </w:rPr>
        <w:t>3</w:t>
      </w:r>
      <w:r>
        <w:rPr>
          <w:rFonts w:hint="default" w:ascii="Times New Roman" w:hAnsi="Times New Roman" w:eastAsia="方正小标宋简体" w:cs="Times New Roman"/>
          <w:color w:val="auto"/>
          <w:kern w:val="0"/>
          <w:sz w:val="44"/>
          <w:szCs w:val="44"/>
        </w:rPr>
        <w:t>年博罗县企业上云上平台项目入库汇总表</w:t>
      </w:r>
    </w:p>
    <w:p>
      <w:pPr>
        <w:jc w:val="left"/>
        <w:rPr>
          <w:rFonts w:hint="eastAsia" w:ascii="楷体_GB2312" w:hAnsi="楷体_GB2312" w:eastAsia="楷体_GB2312" w:cs="楷体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单位（盖章）：</w:t>
      </w:r>
    </w:p>
    <w:tbl>
      <w:tblPr>
        <w:tblStyle w:val="6"/>
        <w:tblW w:w="14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9"/>
        <w:gridCol w:w="946"/>
        <w:gridCol w:w="1470"/>
        <w:gridCol w:w="1590"/>
        <w:gridCol w:w="1269"/>
        <w:gridCol w:w="1868"/>
        <w:gridCol w:w="1456"/>
        <w:gridCol w:w="1301"/>
        <w:gridCol w:w="1238"/>
        <w:gridCol w:w="1181"/>
        <w:gridCol w:w="1153"/>
        <w:gridCol w:w="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99" w:type="dxa"/>
            <w:vMerge w:val="restart"/>
            <w:noWrap w:val="0"/>
            <w:vAlign w:val="center"/>
          </w:tcPr>
          <w:p>
            <w:pPr>
              <w:jc w:val="center"/>
              <w:rPr>
                <w:rFonts w:hint="default" w:ascii="Times New Roman" w:hAnsi="Times New Roman" w:eastAsia="方正小标宋简体" w:cs="Times New Roman"/>
                <w:color w:val="auto"/>
                <w:kern w:val="0"/>
                <w:sz w:val="21"/>
                <w:szCs w:val="21"/>
                <w:vertAlign w:val="baseline"/>
                <w:lang w:val="en-US" w:eastAsia="zh-CN"/>
              </w:rPr>
            </w:pPr>
            <w:r>
              <w:rPr>
                <w:rFonts w:hint="eastAsia" w:ascii="Times New Roman" w:hAnsi="Times New Roman" w:eastAsia="黑体" w:cs="Times New Roman"/>
                <w:color w:val="auto"/>
                <w:sz w:val="21"/>
                <w:szCs w:val="21"/>
                <w:lang w:val="en-US" w:eastAsia="zh-CN"/>
              </w:rPr>
              <w:t>序号</w:t>
            </w:r>
          </w:p>
        </w:tc>
        <w:tc>
          <w:tcPr>
            <w:tcW w:w="946" w:type="dxa"/>
            <w:vMerge w:val="restart"/>
            <w:noWrap w:val="0"/>
            <w:vAlign w:val="center"/>
          </w:tcPr>
          <w:p>
            <w:pPr>
              <w:jc w:val="center"/>
              <w:rPr>
                <w:rFonts w:hint="eastAsia" w:ascii="Times New Roman" w:hAnsi="Times New Roman" w:eastAsia="黑体" w:cs="Times New Roman"/>
                <w:color w:val="auto"/>
                <w:sz w:val="21"/>
                <w:szCs w:val="21"/>
                <w:lang w:val="en-US" w:eastAsia="zh-CN"/>
              </w:rPr>
            </w:pPr>
            <w:r>
              <w:rPr>
                <w:rFonts w:hint="eastAsia" w:ascii="Times New Roman" w:hAnsi="Times New Roman" w:eastAsia="黑体" w:cs="Times New Roman"/>
                <w:color w:val="auto"/>
                <w:sz w:val="21"/>
                <w:szCs w:val="21"/>
                <w:lang w:val="en-US" w:eastAsia="zh-CN"/>
              </w:rPr>
              <w:t>所属镇（街）</w:t>
            </w:r>
          </w:p>
        </w:tc>
        <w:tc>
          <w:tcPr>
            <w:tcW w:w="1470" w:type="dxa"/>
            <w:vMerge w:val="restart"/>
            <w:noWrap w:val="0"/>
            <w:vAlign w:val="center"/>
          </w:tcPr>
          <w:p>
            <w:pPr>
              <w:jc w:val="center"/>
              <w:rPr>
                <w:rFonts w:hint="default" w:ascii="Times New Roman" w:hAnsi="Times New Roman" w:eastAsia="方正小标宋简体" w:cs="Times New Roman"/>
                <w:color w:val="auto"/>
                <w:kern w:val="0"/>
                <w:sz w:val="21"/>
                <w:szCs w:val="21"/>
                <w:vertAlign w:val="baseline"/>
                <w:lang w:val="en-US" w:eastAsia="zh-CN"/>
              </w:rPr>
            </w:pPr>
            <w:r>
              <w:rPr>
                <w:rFonts w:hint="default" w:ascii="Times New Roman" w:hAnsi="Times New Roman" w:eastAsia="黑体" w:cs="Times New Roman"/>
                <w:color w:val="auto"/>
                <w:sz w:val="21"/>
                <w:szCs w:val="21"/>
              </w:rPr>
              <w:t>企业名称</w:t>
            </w:r>
          </w:p>
        </w:tc>
        <w:tc>
          <w:tcPr>
            <w:tcW w:w="1590" w:type="dxa"/>
            <w:vMerge w:val="restart"/>
            <w:noWrap w:val="0"/>
            <w:vAlign w:val="center"/>
          </w:tcPr>
          <w:p>
            <w:pPr>
              <w:jc w:val="center"/>
              <w:rPr>
                <w:rFonts w:hint="default" w:ascii="Times New Roman" w:hAnsi="Times New Roman" w:eastAsia="黑体" w:cs="Times New Roman"/>
                <w:color w:val="auto"/>
                <w:sz w:val="21"/>
                <w:szCs w:val="21"/>
              </w:rPr>
            </w:pPr>
            <w:r>
              <w:rPr>
                <w:rFonts w:hint="eastAsia" w:ascii="Times New Roman" w:hAnsi="Times New Roman" w:eastAsia="黑体" w:cs="Times New Roman"/>
                <w:color w:val="auto"/>
                <w:sz w:val="21"/>
                <w:szCs w:val="21"/>
                <w:lang w:eastAsia="zh-CN"/>
              </w:rPr>
              <w:t>企业统一社会信用代码</w:t>
            </w:r>
          </w:p>
        </w:tc>
        <w:tc>
          <w:tcPr>
            <w:tcW w:w="1269" w:type="dxa"/>
            <w:vMerge w:val="restart"/>
            <w:noWrap w:val="0"/>
            <w:vAlign w:val="center"/>
          </w:tcPr>
          <w:p>
            <w:pPr>
              <w:jc w:val="center"/>
              <w:rPr>
                <w:rFonts w:hint="eastAsia" w:ascii="Times New Roman" w:hAnsi="Times New Roman" w:eastAsia="黑体" w:cs="Times New Roman"/>
                <w:color w:val="auto"/>
                <w:sz w:val="21"/>
                <w:szCs w:val="21"/>
                <w:lang w:eastAsia="zh-CN"/>
              </w:rPr>
            </w:pPr>
            <w:r>
              <w:rPr>
                <w:rFonts w:hint="eastAsia" w:ascii="Times New Roman" w:hAnsi="Times New Roman" w:eastAsia="黑体" w:cs="Times New Roman"/>
                <w:color w:val="auto"/>
                <w:sz w:val="21"/>
                <w:szCs w:val="21"/>
                <w:lang w:eastAsia="zh-CN"/>
              </w:rPr>
              <w:t>企业行业</w:t>
            </w:r>
          </w:p>
        </w:tc>
        <w:tc>
          <w:tcPr>
            <w:tcW w:w="1868" w:type="dxa"/>
            <w:vMerge w:val="restart"/>
            <w:noWrap w:val="0"/>
            <w:vAlign w:val="center"/>
          </w:tcPr>
          <w:p>
            <w:pPr>
              <w:jc w:val="center"/>
              <w:rPr>
                <w:rFonts w:hint="default" w:ascii="Times New Roman" w:hAnsi="Times New Roman" w:eastAsia="方正小标宋简体" w:cs="Times New Roman"/>
                <w:color w:val="auto"/>
                <w:kern w:val="0"/>
                <w:sz w:val="21"/>
                <w:szCs w:val="21"/>
                <w:vertAlign w:val="baseline"/>
                <w:lang w:val="en-US" w:eastAsia="zh-CN"/>
              </w:rPr>
            </w:pPr>
            <w:r>
              <w:rPr>
                <w:rFonts w:hint="default" w:ascii="Times New Roman" w:hAnsi="Times New Roman" w:eastAsia="黑体" w:cs="Times New Roman"/>
                <w:color w:val="auto"/>
                <w:sz w:val="21"/>
                <w:szCs w:val="21"/>
              </w:rPr>
              <w:t>服务商名称</w:t>
            </w:r>
          </w:p>
        </w:tc>
        <w:tc>
          <w:tcPr>
            <w:tcW w:w="3995" w:type="dxa"/>
            <w:gridSpan w:val="3"/>
            <w:noWrap w:val="0"/>
            <w:vAlign w:val="center"/>
          </w:tcPr>
          <w:p>
            <w:pPr>
              <w:jc w:val="center"/>
              <w:rPr>
                <w:rFonts w:hint="default" w:ascii="Times New Roman" w:hAnsi="Times New Roman" w:eastAsia="方正小标宋简体" w:cs="Times New Roman"/>
                <w:color w:val="auto"/>
                <w:kern w:val="0"/>
                <w:sz w:val="21"/>
                <w:szCs w:val="21"/>
                <w:vertAlign w:val="baseline"/>
                <w:lang w:val="en-US" w:eastAsia="zh-CN"/>
              </w:rPr>
            </w:pPr>
            <w:r>
              <w:rPr>
                <w:rFonts w:hint="default" w:ascii="Times New Roman" w:hAnsi="Times New Roman" w:eastAsia="黑体" w:cs="Times New Roman"/>
                <w:color w:val="auto"/>
                <w:sz w:val="21"/>
                <w:szCs w:val="21"/>
                <w:lang w:val="en-US" w:eastAsia="zh-CN"/>
              </w:rPr>
              <w:t>应用产品</w:t>
            </w:r>
          </w:p>
        </w:tc>
        <w:tc>
          <w:tcPr>
            <w:tcW w:w="1181" w:type="dxa"/>
            <w:vMerge w:val="restart"/>
            <w:noWrap w:val="0"/>
            <w:vAlign w:val="center"/>
          </w:tcPr>
          <w:p>
            <w:pPr>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合同金额</w:t>
            </w:r>
          </w:p>
          <w:p>
            <w:pPr>
              <w:jc w:val="center"/>
              <w:rPr>
                <w:rFonts w:hint="default" w:ascii="Times New Roman" w:hAnsi="Times New Roman" w:eastAsia="方正小标宋简体" w:cs="Times New Roman"/>
                <w:color w:val="auto"/>
                <w:kern w:val="0"/>
                <w:sz w:val="21"/>
                <w:szCs w:val="21"/>
                <w:vertAlign w:val="baseline"/>
                <w:lang w:val="en-US" w:eastAsia="zh-CN"/>
              </w:rPr>
            </w:pPr>
            <w:r>
              <w:rPr>
                <w:rFonts w:hint="default" w:ascii="Times New Roman" w:hAnsi="Times New Roman" w:eastAsia="黑体" w:cs="Times New Roman"/>
                <w:color w:val="auto"/>
                <w:sz w:val="21"/>
                <w:szCs w:val="21"/>
              </w:rPr>
              <w:t>（万元）</w:t>
            </w:r>
          </w:p>
        </w:tc>
        <w:tc>
          <w:tcPr>
            <w:tcW w:w="1153" w:type="dxa"/>
            <w:vMerge w:val="restart"/>
            <w:noWrap w:val="0"/>
            <w:vAlign w:val="center"/>
          </w:tcPr>
          <w:p>
            <w:pPr>
              <w:jc w:val="center"/>
              <w:rPr>
                <w:rFonts w:hint="default" w:ascii="Times New Roman" w:hAnsi="Times New Roman" w:eastAsia="方正小标宋简体" w:cs="Times New Roman"/>
                <w:color w:val="auto"/>
                <w:kern w:val="0"/>
                <w:sz w:val="21"/>
                <w:szCs w:val="21"/>
                <w:vertAlign w:val="baseline"/>
                <w:lang w:val="en-US" w:eastAsia="zh-CN"/>
              </w:rPr>
            </w:pPr>
            <w:r>
              <w:rPr>
                <w:rFonts w:hint="default" w:ascii="Times New Roman" w:hAnsi="Times New Roman" w:eastAsia="黑体" w:cs="Times New Roman"/>
                <w:color w:val="auto"/>
                <w:sz w:val="21"/>
                <w:szCs w:val="21"/>
                <w:lang w:val="en-US" w:eastAsia="zh-CN"/>
              </w:rPr>
              <w:t>申领</w:t>
            </w:r>
            <w:r>
              <w:rPr>
                <w:rFonts w:hint="default" w:ascii="Times New Roman" w:hAnsi="Times New Roman" w:eastAsia="黑体" w:cs="Times New Roman"/>
                <w:color w:val="auto"/>
                <w:sz w:val="21"/>
                <w:szCs w:val="21"/>
              </w:rPr>
              <w:t>金额（万元）</w:t>
            </w:r>
          </w:p>
        </w:tc>
        <w:tc>
          <w:tcPr>
            <w:tcW w:w="456" w:type="dxa"/>
            <w:vMerge w:val="restart"/>
            <w:noWrap w:val="0"/>
            <w:vAlign w:val="center"/>
          </w:tcPr>
          <w:p>
            <w:pPr>
              <w:jc w:val="center"/>
              <w:rPr>
                <w:rFonts w:hint="default" w:ascii="Times New Roman" w:hAnsi="Times New Roman" w:eastAsia="方正小标宋简体" w:cs="Times New Roman"/>
                <w:color w:val="auto"/>
                <w:kern w:val="0"/>
                <w:sz w:val="21"/>
                <w:szCs w:val="21"/>
                <w:vertAlign w:val="baseline"/>
                <w:lang w:val="en-US" w:eastAsia="zh-CN"/>
              </w:rPr>
            </w:pPr>
            <w:r>
              <w:rPr>
                <w:rFonts w:hint="default" w:ascii="Times New Roman" w:hAnsi="Times New Roman" w:eastAsia="黑体" w:cs="Times New Roman"/>
                <w:color w:val="auto"/>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599" w:type="dxa"/>
            <w:vMerge w:val="continue"/>
            <w:noWrap w:val="0"/>
            <w:vAlign w:val="center"/>
          </w:tcPr>
          <w:p>
            <w:pPr>
              <w:jc w:val="center"/>
              <w:rPr>
                <w:color w:val="auto"/>
                <w:sz w:val="21"/>
                <w:szCs w:val="21"/>
              </w:rPr>
            </w:pPr>
          </w:p>
        </w:tc>
        <w:tc>
          <w:tcPr>
            <w:tcW w:w="946" w:type="dxa"/>
            <w:vMerge w:val="continue"/>
            <w:noWrap w:val="0"/>
            <w:vAlign w:val="center"/>
          </w:tcPr>
          <w:p>
            <w:pPr>
              <w:jc w:val="center"/>
              <w:rPr>
                <w:color w:val="auto"/>
                <w:sz w:val="21"/>
                <w:szCs w:val="21"/>
              </w:rPr>
            </w:pPr>
          </w:p>
        </w:tc>
        <w:tc>
          <w:tcPr>
            <w:tcW w:w="1470" w:type="dxa"/>
            <w:vMerge w:val="continue"/>
            <w:noWrap w:val="0"/>
            <w:vAlign w:val="center"/>
          </w:tcPr>
          <w:p>
            <w:pPr>
              <w:jc w:val="center"/>
              <w:rPr>
                <w:color w:val="auto"/>
                <w:sz w:val="21"/>
                <w:szCs w:val="21"/>
              </w:rPr>
            </w:pPr>
          </w:p>
        </w:tc>
        <w:tc>
          <w:tcPr>
            <w:tcW w:w="1590" w:type="dxa"/>
            <w:vMerge w:val="continue"/>
            <w:noWrap w:val="0"/>
            <w:vAlign w:val="center"/>
          </w:tcPr>
          <w:p>
            <w:pPr>
              <w:jc w:val="center"/>
              <w:rPr>
                <w:color w:val="auto"/>
                <w:sz w:val="21"/>
                <w:szCs w:val="21"/>
              </w:rPr>
            </w:pPr>
          </w:p>
        </w:tc>
        <w:tc>
          <w:tcPr>
            <w:tcW w:w="1269" w:type="dxa"/>
            <w:vMerge w:val="continue"/>
            <w:noWrap w:val="0"/>
            <w:vAlign w:val="center"/>
          </w:tcPr>
          <w:p>
            <w:pPr>
              <w:jc w:val="center"/>
              <w:rPr>
                <w:color w:val="auto"/>
                <w:sz w:val="21"/>
                <w:szCs w:val="21"/>
              </w:rPr>
            </w:pPr>
          </w:p>
        </w:tc>
        <w:tc>
          <w:tcPr>
            <w:tcW w:w="1868" w:type="dxa"/>
            <w:vMerge w:val="continue"/>
            <w:noWrap w:val="0"/>
            <w:vAlign w:val="center"/>
          </w:tcPr>
          <w:p>
            <w:pPr>
              <w:jc w:val="center"/>
              <w:rPr>
                <w:color w:val="auto"/>
                <w:sz w:val="21"/>
                <w:szCs w:val="21"/>
              </w:rPr>
            </w:pPr>
          </w:p>
        </w:tc>
        <w:tc>
          <w:tcPr>
            <w:tcW w:w="1456" w:type="dxa"/>
            <w:noWrap w:val="0"/>
            <w:vAlign w:val="center"/>
          </w:tcPr>
          <w:p>
            <w:pPr>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名称</w:t>
            </w:r>
          </w:p>
        </w:tc>
        <w:tc>
          <w:tcPr>
            <w:tcW w:w="1301" w:type="dxa"/>
            <w:noWrap w:val="0"/>
            <w:vAlign w:val="center"/>
          </w:tcPr>
          <w:p>
            <w:pPr>
              <w:jc w:val="center"/>
              <w:rPr>
                <w:rFonts w:hint="eastAsia" w:ascii="Times New Roman" w:hAnsi="Times New Roman" w:eastAsia="黑体" w:cs="Times New Roman"/>
                <w:color w:val="auto"/>
                <w:sz w:val="21"/>
                <w:szCs w:val="21"/>
                <w:lang w:val="en-US" w:eastAsia="zh-CN"/>
              </w:rPr>
            </w:pPr>
            <w:r>
              <w:rPr>
                <w:rFonts w:hint="eastAsia" w:ascii="Times New Roman" w:hAnsi="Times New Roman" w:eastAsia="黑体" w:cs="Times New Roman"/>
                <w:color w:val="auto"/>
                <w:sz w:val="21"/>
                <w:szCs w:val="21"/>
                <w:lang w:val="en-US" w:eastAsia="zh-CN"/>
              </w:rPr>
              <w:t>一级目录</w:t>
            </w:r>
          </w:p>
        </w:tc>
        <w:tc>
          <w:tcPr>
            <w:tcW w:w="1238" w:type="dxa"/>
            <w:noWrap w:val="0"/>
            <w:vAlign w:val="center"/>
          </w:tcPr>
          <w:p>
            <w:pPr>
              <w:jc w:val="center"/>
              <w:rPr>
                <w:rFonts w:hint="eastAsia" w:ascii="Times New Roman" w:hAnsi="Times New Roman" w:eastAsia="黑体" w:cs="Times New Roman"/>
                <w:color w:val="auto"/>
                <w:sz w:val="21"/>
                <w:szCs w:val="21"/>
                <w:lang w:val="en-US" w:eastAsia="zh-CN"/>
              </w:rPr>
            </w:pPr>
            <w:r>
              <w:rPr>
                <w:rFonts w:hint="eastAsia" w:ascii="Times New Roman" w:hAnsi="Times New Roman" w:eastAsia="黑体" w:cs="Times New Roman"/>
                <w:color w:val="auto"/>
                <w:sz w:val="21"/>
                <w:szCs w:val="21"/>
                <w:lang w:val="en-US" w:eastAsia="zh-CN"/>
              </w:rPr>
              <w:t>二级目录</w:t>
            </w:r>
          </w:p>
        </w:tc>
        <w:tc>
          <w:tcPr>
            <w:tcW w:w="1181" w:type="dxa"/>
            <w:vMerge w:val="continue"/>
            <w:noWrap w:val="0"/>
            <w:vAlign w:val="center"/>
          </w:tcPr>
          <w:p>
            <w:pPr>
              <w:jc w:val="center"/>
              <w:rPr>
                <w:rFonts w:hint="default" w:ascii="Times New Roman" w:hAnsi="Times New Roman" w:eastAsia="黑体" w:cs="Times New Roman"/>
                <w:color w:val="auto"/>
                <w:sz w:val="21"/>
                <w:szCs w:val="21"/>
              </w:rPr>
            </w:pPr>
          </w:p>
        </w:tc>
        <w:tc>
          <w:tcPr>
            <w:tcW w:w="1153" w:type="dxa"/>
            <w:vMerge w:val="continue"/>
            <w:noWrap w:val="0"/>
            <w:vAlign w:val="center"/>
          </w:tcPr>
          <w:p>
            <w:pPr>
              <w:jc w:val="center"/>
              <w:rPr>
                <w:rFonts w:hint="default" w:ascii="Times New Roman" w:hAnsi="Times New Roman" w:eastAsia="黑体" w:cs="Times New Roman"/>
                <w:color w:val="auto"/>
                <w:sz w:val="21"/>
                <w:szCs w:val="21"/>
              </w:rPr>
            </w:pPr>
          </w:p>
        </w:tc>
        <w:tc>
          <w:tcPr>
            <w:tcW w:w="456" w:type="dxa"/>
            <w:vMerge w:val="continue"/>
            <w:noWrap w:val="0"/>
            <w:vAlign w:val="center"/>
          </w:tcPr>
          <w:p>
            <w:pPr>
              <w:jc w:val="center"/>
              <w:rPr>
                <w:rFonts w:hint="default" w:ascii="Times New Roman" w:hAnsi="Times New Roman" w:eastAsia="黑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9" w:type="dxa"/>
            <w:noWrap w:val="0"/>
            <w:vAlign w:val="top"/>
          </w:tcPr>
          <w:p>
            <w:pPr>
              <w:jc w:val="both"/>
              <w:rPr>
                <w:rFonts w:hint="default" w:ascii="Times New Roman" w:hAnsi="Times New Roman" w:eastAsia="方正小标宋简体" w:cs="Times New Roman"/>
                <w:color w:val="auto"/>
                <w:kern w:val="0"/>
                <w:sz w:val="21"/>
                <w:szCs w:val="21"/>
                <w:vertAlign w:val="baseline"/>
                <w:lang w:val="en-US" w:eastAsia="zh-CN"/>
              </w:rPr>
            </w:pPr>
          </w:p>
        </w:tc>
        <w:tc>
          <w:tcPr>
            <w:tcW w:w="946" w:type="dxa"/>
            <w:noWrap w:val="0"/>
            <w:vAlign w:val="top"/>
          </w:tcPr>
          <w:p>
            <w:pPr>
              <w:jc w:val="both"/>
              <w:rPr>
                <w:rFonts w:hint="default" w:ascii="Times New Roman" w:hAnsi="Times New Roman" w:eastAsia="方正小标宋简体" w:cs="Times New Roman"/>
                <w:color w:val="auto"/>
                <w:kern w:val="0"/>
                <w:sz w:val="21"/>
                <w:szCs w:val="21"/>
                <w:vertAlign w:val="baseline"/>
                <w:lang w:val="en-US" w:eastAsia="zh-CN"/>
              </w:rPr>
            </w:pPr>
          </w:p>
        </w:tc>
        <w:tc>
          <w:tcPr>
            <w:tcW w:w="1470" w:type="dxa"/>
            <w:noWrap w:val="0"/>
            <w:vAlign w:val="top"/>
          </w:tcPr>
          <w:p>
            <w:pPr>
              <w:jc w:val="both"/>
              <w:rPr>
                <w:rFonts w:hint="default" w:ascii="Times New Roman" w:hAnsi="Times New Roman" w:eastAsia="方正小标宋简体" w:cs="Times New Roman"/>
                <w:color w:val="auto"/>
                <w:kern w:val="0"/>
                <w:sz w:val="21"/>
                <w:szCs w:val="21"/>
                <w:vertAlign w:val="baseline"/>
                <w:lang w:val="en-US" w:eastAsia="zh-CN"/>
              </w:rPr>
            </w:pPr>
          </w:p>
        </w:tc>
        <w:tc>
          <w:tcPr>
            <w:tcW w:w="1590" w:type="dxa"/>
            <w:noWrap w:val="0"/>
            <w:vAlign w:val="top"/>
          </w:tcPr>
          <w:p>
            <w:pPr>
              <w:jc w:val="both"/>
              <w:rPr>
                <w:rFonts w:hint="default" w:ascii="Times New Roman" w:hAnsi="Times New Roman" w:eastAsia="方正小标宋简体" w:cs="Times New Roman"/>
                <w:color w:val="auto"/>
                <w:kern w:val="0"/>
                <w:sz w:val="21"/>
                <w:szCs w:val="21"/>
                <w:vertAlign w:val="baseline"/>
                <w:lang w:val="en-US" w:eastAsia="zh-CN"/>
              </w:rPr>
            </w:pPr>
          </w:p>
        </w:tc>
        <w:tc>
          <w:tcPr>
            <w:tcW w:w="1269" w:type="dxa"/>
            <w:noWrap w:val="0"/>
            <w:vAlign w:val="top"/>
          </w:tcPr>
          <w:p>
            <w:pPr>
              <w:jc w:val="both"/>
              <w:rPr>
                <w:rFonts w:hint="default" w:ascii="Times New Roman" w:hAnsi="Times New Roman" w:eastAsia="方正小标宋简体" w:cs="Times New Roman"/>
                <w:color w:val="auto"/>
                <w:kern w:val="0"/>
                <w:sz w:val="21"/>
                <w:szCs w:val="21"/>
                <w:vertAlign w:val="baseline"/>
                <w:lang w:val="en-US" w:eastAsia="zh-CN"/>
              </w:rPr>
            </w:pPr>
          </w:p>
        </w:tc>
        <w:tc>
          <w:tcPr>
            <w:tcW w:w="1868" w:type="dxa"/>
            <w:noWrap w:val="0"/>
            <w:vAlign w:val="top"/>
          </w:tcPr>
          <w:p>
            <w:pPr>
              <w:jc w:val="both"/>
              <w:rPr>
                <w:rFonts w:hint="default" w:ascii="Times New Roman" w:hAnsi="Times New Roman" w:eastAsia="方正小标宋简体" w:cs="Times New Roman"/>
                <w:color w:val="auto"/>
                <w:kern w:val="0"/>
                <w:sz w:val="21"/>
                <w:szCs w:val="21"/>
                <w:vertAlign w:val="baseline"/>
                <w:lang w:val="en-US" w:eastAsia="zh-CN"/>
              </w:rPr>
            </w:pPr>
          </w:p>
        </w:tc>
        <w:tc>
          <w:tcPr>
            <w:tcW w:w="1456" w:type="dxa"/>
            <w:noWrap w:val="0"/>
            <w:vAlign w:val="top"/>
          </w:tcPr>
          <w:p>
            <w:pPr>
              <w:jc w:val="both"/>
              <w:rPr>
                <w:rFonts w:hint="default" w:ascii="Times New Roman" w:hAnsi="Times New Roman" w:eastAsia="方正小标宋简体" w:cs="Times New Roman"/>
                <w:color w:val="auto"/>
                <w:kern w:val="0"/>
                <w:sz w:val="21"/>
                <w:szCs w:val="21"/>
                <w:vertAlign w:val="baseline"/>
                <w:lang w:val="en-US" w:eastAsia="zh-CN"/>
              </w:rPr>
            </w:pPr>
          </w:p>
        </w:tc>
        <w:tc>
          <w:tcPr>
            <w:tcW w:w="1301" w:type="dxa"/>
            <w:noWrap w:val="0"/>
            <w:vAlign w:val="top"/>
          </w:tcPr>
          <w:p>
            <w:pPr>
              <w:jc w:val="both"/>
              <w:rPr>
                <w:rFonts w:hint="default" w:ascii="Times New Roman" w:hAnsi="Times New Roman" w:eastAsia="方正小标宋简体" w:cs="Times New Roman"/>
                <w:color w:val="auto"/>
                <w:kern w:val="0"/>
                <w:sz w:val="21"/>
                <w:szCs w:val="21"/>
                <w:vertAlign w:val="baseline"/>
                <w:lang w:val="en-US" w:eastAsia="zh-CN"/>
              </w:rPr>
            </w:pPr>
          </w:p>
        </w:tc>
        <w:tc>
          <w:tcPr>
            <w:tcW w:w="1238" w:type="dxa"/>
            <w:noWrap w:val="0"/>
            <w:vAlign w:val="top"/>
          </w:tcPr>
          <w:p>
            <w:pPr>
              <w:jc w:val="both"/>
              <w:rPr>
                <w:rFonts w:hint="default" w:ascii="Times New Roman" w:hAnsi="Times New Roman" w:eastAsia="方正小标宋简体" w:cs="Times New Roman"/>
                <w:color w:val="auto"/>
                <w:kern w:val="0"/>
                <w:sz w:val="21"/>
                <w:szCs w:val="21"/>
                <w:vertAlign w:val="baseline"/>
                <w:lang w:val="en-US" w:eastAsia="zh-CN"/>
              </w:rPr>
            </w:pPr>
          </w:p>
        </w:tc>
        <w:tc>
          <w:tcPr>
            <w:tcW w:w="1181" w:type="dxa"/>
            <w:noWrap w:val="0"/>
            <w:vAlign w:val="top"/>
          </w:tcPr>
          <w:p>
            <w:pPr>
              <w:jc w:val="both"/>
              <w:rPr>
                <w:rFonts w:hint="default" w:ascii="Times New Roman" w:hAnsi="Times New Roman" w:eastAsia="方正小标宋简体" w:cs="Times New Roman"/>
                <w:color w:val="auto"/>
                <w:kern w:val="0"/>
                <w:sz w:val="21"/>
                <w:szCs w:val="21"/>
                <w:vertAlign w:val="baseline"/>
                <w:lang w:val="en-US" w:eastAsia="zh-CN"/>
              </w:rPr>
            </w:pPr>
          </w:p>
        </w:tc>
        <w:tc>
          <w:tcPr>
            <w:tcW w:w="1153" w:type="dxa"/>
            <w:noWrap w:val="0"/>
            <w:vAlign w:val="top"/>
          </w:tcPr>
          <w:p>
            <w:pPr>
              <w:jc w:val="both"/>
              <w:rPr>
                <w:rFonts w:hint="default" w:ascii="Times New Roman" w:hAnsi="Times New Roman" w:eastAsia="方正小标宋简体" w:cs="Times New Roman"/>
                <w:color w:val="auto"/>
                <w:kern w:val="0"/>
                <w:sz w:val="21"/>
                <w:szCs w:val="21"/>
                <w:vertAlign w:val="baseline"/>
                <w:lang w:val="en-US" w:eastAsia="zh-CN"/>
              </w:rPr>
            </w:pPr>
          </w:p>
        </w:tc>
        <w:tc>
          <w:tcPr>
            <w:tcW w:w="456" w:type="dxa"/>
            <w:noWrap w:val="0"/>
            <w:vAlign w:val="top"/>
          </w:tcPr>
          <w:p>
            <w:pPr>
              <w:jc w:val="both"/>
              <w:rPr>
                <w:rFonts w:hint="default" w:ascii="Times New Roman" w:hAnsi="Times New Roman" w:eastAsia="方正小标宋简体" w:cs="Times New Roman"/>
                <w:color w:val="auto"/>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94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7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59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6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86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30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3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8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53"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94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7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59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6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86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30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3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8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53"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94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7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59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6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86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30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3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8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53"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94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7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59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6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86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30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3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8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53"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94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7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59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6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86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30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3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8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53"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94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7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59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6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86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30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3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8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53"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94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7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590"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69"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86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30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238"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81"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1153"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c>
          <w:tcPr>
            <w:tcW w:w="456" w:type="dxa"/>
            <w:noWrap w:val="0"/>
            <w:vAlign w:val="top"/>
          </w:tcPr>
          <w:p>
            <w:pPr>
              <w:jc w:val="both"/>
              <w:rPr>
                <w:rFonts w:hint="default" w:ascii="Times New Roman" w:hAnsi="Times New Roman" w:eastAsia="方正小标宋简体" w:cs="Times New Roman"/>
                <w:color w:val="auto"/>
                <w:kern w:val="0"/>
                <w:sz w:val="44"/>
                <w:szCs w:val="44"/>
                <w:vertAlign w:val="baseline"/>
                <w:lang w:val="en-US" w:eastAsia="zh-CN"/>
              </w:rPr>
            </w:pPr>
          </w:p>
        </w:tc>
      </w:tr>
    </w:tbl>
    <w:p>
      <w:pPr>
        <w:rPr>
          <w:rFonts w:hint="default" w:ascii="楷体_GB2312" w:hAnsi="楷体_GB2312" w:eastAsia="楷体_GB2312" w:cs="楷体_GB2312"/>
          <w:color w:val="auto"/>
          <w:kern w:val="0"/>
          <w:sz w:val="28"/>
          <w:szCs w:val="28"/>
          <w:lang w:val="en-US" w:eastAsia="zh-CN"/>
        </w:rPr>
        <w:sectPr>
          <w:pgSz w:w="16838" w:h="11906" w:orient="landscape"/>
          <w:pgMar w:top="1803" w:right="1440" w:bottom="1803" w:left="1440" w:header="851" w:footer="992" w:gutter="0"/>
          <w:cols w:space="0" w:num="1"/>
          <w:rtlGutter w:val="0"/>
          <w:docGrid w:type="lines" w:linePitch="319" w:charSpace="0"/>
        </w:sect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lang w:eastAsia="zh-CN"/>
        </w:rPr>
      </w:pPr>
      <w:r>
        <w:rPr>
          <w:rFonts w:hint="eastAsia" w:ascii="方正黑体_GBK" w:hAnsi="方正黑体_GBK" w:eastAsia="方正黑体_GBK" w:cs="方正黑体_GBK"/>
          <w:b w:val="0"/>
          <w:bCs/>
          <w:color w:val="auto"/>
          <w:sz w:val="32"/>
          <w:szCs w:val="32"/>
        </w:rPr>
        <w:t>附件</w:t>
      </w:r>
      <w:r>
        <w:rPr>
          <w:rFonts w:hint="eastAsia" w:ascii="方正黑体_GBK" w:hAnsi="方正黑体_GBK" w:eastAsia="方正黑体_GBK" w:cs="方正黑体_GBK"/>
          <w:b w:val="0"/>
          <w:bCs/>
          <w:color w:val="auto"/>
          <w:sz w:val="32"/>
          <w:szCs w:val="32"/>
          <w:lang w:val="en-US" w:eastAsia="zh-CN"/>
        </w:rPr>
        <w:t>2</w:t>
      </w:r>
      <w:r>
        <w:rPr>
          <w:rFonts w:hint="eastAsia" w:ascii="方正黑体_GBK" w:hAnsi="方正黑体_GBK" w:eastAsia="方正黑体_GBK" w:cs="方正黑体_GBK"/>
          <w:b w:val="0"/>
          <w:bCs/>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right="-153" w:rightChars="-73"/>
        <w:jc w:val="center"/>
        <w:textAlignment w:val="auto"/>
        <w:rPr>
          <w:rFonts w:hint="default" w:ascii="Times New Roman" w:hAnsi="Times New Roman" w:eastAsia="方正小标宋简体" w:cs="Times New Roman"/>
          <w:color w:val="auto"/>
          <w:kern w:val="0"/>
          <w:sz w:val="36"/>
          <w:szCs w:val="36"/>
        </w:rPr>
      </w:pPr>
    </w:p>
    <w:p>
      <w:pPr>
        <w:keepNext w:val="0"/>
        <w:keepLines w:val="0"/>
        <w:pageBreakBefore w:val="0"/>
        <w:widowControl/>
        <w:kinsoku/>
        <w:wordWrap/>
        <w:overflowPunct/>
        <w:topLinePunct w:val="0"/>
        <w:autoSpaceDE/>
        <w:autoSpaceDN/>
        <w:bidi w:val="0"/>
        <w:adjustRightInd/>
        <w:snapToGrid/>
        <w:spacing w:line="560" w:lineRule="exact"/>
        <w:ind w:right="-153" w:rightChars="-73"/>
        <w:jc w:val="center"/>
        <w:textAlignment w:val="auto"/>
        <w:rPr>
          <w:rFonts w:hint="default" w:ascii="Times New Roman" w:hAnsi="Times New Roman" w:eastAsia="方正小标宋简体" w:cs="Times New Roman"/>
          <w:color w:val="auto"/>
          <w:kern w:val="0"/>
          <w:sz w:val="36"/>
          <w:szCs w:val="36"/>
        </w:rPr>
      </w:pPr>
    </w:p>
    <w:p>
      <w:pPr>
        <w:keepNext w:val="0"/>
        <w:keepLines w:val="0"/>
        <w:pageBreakBefore w:val="0"/>
        <w:widowControl/>
        <w:kinsoku/>
        <w:wordWrap/>
        <w:overflowPunct/>
        <w:topLinePunct w:val="0"/>
        <w:autoSpaceDE/>
        <w:autoSpaceDN/>
        <w:bidi w:val="0"/>
        <w:adjustRightInd/>
        <w:snapToGrid/>
        <w:spacing w:line="560" w:lineRule="exact"/>
        <w:ind w:right="-153" w:rightChars="-73"/>
        <w:jc w:val="center"/>
        <w:textAlignment w:val="auto"/>
        <w:rPr>
          <w:rFonts w:hint="default" w:ascii="Times New Roman" w:hAnsi="Times New Roman" w:eastAsia="方正小标宋简体" w:cs="Times New Roman"/>
          <w:color w:val="auto"/>
          <w:kern w:val="0"/>
          <w:sz w:val="36"/>
          <w:szCs w:val="36"/>
        </w:rPr>
      </w:pPr>
    </w:p>
    <w:p>
      <w:pPr>
        <w:keepNext w:val="0"/>
        <w:keepLines w:val="0"/>
        <w:pageBreakBefore w:val="0"/>
        <w:widowControl/>
        <w:kinsoku/>
        <w:wordWrap/>
        <w:overflowPunct/>
        <w:topLinePunct w:val="0"/>
        <w:autoSpaceDE/>
        <w:autoSpaceDN/>
        <w:bidi w:val="0"/>
        <w:adjustRightInd/>
        <w:snapToGrid/>
        <w:spacing w:line="560" w:lineRule="exact"/>
        <w:ind w:right="-153" w:rightChars="-73"/>
        <w:jc w:val="center"/>
        <w:textAlignment w:val="auto"/>
        <w:rPr>
          <w:rFonts w:hint="default" w:ascii="Times New Roman" w:hAnsi="Times New Roman" w:eastAsia="方正小标宋简体" w:cs="Times New Roman"/>
          <w:color w:val="auto"/>
          <w:kern w:val="0"/>
          <w:sz w:val="36"/>
          <w:szCs w:val="36"/>
        </w:rPr>
      </w:pPr>
    </w:p>
    <w:p>
      <w:pPr>
        <w:keepNext w:val="0"/>
        <w:keepLines w:val="0"/>
        <w:pageBreakBefore w:val="0"/>
        <w:widowControl/>
        <w:kinsoku/>
        <w:wordWrap/>
        <w:overflowPunct/>
        <w:topLinePunct w:val="0"/>
        <w:autoSpaceDE/>
        <w:autoSpaceDN/>
        <w:bidi w:val="0"/>
        <w:adjustRightInd/>
        <w:snapToGrid/>
        <w:spacing w:line="560" w:lineRule="exact"/>
        <w:ind w:right="-153" w:rightChars="-73"/>
        <w:jc w:val="center"/>
        <w:textAlignment w:val="auto"/>
        <w:rPr>
          <w:rFonts w:hint="default" w:ascii="Times New Roman" w:hAnsi="Times New Roman" w:eastAsia="方正小标宋简体" w:cs="Times New Roman"/>
          <w:color w:val="auto"/>
          <w:kern w:val="0"/>
          <w:sz w:val="44"/>
          <w:szCs w:val="44"/>
        </w:rPr>
      </w:pPr>
      <w:r>
        <w:rPr>
          <w:rFonts w:hint="eastAsia" w:ascii="Times New Roman" w:hAnsi="Times New Roman" w:eastAsia="方正小标宋简体" w:cs="Times New Roman"/>
          <w:color w:val="auto"/>
          <w:kern w:val="0"/>
          <w:sz w:val="44"/>
          <w:szCs w:val="44"/>
          <w:lang w:val="en-US" w:eastAsia="zh-CN"/>
        </w:rPr>
        <w:t>2023年博罗县</w:t>
      </w:r>
      <w:r>
        <w:rPr>
          <w:rFonts w:hint="default" w:ascii="Times New Roman" w:hAnsi="Times New Roman" w:eastAsia="方正小标宋简体" w:cs="Times New Roman"/>
          <w:color w:val="auto"/>
          <w:kern w:val="0"/>
          <w:sz w:val="44"/>
          <w:szCs w:val="44"/>
        </w:rPr>
        <w:t>“企业上云</w:t>
      </w:r>
      <w:r>
        <w:rPr>
          <w:rFonts w:hint="eastAsia" w:ascii="Times New Roman" w:hAnsi="Times New Roman" w:eastAsia="方正小标宋简体" w:cs="Times New Roman"/>
          <w:color w:val="auto"/>
          <w:kern w:val="0"/>
          <w:sz w:val="44"/>
          <w:szCs w:val="44"/>
          <w:lang w:val="en-US" w:eastAsia="zh-CN"/>
        </w:rPr>
        <w:t>上平台</w:t>
      </w:r>
      <w:r>
        <w:rPr>
          <w:rFonts w:hint="default" w:ascii="Times New Roman" w:hAnsi="Times New Roman" w:eastAsia="方正小标宋简体" w:cs="Times New Roman"/>
          <w:color w:val="auto"/>
          <w:kern w:val="0"/>
          <w:sz w:val="44"/>
          <w:szCs w:val="44"/>
        </w:rPr>
        <w:t>”</w:t>
      </w:r>
    </w:p>
    <w:p>
      <w:pPr>
        <w:keepNext w:val="0"/>
        <w:keepLines w:val="0"/>
        <w:pageBreakBefore w:val="0"/>
        <w:widowControl/>
        <w:kinsoku/>
        <w:wordWrap/>
        <w:overflowPunct/>
        <w:topLinePunct w:val="0"/>
        <w:autoSpaceDE/>
        <w:autoSpaceDN/>
        <w:bidi w:val="0"/>
        <w:adjustRightInd/>
        <w:snapToGrid/>
        <w:spacing w:line="560" w:lineRule="exact"/>
        <w:ind w:right="-153" w:rightChars="-73"/>
        <w:jc w:val="center"/>
        <w:textAlignment w:val="auto"/>
        <w:rPr>
          <w:rFonts w:hint="eastAsia" w:ascii="Times New Roman" w:hAnsi="Times New Roman" w:eastAsia="方正小标宋简体" w:cs="Times New Roman"/>
          <w:color w:val="auto"/>
          <w:kern w:val="0"/>
          <w:sz w:val="44"/>
          <w:szCs w:val="44"/>
          <w:lang w:eastAsia="zh-CN"/>
        </w:rPr>
      </w:pPr>
      <w:r>
        <w:rPr>
          <w:rFonts w:hint="eastAsia" w:ascii="Times New Roman" w:hAnsi="Times New Roman" w:eastAsia="方正小标宋简体" w:cs="Times New Roman"/>
          <w:color w:val="auto"/>
          <w:kern w:val="0"/>
          <w:sz w:val="44"/>
          <w:szCs w:val="44"/>
          <w:lang w:val="en-US" w:eastAsia="zh-CN"/>
        </w:rPr>
        <w:t>奖补</w:t>
      </w:r>
      <w:r>
        <w:rPr>
          <w:rFonts w:hint="default" w:ascii="Times New Roman" w:hAnsi="Times New Roman" w:eastAsia="方正小标宋简体" w:cs="Times New Roman"/>
          <w:color w:val="auto"/>
          <w:kern w:val="0"/>
          <w:sz w:val="44"/>
          <w:szCs w:val="44"/>
        </w:rPr>
        <w:t>资金申报</w:t>
      </w:r>
      <w:r>
        <w:rPr>
          <w:rFonts w:hint="eastAsia" w:ascii="Times New Roman" w:hAnsi="Times New Roman" w:eastAsia="方正小标宋简体" w:cs="Times New Roman"/>
          <w:color w:val="auto"/>
          <w:kern w:val="0"/>
          <w:sz w:val="44"/>
          <w:szCs w:val="44"/>
          <w:lang w:val="en-US" w:eastAsia="zh-CN"/>
        </w:rPr>
        <w:t>材料</w:t>
      </w: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ind w:firstLine="1280" w:firstLineChars="400"/>
        <w:jc w:val="left"/>
        <w:textAlignment w:val="auto"/>
        <w:rPr>
          <w:rFonts w:hint="eastAsia" w:ascii="楷体_GB2312" w:hAnsi="楷体_GB2312" w:eastAsia="楷体_GB2312" w:cs="楷体_GB2312"/>
          <w:b w:val="0"/>
          <w:bCs/>
          <w:color w:val="auto"/>
          <w:sz w:val="32"/>
          <w:szCs w:val="32"/>
          <w:u w:val="single"/>
          <w:lang w:val="en-US" w:eastAsia="zh-CN"/>
        </w:rPr>
      </w:pPr>
      <w:r>
        <w:rPr>
          <w:rFonts w:hint="eastAsia" w:ascii="楷体_GB2312" w:hAnsi="楷体_GB2312" w:eastAsia="楷体_GB2312" w:cs="楷体_GB2312"/>
          <w:b w:val="0"/>
          <w:bCs/>
          <w:color w:val="auto"/>
          <w:sz w:val="32"/>
          <w:szCs w:val="32"/>
          <w:lang w:val="en-US" w:eastAsia="zh-CN"/>
        </w:rPr>
        <w:t>申报单位：</w:t>
      </w:r>
      <w:r>
        <w:rPr>
          <w:rFonts w:hint="eastAsia" w:ascii="楷体_GB2312" w:hAnsi="楷体_GB2312" w:eastAsia="楷体_GB2312" w:cs="楷体_GB2312"/>
          <w:b w:val="0"/>
          <w:bCs/>
          <w:color w:val="auto"/>
          <w:sz w:val="32"/>
          <w:szCs w:val="32"/>
          <w:u w:val="single"/>
          <w:lang w:val="en-US" w:eastAsia="zh-CN"/>
        </w:rPr>
        <w:t xml:space="preserve">                           </w:t>
      </w:r>
    </w:p>
    <w:p>
      <w:pPr>
        <w:keepNext w:val="0"/>
        <w:keepLines w:val="0"/>
        <w:pageBreakBefore w:val="0"/>
        <w:kinsoku/>
        <w:wordWrap/>
        <w:overflowPunct/>
        <w:topLinePunct w:val="0"/>
        <w:autoSpaceDE/>
        <w:autoSpaceDN/>
        <w:bidi w:val="0"/>
        <w:adjustRightInd/>
        <w:snapToGrid/>
        <w:spacing w:after="156" w:line="560" w:lineRule="exact"/>
        <w:jc w:val="center"/>
        <w:textAlignment w:val="auto"/>
        <w:rPr>
          <w:rFonts w:hint="default" w:ascii="Times New Roman" w:hAnsi="Times New Roman" w:eastAsia="楷体_GB2312" w:cs="Times New Roman"/>
          <w:b w:val="0"/>
          <w:bCs/>
          <w:color w:val="auto"/>
          <w:sz w:val="32"/>
          <w:szCs w:val="32"/>
          <w:lang w:val="en-US" w:eastAsia="zh-CN"/>
        </w:rPr>
      </w:pPr>
      <w:r>
        <w:rPr>
          <w:rFonts w:hint="default" w:ascii="Times New Roman" w:hAnsi="Times New Roman" w:eastAsia="楷体_GB2312" w:cs="Times New Roman"/>
          <w:b w:val="0"/>
          <w:bCs/>
          <w:color w:val="auto"/>
          <w:sz w:val="32"/>
          <w:szCs w:val="32"/>
          <w:lang w:val="en-US" w:eastAsia="zh-CN"/>
        </w:rPr>
        <w:t>202</w:t>
      </w:r>
      <w:r>
        <w:rPr>
          <w:rFonts w:hint="eastAsia" w:ascii="Times New Roman" w:hAnsi="Times New Roman" w:eastAsia="楷体_GB2312" w:cs="Times New Roman"/>
          <w:b w:val="0"/>
          <w:bCs/>
          <w:color w:val="auto"/>
          <w:sz w:val="32"/>
          <w:szCs w:val="32"/>
          <w:lang w:val="en-US" w:eastAsia="zh-CN"/>
        </w:rPr>
        <w:t>2</w:t>
      </w:r>
      <w:r>
        <w:rPr>
          <w:rFonts w:hint="default" w:ascii="Times New Roman" w:hAnsi="Times New Roman" w:eastAsia="楷体_GB2312" w:cs="Times New Roman"/>
          <w:b w:val="0"/>
          <w:bCs/>
          <w:color w:val="auto"/>
          <w:sz w:val="32"/>
          <w:szCs w:val="32"/>
          <w:lang w:val="en-US" w:eastAsia="zh-CN"/>
        </w:rPr>
        <w:t>年</w:t>
      </w:r>
      <w:r>
        <w:rPr>
          <w:rFonts w:hint="eastAsia" w:ascii="Times New Roman" w:hAnsi="Times New Roman" w:eastAsia="楷体_GB2312" w:cs="Times New Roman"/>
          <w:b w:val="0"/>
          <w:bCs/>
          <w:color w:val="auto"/>
          <w:sz w:val="32"/>
          <w:szCs w:val="32"/>
          <w:lang w:val="en-US" w:eastAsia="zh-CN"/>
        </w:rPr>
        <w:t>8</w:t>
      </w:r>
      <w:r>
        <w:rPr>
          <w:rFonts w:hint="default" w:ascii="Times New Roman" w:hAnsi="Times New Roman" w:eastAsia="楷体_GB2312" w:cs="Times New Roman"/>
          <w:b w:val="0"/>
          <w:bCs/>
          <w:color w:val="auto"/>
          <w:sz w:val="32"/>
          <w:szCs w:val="32"/>
          <w:lang w:val="en-US" w:eastAsia="zh-CN"/>
        </w:rPr>
        <w:t>月</w:t>
      </w: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pStyle w:val="2"/>
        <w:rPr>
          <w:rFonts w:hint="eastAsia"/>
          <w:color w:val="auto"/>
        </w:rPr>
      </w:pPr>
    </w:p>
    <w:p>
      <w:pPr>
        <w:pStyle w:val="10"/>
        <w:keepNext w:val="0"/>
        <w:keepLines w:val="0"/>
        <w:pageBreakBefore w:val="0"/>
        <w:widowControl/>
        <w:kinsoku/>
        <w:wordWrap/>
        <w:overflowPunct/>
        <w:topLinePunct w:val="0"/>
        <w:bidi w:val="0"/>
        <w:adjustRightInd/>
        <w:snapToGrid/>
        <w:spacing w:line="560" w:lineRule="exact"/>
        <w:ind w:firstLine="640" w:firstLineChars="200"/>
        <w:jc w:val="center"/>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申报材料清单目录</w:t>
      </w:r>
    </w:p>
    <w:p>
      <w:pPr>
        <w:pStyle w:val="10"/>
        <w:keepNext w:val="0"/>
        <w:keepLines w:val="0"/>
        <w:pageBreakBefore w:val="0"/>
        <w:widowControl/>
        <w:kinsoku/>
        <w:wordWrap/>
        <w:overflowPunct/>
        <w:topLinePunct w:val="0"/>
        <w:bidi w:val="0"/>
        <w:adjustRightInd/>
        <w:snapToGrid/>
        <w:spacing w:line="560" w:lineRule="exact"/>
        <w:ind w:firstLine="640" w:firstLineChars="200"/>
        <w:jc w:val="center"/>
        <w:textAlignment w:val="auto"/>
        <w:rPr>
          <w:rFonts w:hint="default" w:ascii="黑体" w:hAnsi="黑体" w:eastAsia="黑体" w:cs="黑体"/>
          <w:color w:val="auto"/>
          <w:sz w:val="32"/>
          <w:szCs w:val="32"/>
          <w:lang w:val="en-US" w:eastAsia="zh-CN"/>
        </w:rPr>
      </w:pPr>
    </w:p>
    <w:p>
      <w:pPr>
        <w:pStyle w:val="10"/>
        <w:keepNext w:val="0"/>
        <w:keepLines w:val="0"/>
        <w:pageBreakBefore w:val="0"/>
        <w:widowControl/>
        <w:kinsoku/>
        <w:wordWrap/>
        <w:overflowPunct/>
        <w:topLinePunct w:val="0"/>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1、</w:t>
      </w:r>
      <w:r>
        <w:rPr>
          <w:rFonts w:hint="eastAsia" w:ascii="Times New Roman" w:hAnsi="Times New Roman" w:eastAsia="方正仿宋_GBK" w:cs="Times New Roman"/>
          <w:color w:val="auto"/>
          <w:sz w:val="32"/>
          <w:szCs w:val="32"/>
          <w:lang w:val="en-US" w:eastAsia="zh-CN"/>
        </w:rPr>
        <w:t>博罗县</w:t>
      </w:r>
      <w:r>
        <w:rPr>
          <w:rFonts w:hint="default" w:ascii="Times New Roman" w:hAnsi="Times New Roman" w:eastAsia="方正仿宋_GBK" w:cs="Times New Roman"/>
          <w:color w:val="auto"/>
          <w:sz w:val="32"/>
          <w:szCs w:val="32"/>
          <w:lang w:val="en-US" w:eastAsia="zh-CN"/>
        </w:rPr>
        <w:t>“企业上云上平台”奖补资金申请</w:t>
      </w:r>
      <w:r>
        <w:rPr>
          <w:rFonts w:hint="eastAsia" w:ascii="Times New Roman" w:hAnsi="Times New Roman" w:eastAsia="方正仿宋_GBK" w:cs="Times New Roman"/>
          <w:color w:val="auto"/>
          <w:sz w:val="32"/>
          <w:szCs w:val="32"/>
          <w:lang w:val="en-US" w:eastAsia="zh-CN"/>
        </w:rPr>
        <w:t>表</w:t>
      </w:r>
      <w:r>
        <w:rPr>
          <w:rFonts w:hint="default" w:ascii="Times New Roman" w:hAnsi="Times New Roman" w:eastAsia="方正仿宋_GBK" w:cs="Times New Roman"/>
          <w:color w:val="auto"/>
          <w:sz w:val="32"/>
          <w:szCs w:val="32"/>
          <w:lang w:val="en-US" w:eastAsia="zh-CN"/>
        </w:rPr>
        <w:t>；</w:t>
      </w:r>
    </w:p>
    <w:p>
      <w:pPr>
        <w:pStyle w:val="10"/>
        <w:keepNext w:val="0"/>
        <w:keepLines w:val="0"/>
        <w:pageBreakBefore w:val="0"/>
        <w:widowControl/>
        <w:kinsoku/>
        <w:wordWrap/>
        <w:overflowPunct/>
        <w:topLinePunct w:val="0"/>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w:t>
      </w:r>
      <w:r>
        <w:rPr>
          <w:rFonts w:hint="eastAsia" w:ascii="Times New Roman" w:hAnsi="Times New Roman" w:eastAsia="方正仿宋_GBK" w:cs="Times New Roman"/>
          <w:color w:val="auto"/>
          <w:sz w:val="32"/>
          <w:szCs w:val="32"/>
          <w:lang w:val="en-US" w:eastAsia="zh-CN"/>
        </w:rPr>
        <w:t>博罗县</w:t>
      </w:r>
      <w:r>
        <w:rPr>
          <w:rFonts w:hint="default" w:ascii="Times New Roman" w:hAnsi="Times New Roman" w:eastAsia="方正仿宋_GBK" w:cs="Times New Roman"/>
          <w:color w:val="auto"/>
          <w:sz w:val="32"/>
          <w:szCs w:val="32"/>
          <w:lang w:val="en-US" w:eastAsia="zh-CN"/>
        </w:rPr>
        <w:t>“企业上云上平台”奖补资金使用承诺书；</w:t>
      </w:r>
    </w:p>
    <w:p>
      <w:pPr>
        <w:pStyle w:val="10"/>
        <w:keepNext w:val="0"/>
        <w:keepLines w:val="0"/>
        <w:pageBreakBefore w:val="0"/>
        <w:widowControl/>
        <w:kinsoku/>
        <w:wordWrap/>
        <w:overflowPunct/>
        <w:topLinePunct w:val="0"/>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3、企业统一社会信用代码证；</w:t>
      </w:r>
    </w:p>
    <w:p>
      <w:pPr>
        <w:pStyle w:val="10"/>
        <w:keepNext w:val="0"/>
        <w:keepLines w:val="0"/>
        <w:pageBreakBefore w:val="0"/>
        <w:widowControl/>
        <w:kinsoku/>
        <w:wordWrap/>
        <w:overflowPunct/>
        <w:topLinePunct w:val="0"/>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4、企业与云平台服务商签订的上云</w:t>
      </w:r>
      <w:r>
        <w:rPr>
          <w:rFonts w:hint="eastAsia" w:ascii="Times New Roman" w:hAnsi="Times New Roman" w:eastAsia="方正仿宋_GBK" w:cs="Times New Roman"/>
          <w:color w:val="auto"/>
          <w:sz w:val="32"/>
          <w:szCs w:val="32"/>
          <w:lang w:val="en-US" w:eastAsia="zh-CN"/>
        </w:rPr>
        <w:t>上平台</w:t>
      </w:r>
      <w:r>
        <w:rPr>
          <w:rFonts w:hint="default" w:ascii="Times New Roman" w:hAnsi="Times New Roman" w:eastAsia="方正仿宋_GBK" w:cs="Times New Roman"/>
          <w:color w:val="auto"/>
          <w:sz w:val="32"/>
          <w:szCs w:val="32"/>
          <w:lang w:val="en-US" w:eastAsia="zh-CN"/>
        </w:rPr>
        <w:t>服务合同；</w:t>
      </w:r>
    </w:p>
    <w:p>
      <w:pPr>
        <w:pStyle w:val="10"/>
        <w:keepNext w:val="0"/>
        <w:keepLines w:val="0"/>
        <w:pageBreakBefore w:val="0"/>
        <w:widowControl/>
        <w:kinsoku/>
        <w:wordWrap/>
        <w:overflowPunct/>
        <w:topLinePunct w:val="0"/>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5、增值税专用发票；</w:t>
      </w:r>
    </w:p>
    <w:p>
      <w:pPr>
        <w:pStyle w:val="10"/>
        <w:keepNext w:val="0"/>
        <w:keepLines w:val="0"/>
        <w:pageBreakBefore w:val="0"/>
        <w:widowControl/>
        <w:kinsoku/>
        <w:wordWrap/>
        <w:overflowPunct/>
        <w:topLinePunct w:val="0"/>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lang w:val="en-US" w:eastAsia="zh-CN"/>
        </w:rPr>
        <w:t>、支付凭证；</w:t>
      </w:r>
    </w:p>
    <w:p>
      <w:pPr>
        <w:pStyle w:val="10"/>
        <w:keepNext w:val="0"/>
        <w:keepLines w:val="0"/>
        <w:pageBreakBefore w:val="0"/>
        <w:widowControl/>
        <w:kinsoku/>
        <w:wordWrap/>
        <w:overflowPunct/>
        <w:topLinePunct w:val="0"/>
        <w:bidi w:val="0"/>
        <w:adjustRightInd/>
        <w:snapToGrid/>
        <w:spacing w:line="560" w:lineRule="exact"/>
        <w:ind w:firstLine="640" w:firstLineChars="200"/>
        <w:jc w:val="left"/>
        <w:textAlignment w:val="auto"/>
        <w:rPr>
          <w:rFonts w:hint="eastAsia"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7、验收报告</w:t>
      </w:r>
      <w:r>
        <w:rPr>
          <w:rFonts w:hint="eastAsia" w:ascii="Times New Roman" w:hAnsi="Times New Roman" w:eastAsia="方正仿宋_GBK" w:cs="Times New Roman"/>
          <w:color w:val="auto"/>
          <w:sz w:val="32"/>
          <w:szCs w:val="32"/>
          <w:lang w:val="en-US" w:eastAsia="zh-CN"/>
        </w:rPr>
        <w:t>；</w:t>
      </w:r>
    </w:p>
    <w:p>
      <w:pPr>
        <w:pStyle w:val="10"/>
        <w:keepNext w:val="0"/>
        <w:keepLines w:val="0"/>
        <w:pageBreakBefore w:val="0"/>
        <w:widowControl/>
        <w:kinsoku/>
        <w:wordWrap/>
        <w:overflowPunct/>
        <w:topLinePunct w:val="0"/>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8、企业节能审查情况说明</w:t>
      </w:r>
    </w:p>
    <w:p>
      <w:pPr>
        <w:pStyle w:val="10"/>
        <w:keepNext w:val="0"/>
        <w:keepLines w:val="0"/>
        <w:pageBreakBefore w:val="0"/>
        <w:widowControl/>
        <w:kinsoku/>
        <w:wordWrap/>
        <w:overflowPunct/>
        <w:topLinePunct w:val="0"/>
        <w:bidi w:val="0"/>
        <w:adjustRightInd/>
        <w:snapToGrid/>
        <w:spacing w:line="560"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9、其他说明材料（根据实际需要提供）。</w:t>
      </w: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keepNext w:val="0"/>
        <w:keepLines w:val="0"/>
        <w:pageBreakBefore w:val="0"/>
        <w:kinsoku/>
        <w:wordWrap/>
        <w:overflowPunct/>
        <w:topLinePunct w:val="0"/>
        <w:autoSpaceDE/>
        <w:autoSpaceDN/>
        <w:bidi w:val="0"/>
        <w:adjustRightInd/>
        <w:snapToGrid/>
        <w:spacing w:after="156" w:line="560" w:lineRule="exact"/>
        <w:jc w:val="left"/>
        <w:textAlignment w:val="auto"/>
        <w:rPr>
          <w:rFonts w:hint="eastAsia" w:ascii="黑体" w:hAnsi="黑体" w:eastAsia="黑体" w:cs="黑体"/>
          <w:b w:val="0"/>
          <w:bCs/>
          <w:color w:val="auto"/>
          <w:sz w:val="32"/>
          <w:szCs w:val="32"/>
        </w:rPr>
      </w:pPr>
    </w:p>
    <w:p>
      <w:pPr>
        <w:pStyle w:val="2"/>
        <w:rPr>
          <w:rFonts w:hint="eastAsia"/>
          <w:color w:val="auto"/>
        </w:rPr>
      </w:pPr>
    </w:p>
    <w:p>
      <w:pPr>
        <w:widowControl/>
        <w:spacing w:line="480" w:lineRule="exact"/>
        <w:ind w:right="-153" w:rightChars="-73"/>
        <w:jc w:val="center"/>
        <w:rPr>
          <w:rFonts w:hint="default" w:ascii="Times New Roman" w:hAnsi="Times New Roman" w:eastAsia="方正小标宋简体" w:cs="Times New Roman"/>
          <w:color w:val="auto"/>
          <w:kern w:val="0"/>
          <w:sz w:val="36"/>
          <w:szCs w:val="36"/>
        </w:rPr>
      </w:pPr>
      <w:r>
        <w:rPr>
          <w:rFonts w:hint="eastAsia" w:ascii="Times New Roman" w:hAnsi="Times New Roman" w:eastAsia="方正仿宋_GBK" w:cs="Times New Roman"/>
          <w:color w:val="auto"/>
          <w:sz w:val="32"/>
          <w:szCs w:val="32"/>
          <w:lang w:val="en-US" w:eastAsia="zh-CN"/>
        </w:rPr>
        <w:t>博罗县</w:t>
      </w:r>
      <w:r>
        <w:rPr>
          <w:rFonts w:hint="default" w:ascii="Times New Roman" w:hAnsi="Times New Roman" w:eastAsia="方正小标宋简体" w:cs="Times New Roman"/>
          <w:color w:val="auto"/>
          <w:kern w:val="0"/>
          <w:sz w:val="36"/>
          <w:szCs w:val="36"/>
        </w:rPr>
        <w:t>“企业上云</w:t>
      </w:r>
      <w:r>
        <w:rPr>
          <w:rFonts w:hint="eastAsia" w:ascii="Times New Roman" w:hAnsi="Times New Roman" w:eastAsia="方正小标宋简体" w:cs="Times New Roman"/>
          <w:color w:val="auto"/>
          <w:kern w:val="0"/>
          <w:sz w:val="36"/>
          <w:szCs w:val="36"/>
          <w:lang w:val="en-US" w:eastAsia="zh-CN"/>
        </w:rPr>
        <w:t>上平台</w:t>
      </w:r>
      <w:r>
        <w:rPr>
          <w:rFonts w:hint="default" w:ascii="Times New Roman" w:hAnsi="Times New Roman" w:eastAsia="方正小标宋简体" w:cs="Times New Roman"/>
          <w:color w:val="auto"/>
          <w:kern w:val="0"/>
          <w:sz w:val="36"/>
          <w:szCs w:val="36"/>
        </w:rPr>
        <w:t>”</w:t>
      </w:r>
      <w:r>
        <w:rPr>
          <w:rFonts w:hint="eastAsia" w:ascii="Times New Roman" w:hAnsi="Times New Roman" w:eastAsia="方正小标宋简体" w:cs="Times New Roman"/>
          <w:color w:val="auto"/>
          <w:kern w:val="0"/>
          <w:sz w:val="36"/>
          <w:szCs w:val="36"/>
          <w:lang w:val="en-US" w:eastAsia="zh-CN"/>
        </w:rPr>
        <w:t>奖补</w:t>
      </w:r>
      <w:r>
        <w:rPr>
          <w:rFonts w:hint="default" w:ascii="Times New Roman" w:hAnsi="Times New Roman" w:eastAsia="方正小标宋简体" w:cs="Times New Roman"/>
          <w:color w:val="auto"/>
          <w:kern w:val="0"/>
          <w:sz w:val="36"/>
          <w:szCs w:val="36"/>
        </w:rPr>
        <w:t>资金申报表</w:t>
      </w:r>
    </w:p>
    <w:p>
      <w:pPr>
        <w:widowControl/>
        <w:spacing w:line="480" w:lineRule="exact"/>
        <w:ind w:left="-178" w:leftChars="-85" w:right="-153" w:rightChars="-73" w:firstLine="120" w:firstLineChars="50"/>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 xml:space="preserve">                                                         金额单位：万元</w:t>
      </w:r>
    </w:p>
    <w:tbl>
      <w:tblPr>
        <w:tblStyle w:val="5"/>
        <w:tblW w:w="9381" w:type="dxa"/>
        <w:jc w:val="center"/>
        <w:tblLayout w:type="fixed"/>
        <w:tblCellMar>
          <w:top w:w="0" w:type="dxa"/>
          <w:left w:w="0" w:type="dxa"/>
          <w:bottom w:w="0" w:type="dxa"/>
          <w:right w:w="0" w:type="dxa"/>
        </w:tblCellMar>
      </w:tblPr>
      <w:tblGrid>
        <w:gridCol w:w="1456"/>
        <w:gridCol w:w="138"/>
        <w:gridCol w:w="1087"/>
        <w:gridCol w:w="1045"/>
        <w:gridCol w:w="1196"/>
        <w:gridCol w:w="1005"/>
        <w:gridCol w:w="149"/>
        <w:gridCol w:w="950"/>
        <w:gridCol w:w="408"/>
        <w:gridCol w:w="635"/>
        <w:gridCol w:w="1312"/>
      </w:tblGrid>
      <w:tr>
        <w:tblPrEx>
          <w:tblCellMar>
            <w:top w:w="0" w:type="dxa"/>
            <w:left w:w="0" w:type="dxa"/>
            <w:bottom w:w="0" w:type="dxa"/>
            <w:right w:w="0" w:type="dxa"/>
          </w:tblCellMar>
        </w:tblPrEx>
        <w:trPr>
          <w:trHeight w:val="585" w:hRule="atLeast"/>
          <w:jc w:val="center"/>
        </w:trPr>
        <w:tc>
          <w:tcPr>
            <w:tcW w:w="9381" w:type="dxa"/>
            <w:gridSpan w:val="11"/>
            <w:tcBorders>
              <w:top w:val="single" w:color="auto" w:sz="4" w:space="0"/>
              <w:left w:val="single" w:color="auto" w:sz="4" w:space="0"/>
              <w:bottom w:val="single" w:color="auto" w:sz="8" w:space="0"/>
              <w:right w:val="single" w:color="auto" w:sz="4" w:space="0"/>
            </w:tcBorders>
            <w:noWrap w:val="0"/>
            <w:vAlign w:val="center"/>
          </w:tcPr>
          <w:p>
            <w:pPr>
              <w:widowControl/>
              <w:spacing w:line="20" w:lineRule="atLeast"/>
              <w:jc w:val="center"/>
              <w:rPr>
                <w:rFonts w:hint="default" w:ascii="Times New Roman" w:hAnsi="Times New Roman" w:eastAsia="仿宋_GB2312" w:cs="Times New Roman"/>
                <w:b/>
                <w:color w:val="auto"/>
                <w:kern w:val="0"/>
                <w:sz w:val="24"/>
                <w:szCs w:val="20"/>
              </w:rPr>
            </w:pPr>
            <w:r>
              <w:rPr>
                <w:rFonts w:hint="default" w:ascii="Times New Roman" w:hAnsi="Times New Roman" w:eastAsia="仿宋_GB2312" w:cs="Times New Roman"/>
                <w:b/>
                <w:color w:val="auto"/>
                <w:kern w:val="0"/>
                <w:sz w:val="24"/>
                <w:szCs w:val="20"/>
              </w:rPr>
              <w:t>企业基本情况</w:t>
            </w:r>
          </w:p>
        </w:tc>
      </w:tr>
      <w:tr>
        <w:tblPrEx>
          <w:tblCellMar>
            <w:top w:w="0" w:type="dxa"/>
            <w:left w:w="0" w:type="dxa"/>
            <w:bottom w:w="0" w:type="dxa"/>
            <w:right w:w="0" w:type="dxa"/>
          </w:tblCellMar>
        </w:tblPrEx>
        <w:trPr>
          <w:trHeight w:val="583" w:hRule="atLeast"/>
          <w:jc w:val="center"/>
        </w:trPr>
        <w:tc>
          <w:tcPr>
            <w:tcW w:w="1594" w:type="dxa"/>
            <w:gridSpan w:val="2"/>
            <w:tcBorders>
              <w:top w:val="single" w:color="auto" w:sz="8" w:space="0"/>
              <w:left w:val="single" w:color="auto" w:sz="4" w:space="0"/>
              <w:bottom w:val="single" w:color="auto" w:sz="8" w:space="0"/>
              <w:right w:val="single" w:color="auto" w:sz="8" w:space="0"/>
            </w:tcBorders>
            <w:noWrap w:val="0"/>
            <w:vAlign w:val="center"/>
          </w:tcPr>
          <w:p>
            <w:pPr>
              <w:widowControl/>
              <w:spacing w:line="360" w:lineRule="exac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企业全称</w:t>
            </w:r>
          </w:p>
        </w:tc>
        <w:tc>
          <w:tcPr>
            <w:tcW w:w="3328" w:type="dxa"/>
            <w:gridSpan w:val="3"/>
            <w:tcBorders>
              <w:top w:val="single" w:color="auto" w:sz="8" w:space="0"/>
              <w:left w:val="single" w:color="auto" w:sz="8" w:space="0"/>
              <w:bottom w:val="single" w:color="auto" w:sz="8" w:space="0"/>
              <w:right w:val="single" w:color="auto" w:sz="8" w:space="0"/>
            </w:tcBorders>
            <w:noWrap w:val="0"/>
            <w:vAlign w:val="center"/>
          </w:tcPr>
          <w:p>
            <w:pPr>
              <w:widowControl/>
              <w:spacing w:line="360" w:lineRule="exact"/>
              <w:jc w:val="center"/>
              <w:rPr>
                <w:rFonts w:hint="default" w:ascii="Times New Roman" w:hAnsi="Times New Roman" w:eastAsia="仿宋_GB2312" w:cs="Times New Roman"/>
                <w:color w:val="auto"/>
                <w:kern w:val="0"/>
                <w:sz w:val="24"/>
                <w:szCs w:val="20"/>
              </w:rPr>
            </w:pPr>
          </w:p>
        </w:tc>
        <w:tc>
          <w:tcPr>
            <w:tcW w:w="2104" w:type="dxa"/>
            <w:gridSpan w:val="3"/>
            <w:tcBorders>
              <w:top w:val="single" w:color="auto" w:sz="8" w:space="0"/>
              <w:left w:val="single" w:color="auto" w:sz="8" w:space="0"/>
              <w:bottom w:val="single" w:color="auto" w:sz="8" w:space="0"/>
              <w:right w:val="single" w:color="auto" w:sz="8" w:space="0"/>
            </w:tcBorders>
            <w:noWrap w:val="0"/>
            <w:vAlign w:val="center"/>
          </w:tcPr>
          <w:p>
            <w:pPr>
              <w:widowControl/>
              <w:spacing w:line="360" w:lineRule="exact"/>
              <w:jc w:val="center"/>
              <w:rPr>
                <w:rFonts w:hint="default" w:ascii="Times New Roman" w:hAnsi="Times New Roman" w:eastAsia="仿宋_GB2312" w:cs="Times New Roman"/>
                <w:color w:val="auto"/>
                <w:kern w:val="0"/>
                <w:sz w:val="24"/>
                <w:szCs w:val="20"/>
              </w:rPr>
            </w:pPr>
            <w:r>
              <w:rPr>
                <w:rFonts w:hint="eastAsia" w:ascii="Times New Roman" w:hAnsi="Times New Roman" w:eastAsia="仿宋_GB2312" w:cs="Times New Roman"/>
                <w:color w:val="auto"/>
                <w:kern w:val="0"/>
                <w:sz w:val="24"/>
                <w:szCs w:val="20"/>
                <w:lang w:val="en-US" w:eastAsia="zh-CN"/>
              </w:rPr>
              <w:t>统一社会信用</w:t>
            </w:r>
            <w:r>
              <w:rPr>
                <w:rFonts w:hint="default" w:ascii="Times New Roman" w:hAnsi="Times New Roman" w:eastAsia="仿宋_GB2312" w:cs="Times New Roman"/>
                <w:color w:val="auto"/>
                <w:kern w:val="0"/>
                <w:sz w:val="24"/>
                <w:szCs w:val="20"/>
              </w:rPr>
              <w:t>代码</w:t>
            </w:r>
          </w:p>
        </w:tc>
        <w:tc>
          <w:tcPr>
            <w:tcW w:w="2355" w:type="dxa"/>
            <w:gridSpan w:val="3"/>
            <w:tcBorders>
              <w:top w:val="single" w:color="auto" w:sz="8" w:space="0"/>
              <w:left w:val="single" w:color="auto" w:sz="8" w:space="0"/>
              <w:bottom w:val="single" w:color="auto" w:sz="8" w:space="0"/>
              <w:right w:val="single" w:color="auto" w:sz="4" w:space="0"/>
            </w:tcBorders>
            <w:noWrap w:val="0"/>
            <w:vAlign w:val="center"/>
          </w:tcPr>
          <w:p>
            <w:pPr>
              <w:widowControl/>
              <w:spacing w:line="360" w:lineRule="exact"/>
              <w:jc w:val="left"/>
              <w:rPr>
                <w:rFonts w:hint="default" w:ascii="Times New Roman" w:hAnsi="Times New Roman" w:eastAsia="仿宋_GB2312" w:cs="Times New Roman"/>
                <w:color w:val="auto"/>
                <w:kern w:val="0"/>
                <w:sz w:val="24"/>
                <w:szCs w:val="20"/>
              </w:rPr>
            </w:pPr>
          </w:p>
        </w:tc>
      </w:tr>
      <w:tr>
        <w:tblPrEx>
          <w:tblCellMar>
            <w:top w:w="0" w:type="dxa"/>
            <w:left w:w="0" w:type="dxa"/>
            <w:bottom w:w="0" w:type="dxa"/>
            <w:right w:w="0" w:type="dxa"/>
          </w:tblCellMar>
        </w:tblPrEx>
        <w:trPr>
          <w:trHeight w:val="595" w:hRule="atLeast"/>
          <w:jc w:val="center"/>
        </w:trPr>
        <w:tc>
          <w:tcPr>
            <w:tcW w:w="1594" w:type="dxa"/>
            <w:gridSpan w:val="2"/>
            <w:tcBorders>
              <w:top w:val="single" w:color="auto" w:sz="8" w:space="0"/>
              <w:left w:val="single" w:color="auto" w:sz="4" w:space="0"/>
              <w:bottom w:val="single" w:color="auto" w:sz="8" w:space="0"/>
              <w:right w:val="single" w:color="auto" w:sz="8"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企业详细地址</w:t>
            </w:r>
          </w:p>
        </w:tc>
        <w:tc>
          <w:tcPr>
            <w:tcW w:w="3328" w:type="dxa"/>
            <w:gridSpan w:val="3"/>
            <w:tcBorders>
              <w:top w:val="single" w:color="auto" w:sz="8" w:space="0"/>
              <w:left w:val="single" w:color="auto" w:sz="8" w:space="0"/>
              <w:bottom w:val="single" w:color="auto" w:sz="8" w:space="0"/>
              <w:right w:val="single" w:color="auto" w:sz="8" w:space="0"/>
            </w:tcBorders>
            <w:noWrap w:val="0"/>
            <w:vAlign w:val="center"/>
          </w:tcPr>
          <w:p>
            <w:pPr>
              <w:widowControl/>
              <w:spacing w:line="360" w:lineRule="exact"/>
              <w:jc w:val="center"/>
              <w:rPr>
                <w:rFonts w:hint="default" w:ascii="Times New Roman" w:hAnsi="Times New Roman" w:eastAsia="仿宋_GB2312" w:cs="Times New Roman"/>
                <w:color w:val="auto"/>
                <w:kern w:val="0"/>
                <w:sz w:val="24"/>
              </w:rPr>
            </w:pPr>
          </w:p>
        </w:tc>
        <w:tc>
          <w:tcPr>
            <w:tcW w:w="2104" w:type="dxa"/>
            <w:gridSpan w:val="3"/>
            <w:tcBorders>
              <w:top w:val="single" w:color="auto" w:sz="8" w:space="0"/>
              <w:left w:val="single" w:color="auto" w:sz="8" w:space="0"/>
              <w:bottom w:val="single" w:color="auto" w:sz="8" w:space="0"/>
              <w:right w:val="single" w:color="auto" w:sz="8"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法人代表</w:t>
            </w:r>
          </w:p>
        </w:tc>
        <w:tc>
          <w:tcPr>
            <w:tcW w:w="2355" w:type="dxa"/>
            <w:gridSpan w:val="3"/>
            <w:tcBorders>
              <w:top w:val="single" w:color="auto" w:sz="8" w:space="0"/>
              <w:left w:val="single" w:color="auto" w:sz="8" w:space="0"/>
              <w:bottom w:val="single" w:color="auto" w:sz="8" w:space="0"/>
              <w:right w:val="single" w:color="auto" w:sz="4" w:space="0"/>
            </w:tcBorders>
            <w:noWrap w:val="0"/>
            <w:vAlign w:val="center"/>
          </w:tcPr>
          <w:p>
            <w:pPr>
              <w:widowControl/>
              <w:spacing w:line="360" w:lineRule="exact"/>
              <w:jc w:val="left"/>
              <w:rPr>
                <w:rFonts w:hint="default" w:ascii="Times New Roman" w:hAnsi="Times New Roman" w:eastAsia="仿宋_GB2312" w:cs="Times New Roman"/>
                <w:color w:val="auto"/>
                <w:kern w:val="0"/>
                <w:sz w:val="24"/>
              </w:rPr>
            </w:pPr>
          </w:p>
        </w:tc>
      </w:tr>
      <w:tr>
        <w:tblPrEx>
          <w:tblCellMar>
            <w:top w:w="0" w:type="dxa"/>
            <w:left w:w="0" w:type="dxa"/>
            <w:bottom w:w="0" w:type="dxa"/>
            <w:right w:w="0" w:type="dxa"/>
          </w:tblCellMar>
        </w:tblPrEx>
        <w:trPr>
          <w:trHeight w:val="595" w:hRule="atLeast"/>
          <w:jc w:val="center"/>
        </w:trPr>
        <w:tc>
          <w:tcPr>
            <w:tcW w:w="1594" w:type="dxa"/>
            <w:gridSpan w:val="2"/>
            <w:tcBorders>
              <w:top w:val="single" w:color="auto" w:sz="8" w:space="0"/>
              <w:left w:val="single" w:color="auto" w:sz="4" w:space="0"/>
              <w:bottom w:val="single" w:color="auto" w:sz="8" w:space="0"/>
              <w:right w:val="single" w:color="auto" w:sz="8"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注册时间</w:t>
            </w:r>
          </w:p>
        </w:tc>
        <w:tc>
          <w:tcPr>
            <w:tcW w:w="1087" w:type="dxa"/>
            <w:tcBorders>
              <w:top w:val="single" w:color="auto" w:sz="8" w:space="0"/>
              <w:left w:val="single" w:color="auto" w:sz="8" w:space="0"/>
              <w:bottom w:val="single" w:color="auto" w:sz="8" w:space="0"/>
              <w:right w:val="single" w:color="auto" w:sz="8" w:space="0"/>
            </w:tcBorders>
            <w:noWrap w:val="0"/>
            <w:vAlign w:val="center"/>
          </w:tcPr>
          <w:p>
            <w:pPr>
              <w:widowControl/>
              <w:spacing w:line="360" w:lineRule="exact"/>
              <w:jc w:val="left"/>
              <w:rPr>
                <w:rFonts w:hint="default" w:ascii="Times New Roman" w:hAnsi="Times New Roman" w:eastAsia="仿宋_GB2312" w:cs="Times New Roman"/>
                <w:color w:val="auto"/>
                <w:kern w:val="0"/>
                <w:sz w:val="24"/>
              </w:rPr>
            </w:pPr>
          </w:p>
        </w:tc>
        <w:tc>
          <w:tcPr>
            <w:tcW w:w="1045" w:type="dxa"/>
            <w:tcBorders>
              <w:top w:val="single" w:color="auto" w:sz="8" w:space="0"/>
              <w:left w:val="single" w:color="auto" w:sz="8" w:space="0"/>
              <w:bottom w:val="single" w:color="auto" w:sz="8" w:space="0"/>
              <w:right w:val="single" w:color="auto" w:sz="8"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注册资金</w:t>
            </w:r>
          </w:p>
        </w:tc>
        <w:tc>
          <w:tcPr>
            <w:tcW w:w="1196" w:type="dxa"/>
            <w:tcBorders>
              <w:top w:val="single" w:color="auto" w:sz="8" w:space="0"/>
              <w:left w:val="single" w:color="auto" w:sz="8" w:space="0"/>
              <w:bottom w:val="single" w:color="auto" w:sz="8" w:space="0"/>
              <w:right w:val="single" w:color="auto" w:sz="8" w:space="0"/>
            </w:tcBorders>
            <w:noWrap w:val="0"/>
            <w:vAlign w:val="center"/>
          </w:tcPr>
          <w:p>
            <w:pPr>
              <w:widowControl/>
              <w:spacing w:line="360" w:lineRule="exact"/>
              <w:jc w:val="left"/>
              <w:rPr>
                <w:rFonts w:hint="default" w:ascii="Times New Roman" w:hAnsi="Times New Roman" w:eastAsia="仿宋_GB2312" w:cs="Times New Roman"/>
                <w:color w:val="auto"/>
                <w:kern w:val="0"/>
                <w:sz w:val="24"/>
              </w:rPr>
            </w:pPr>
          </w:p>
        </w:tc>
        <w:tc>
          <w:tcPr>
            <w:tcW w:w="1005" w:type="dxa"/>
            <w:tcBorders>
              <w:top w:val="single" w:color="auto" w:sz="8" w:space="0"/>
              <w:left w:val="single" w:color="auto" w:sz="8" w:space="0"/>
              <w:bottom w:val="single" w:color="auto" w:sz="8" w:space="0"/>
              <w:right w:val="single" w:color="auto" w:sz="8"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企业规模</w:t>
            </w:r>
          </w:p>
        </w:tc>
        <w:tc>
          <w:tcPr>
            <w:tcW w:w="1099" w:type="dxa"/>
            <w:gridSpan w:val="2"/>
            <w:tcBorders>
              <w:top w:val="single" w:color="auto" w:sz="8" w:space="0"/>
              <w:left w:val="single" w:color="auto" w:sz="8" w:space="0"/>
              <w:bottom w:val="single" w:color="auto" w:sz="8" w:space="0"/>
              <w:right w:val="single" w:color="auto" w:sz="4" w:space="0"/>
            </w:tcBorders>
            <w:noWrap w:val="0"/>
            <w:vAlign w:val="center"/>
          </w:tcPr>
          <w:p>
            <w:pPr>
              <w:widowControl/>
              <w:spacing w:line="360" w:lineRule="exact"/>
              <w:jc w:val="left"/>
              <w:rPr>
                <w:rFonts w:hint="default" w:ascii="Times New Roman" w:hAnsi="Times New Roman" w:eastAsia="仿宋_GB2312" w:cs="Times New Roman"/>
                <w:color w:val="auto"/>
                <w:kern w:val="0"/>
                <w:sz w:val="24"/>
              </w:rPr>
            </w:pPr>
          </w:p>
        </w:tc>
        <w:tc>
          <w:tcPr>
            <w:tcW w:w="1043" w:type="dxa"/>
            <w:gridSpan w:val="2"/>
            <w:tcBorders>
              <w:top w:val="single" w:color="auto" w:sz="8" w:space="0"/>
              <w:left w:val="single" w:color="auto" w:sz="4" w:space="0"/>
              <w:bottom w:val="single" w:color="auto" w:sz="8" w:space="0"/>
              <w:right w:val="single" w:color="auto" w:sz="8" w:space="0"/>
            </w:tcBorders>
            <w:noWrap w:val="0"/>
            <w:vAlign w:val="center"/>
          </w:tcPr>
          <w:p>
            <w:pPr>
              <w:widowControl/>
              <w:spacing w:line="20" w:lineRule="atLeast"/>
              <w:jc w:val="center"/>
              <w:rPr>
                <w:rFonts w:hint="eastAsia" w:ascii="Times New Roman" w:hAnsi="Times New Roman" w:eastAsia="仿宋_GB2312" w:cs="Times New Roman"/>
                <w:color w:val="auto"/>
                <w:kern w:val="0"/>
                <w:sz w:val="24"/>
                <w:szCs w:val="20"/>
                <w:lang w:eastAsia="zh-CN"/>
              </w:rPr>
            </w:pPr>
            <w:r>
              <w:rPr>
                <w:rFonts w:hint="default" w:ascii="Times New Roman" w:hAnsi="Times New Roman" w:eastAsia="仿宋_GB2312" w:cs="Times New Roman"/>
                <w:color w:val="auto"/>
                <w:kern w:val="0"/>
                <w:sz w:val="24"/>
                <w:szCs w:val="20"/>
              </w:rPr>
              <w:t>企业</w:t>
            </w:r>
            <w:r>
              <w:rPr>
                <w:rFonts w:hint="eastAsia" w:ascii="Times New Roman" w:hAnsi="Times New Roman" w:eastAsia="仿宋_GB2312" w:cs="Times New Roman"/>
                <w:color w:val="auto"/>
                <w:kern w:val="0"/>
                <w:sz w:val="24"/>
                <w:szCs w:val="20"/>
                <w:lang w:eastAsia="zh-CN"/>
              </w:rPr>
              <w:t>行业</w:t>
            </w:r>
          </w:p>
        </w:tc>
        <w:tc>
          <w:tcPr>
            <w:tcW w:w="1312" w:type="dxa"/>
            <w:tcBorders>
              <w:top w:val="single" w:color="auto" w:sz="8" w:space="0"/>
              <w:left w:val="single" w:color="auto" w:sz="8" w:space="0"/>
              <w:bottom w:val="single" w:color="auto" w:sz="8" w:space="0"/>
              <w:right w:val="single" w:color="auto" w:sz="4" w:space="0"/>
            </w:tcBorders>
            <w:noWrap w:val="0"/>
            <w:vAlign w:val="center"/>
          </w:tcPr>
          <w:p>
            <w:pPr>
              <w:widowControl/>
              <w:spacing w:line="360" w:lineRule="exact"/>
              <w:jc w:val="left"/>
              <w:rPr>
                <w:rFonts w:hint="default" w:ascii="Times New Roman" w:hAnsi="Times New Roman" w:eastAsia="仿宋_GB2312" w:cs="Times New Roman"/>
                <w:color w:val="auto"/>
                <w:kern w:val="0"/>
                <w:sz w:val="24"/>
              </w:rPr>
            </w:pPr>
          </w:p>
        </w:tc>
      </w:tr>
      <w:tr>
        <w:tblPrEx>
          <w:tblCellMar>
            <w:top w:w="0" w:type="dxa"/>
            <w:left w:w="0" w:type="dxa"/>
            <w:bottom w:w="0" w:type="dxa"/>
            <w:right w:w="0" w:type="dxa"/>
          </w:tblCellMar>
        </w:tblPrEx>
        <w:trPr>
          <w:trHeight w:val="595" w:hRule="atLeast"/>
          <w:jc w:val="center"/>
        </w:trPr>
        <w:tc>
          <w:tcPr>
            <w:tcW w:w="1594" w:type="dxa"/>
            <w:gridSpan w:val="2"/>
            <w:tcBorders>
              <w:top w:val="single" w:color="auto" w:sz="8" w:space="0"/>
              <w:left w:val="single" w:color="auto" w:sz="4" w:space="0"/>
              <w:bottom w:val="single" w:color="auto" w:sz="8" w:space="0"/>
              <w:right w:val="single" w:color="auto" w:sz="8"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联系人</w:t>
            </w:r>
          </w:p>
        </w:tc>
        <w:tc>
          <w:tcPr>
            <w:tcW w:w="1087" w:type="dxa"/>
            <w:tcBorders>
              <w:top w:val="single" w:color="auto" w:sz="8" w:space="0"/>
              <w:left w:val="single" w:color="auto" w:sz="8" w:space="0"/>
              <w:bottom w:val="single" w:color="auto" w:sz="8" w:space="0"/>
              <w:right w:val="single" w:color="auto" w:sz="4" w:space="0"/>
            </w:tcBorders>
            <w:noWrap w:val="0"/>
            <w:vAlign w:val="center"/>
          </w:tcPr>
          <w:p>
            <w:pPr>
              <w:widowControl/>
              <w:spacing w:line="360" w:lineRule="exact"/>
              <w:jc w:val="left"/>
              <w:rPr>
                <w:rFonts w:hint="default" w:ascii="Times New Roman" w:hAnsi="Times New Roman" w:eastAsia="仿宋_GB2312" w:cs="Times New Roman"/>
                <w:color w:val="auto"/>
                <w:kern w:val="0"/>
                <w:sz w:val="24"/>
              </w:rPr>
            </w:pPr>
          </w:p>
        </w:tc>
        <w:tc>
          <w:tcPr>
            <w:tcW w:w="1045" w:type="dxa"/>
            <w:tcBorders>
              <w:top w:val="single" w:color="auto" w:sz="8" w:space="0"/>
              <w:left w:val="single" w:color="auto" w:sz="4" w:space="0"/>
              <w:bottom w:val="single" w:color="auto" w:sz="8" w:space="0"/>
              <w:right w:val="single" w:color="auto" w:sz="8" w:space="0"/>
            </w:tcBorders>
            <w:noWrap w:val="0"/>
            <w:vAlign w:val="center"/>
          </w:tcPr>
          <w:p>
            <w:pPr>
              <w:widowControl/>
              <w:spacing w:line="360" w:lineRule="exact"/>
              <w:jc w:val="center"/>
              <w:rPr>
                <w:rFonts w:hint="default" w:ascii="Times New Roman" w:hAnsi="Times New Roman" w:eastAsia="仿宋_GB2312" w:cs="Times New Roman"/>
                <w:color w:val="auto"/>
                <w:kern w:val="0"/>
                <w:sz w:val="2"/>
                <w:szCs w:val="20"/>
              </w:rPr>
            </w:pPr>
            <w:r>
              <w:rPr>
                <w:rFonts w:hint="default" w:ascii="Times New Roman" w:hAnsi="Times New Roman" w:eastAsia="仿宋_GB2312" w:cs="Times New Roman"/>
                <w:color w:val="auto"/>
                <w:kern w:val="0"/>
                <w:sz w:val="24"/>
                <w:szCs w:val="20"/>
              </w:rPr>
              <w:t>办公电话</w:t>
            </w:r>
          </w:p>
        </w:tc>
        <w:tc>
          <w:tcPr>
            <w:tcW w:w="1196" w:type="dxa"/>
            <w:tcBorders>
              <w:top w:val="single" w:color="auto" w:sz="8" w:space="0"/>
              <w:left w:val="single" w:color="auto" w:sz="8" w:space="0"/>
              <w:bottom w:val="single" w:color="auto" w:sz="8" w:space="0"/>
              <w:right w:val="single" w:color="auto" w:sz="8"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p>
        </w:tc>
        <w:tc>
          <w:tcPr>
            <w:tcW w:w="1005" w:type="dxa"/>
            <w:tcBorders>
              <w:top w:val="single" w:color="auto" w:sz="8" w:space="0"/>
              <w:left w:val="single" w:color="auto" w:sz="8" w:space="0"/>
              <w:bottom w:val="single" w:color="auto" w:sz="8" w:space="0"/>
              <w:right w:val="single" w:color="auto" w:sz="4" w:space="0"/>
            </w:tcBorders>
            <w:noWrap w:val="0"/>
            <w:vAlign w:val="center"/>
          </w:tcPr>
          <w:p>
            <w:pPr>
              <w:widowControl/>
              <w:spacing w:line="360" w:lineRule="exact"/>
              <w:jc w:val="center"/>
              <w:rPr>
                <w:rFonts w:hint="default" w:ascii="Times New Roman" w:hAnsi="Times New Roman" w:eastAsia="仿宋_GB2312" w:cs="Times New Roman"/>
                <w:color w:val="auto"/>
                <w:kern w:val="0"/>
                <w:sz w:val="2"/>
                <w:szCs w:val="20"/>
              </w:rPr>
            </w:pPr>
            <w:r>
              <w:rPr>
                <w:rFonts w:hint="default" w:ascii="Times New Roman" w:hAnsi="Times New Roman" w:eastAsia="仿宋_GB2312" w:cs="Times New Roman"/>
                <w:color w:val="auto"/>
                <w:kern w:val="0"/>
                <w:sz w:val="24"/>
                <w:szCs w:val="20"/>
              </w:rPr>
              <w:t>手机</w:t>
            </w:r>
          </w:p>
        </w:tc>
        <w:tc>
          <w:tcPr>
            <w:tcW w:w="1099" w:type="dxa"/>
            <w:gridSpan w:val="2"/>
            <w:tcBorders>
              <w:top w:val="single" w:color="auto" w:sz="8" w:space="0"/>
              <w:left w:val="single" w:color="auto" w:sz="4" w:space="0"/>
              <w:bottom w:val="single" w:color="auto" w:sz="8" w:space="0"/>
              <w:right w:val="single" w:color="auto" w:sz="4" w:space="0"/>
            </w:tcBorders>
            <w:noWrap w:val="0"/>
            <w:vAlign w:val="center"/>
          </w:tcPr>
          <w:p>
            <w:pPr>
              <w:widowControl/>
              <w:spacing w:line="360" w:lineRule="exact"/>
              <w:jc w:val="left"/>
              <w:rPr>
                <w:rFonts w:hint="default" w:ascii="Times New Roman" w:hAnsi="Times New Roman" w:eastAsia="仿宋_GB2312" w:cs="Times New Roman"/>
                <w:color w:val="auto"/>
                <w:kern w:val="0"/>
                <w:sz w:val="24"/>
              </w:rPr>
            </w:pPr>
          </w:p>
        </w:tc>
        <w:tc>
          <w:tcPr>
            <w:tcW w:w="1043" w:type="dxa"/>
            <w:gridSpan w:val="2"/>
            <w:tcBorders>
              <w:top w:val="single" w:color="auto" w:sz="8" w:space="0"/>
              <w:left w:val="single" w:color="auto" w:sz="4" w:space="0"/>
              <w:bottom w:val="single" w:color="auto" w:sz="8" w:space="0"/>
              <w:right w:val="single" w:color="auto" w:sz="8"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电子邮箱</w:t>
            </w:r>
          </w:p>
        </w:tc>
        <w:tc>
          <w:tcPr>
            <w:tcW w:w="1312" w:type="dxa"/>
            <w:tcBorders>
              <w:top w:val="single" w:color="auto" w:sz="8" w:space="0"/>
              <w:left w:val="single" w:color="auto" w:sz="8" w:space="0"/>
              <w:bottom w:val="single" w:color="auto" w:sz="8" w:space="0"/>
              <w:right w:val="single" w:color="auto" w:sz="4" w:space="0"/>
            </w:tcBorders>
            <w:noWrap w:val="0"/>
            <w:vAlign w:val="center"/>
          </w:tcPr>
          <w:p>
            <w:pPr>
              <w:widowControl/>
              <w:spacing w:line="360" w:lineRule="exact"/>
              <w:jc w:val="left"/>
              <w:rPr>
                <w:rFonts w:hint="default" w:ascii="Times New Roman" w:hAnsi="Times New Roman" w:eastAsia="仿宋_GB2312" w:cs="Times New Roman"/>
                <w:color w:val="auto"/>
                <w:kern w:val="0"/>
                <w:sz w:val="24"/>
              </w:rPr>
            </w:pPr>
          </w:p>
        </w:tc>
      </w:tr>
      <w:tr>
        <w:tblPrEx>
          <w:tblCellMar>
            <w:top w:w="0" w:type="dxa"/>
            <w:left w:w="0" w:type="dxa"/>
            <w:bottom w:w="0" w:type="dxa"/>
            <w:right w:w="0" w:type="dxa"/>
          </w:tblCellMar>
        </w:tblPrEx>
        <w:trPr>
          <w:trHeight w:val="595" w:hRule="atLeast"/>
          <w:jc w:val="center"/>
        </w:trPr>
        <w:tc>
          <w:tcPr>
            <w:tcW w:w="1594" w:type="dxa"/>
            <w:gridSpan w:val="2"/>
            <w:tcBorders>
              <w:top w:val="single" w:color="auto" w:sz="8" w:space="0"/>
              <w:left w:val="single" w:color="auto" w:sz="4" w:space="0"/>
              <w:bottom w:val="single" w:color="auto" w:sz="8" w:space="0"/>
              <w:right w:val="single" w:color="auto" w:sz="8"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开户银行</w:t>
            </w:r>
          </w:p>
        </w:tc>
        <w:tc>
          <w:tcPr>
            <w:tcW w:w="2132"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60" w:lineRule="exact"/>
              <w:jc w:val="left"/>
              <w:rPr>
                <w:rFonts w:hint="default" w:ascii="Times New Roman" w:hAnsi="Times New Roman" w:eastAsia="仿宋_GB2312" w:cs="Times New Roman"/>
                <w:color w:val="auto"/>
                <w:kern w:val="0"/>
                <w:sz w:val="24"/>
              </w:rPr>
            </w:pPr>
          </w:p>
        </w:tc>
        <w:tc>
          <w:tcPr>
            <w:tcW w:w="1196" w:type="dxa"/>
            <w:tcBorders>
              <w:top w:val="single" w:color="auto" w:sz="8" w:space="0"/>
              <w:left w:val="single" w:color="auto" w:sz="8" w:space="0"/>
              <w:bottom w:val="single" w:color="auto" w:sz="8" w:space="0"/>
              <w:right w:val="single" w:color="auto" w:sz="8"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账号</w:t>
            </w:r>
          </w:p>
        </w:tc>
        <w:tc>
          <w:tcPr>
            <w:tcW w:w="4459" w:type="dxa"/>
            <w:gridSpan w:val="6"/>
            <w:tcBorders>
              <w:top w:val="single" w:color="auto" w:sz="8" w:space="0"/>
              <w:left w:val="single" w:color="auto" w:sz="8" w:space="0"/>
              <w:bottom w:val="single" w:color="auto" w:sz="8" w:space="0"/>
              <w:right w:val="single" w:color="auto" w:sz="4"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p>
        </w:tc>
      </w:tr>
      <w:tr>
        <w:tblPrEx>
          <w:tblCellMar>
            <w:top w:w="0" w:type="dxa"/>
            <w:left w:w="0" w:type="dxa"/>
            <w:bottom w:w="0" w:type="dxa"/>
            <w:right w:w="0" w:type="dxa"/>
          </w:tblCellMar>
        </w:tblPrEx>
        <w:trPr>
          <w:trHeight w:val="595" w:hRule="atLeast"/>
          <w:jc w:val="center"/>
        </w:trPr>
        <w:tc>
          <w:tcPr>
            <w:tcW w:w="9381" w:type="dxa"/>
            <w:gridSpan w:val="11"/>
            <w:tcBorders>
              <w:top w:val="single" w:color="auto" w:sz="8" w:space="0"/>
              <w:left w:val="single" w:color="auto" w:sz="4" w:space="0"/>
              <w:bottom w:val="single" w:color="auto" w:sz="8" w:space="0"/>
              <w:right w:val="single" w:color="auto" w:sz="4" w:space="0"/>
            </w:tcBorders>
            <w:noWrap w:val="0"/>
            <w:vAlign w:val="center"/>
          </w:tcPr>
          <w:p>
            <w:pPr>
              <w:widowControl/>
              <w:spacing w:line="20" w:lineRule="atLeast"/>
              <w:jc w:val="center"/>
              <w:rPr>
                <w:rFonts w:hint="default" w:ascii="Times New Roman" w:hAnsi="Times New Roman" w:eastAsia="黑体" w:cs="Times New Roman"/>
                <w:color w:val="auto"/>
                <w:kern w:val="0"/>
                <w:sz w:val="24"/>
                <w:szCs w:val="20"/>
              </w:rPr>
            </w:pPr>
            <w:r>
              <w:rPr>
                <w:rFonts w:hint="default" w:ascii="Times New Roman" w:hAnsi="Times New Roman" w:eastAsia="仿宋_GB2312" w:cs="Times New Roman"/>
                <w:b/>
                <w:color w:val="auto"/>
                <w:kern w:val="0"/>
                <w:sz w:val="24"/>
                <w:szCs w:val="20"/>
              </w:rPr>
              <w:t>申请项目情况</w:t>
            </w:r>
          </w:p>
        </w:tc>
      </w:tr>
      <w:tr>
        <w:tblPrEx>
          <w:tblCellMar>
            <w:top w:w="0" w:type="dxa"/>
            <w:left w:w="0" w:type="dxa"/>
            <w:bottom w:w="0" w:type="dxa"/>
            <w:right w:w="0" w:type="dxa"/>
          </w:tblCellMar>
        </w:tblPrEx>
        <w:trPr>
          <w:trHeight w:val="659" w:hRule="atLeast"/>
          <w:jc w:val="center"/>
        </w:trPr>
        <w:tc>
          <w:tcPr>
            <w:tcW w:w="1456" w:type="dxa"/>
            <w:tcBorders>
              <w:top w:val="single" w:color="auto" w:sz="8" w:space="0"/>
              <w:left w:val="single" w:color="auto" w:sz="4" w:space="0"/>
              <w:right w:val="single" w:color="auto" w:sz="4"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项目名称</w:t>
            </w:r>
          </w:p>
        </w:tc>
        <w:tc>
          <w:tcPr>
            <w:tcW w:w="7925" w:type="dxa"/>
            <w:gridSpan w:val="10"/>
            <w:tcBorders>
              <w:top w:val="single" w:color="auto" w:sz="8" w:space="0"/>
              <w:left w:val="single" w:color="auto" w:sz="4" w:space="0"/>
              <w:bottom w:val="single" w:color="auto" w:sz="4" w:space="0"/>
              <w:right w:val="single" w:color="auto" w:sz="4" w:space="0"/>
            </w:tcBorders>
            <w:noWrap w:val="0"/>
            <w:vAlign w:val="center"/>
          </w:tcPr>
          <w:p>
            <w:pPr>
              <w:widowControl/>
              <w:spacing w:line="20" w:lineRule="atLeast"/>
              <w:jc w:val="left"/>
              <w:rPr>
                <w:rFonts w:hint="default" w:ascii="Times New Roman" w:hAnsi="Times New Roman" w:eastAsia="仿宋_GB2312" w:cs="Times New Roman"/>
                <w:b/>
                <w:color w:val="auto"/>
                <w:kern w:val="0"/>
                <w:sz w:val="24"/>
                <w:szCs w:val="20"/>
              </w:rPr>
            </w:pPr>
          </w:p>
        </w:tc>
      </w:tr>
      <w:tr>
        <w:tblPrEx>
          <w:tblCellMar>
            <w:top w:w="0" w:type="dxa"/>
            <w:left w:w="0" w:type="dxa"/>
            <w:bottom w:w="0" w:type="dxa"/>
            <w:right w:w="0" w:type="dxa"/>
          </w:tblCellMar>
        </w:tblPrEx>
        <w:trPr>
          <w:trHeight w:val="659" w:hRule="atLeast"/>
          <w:jc w:val="center"/>
        </w:trPr>
        <w:tc>
          <w:tcPr>
            <w:tcW w:w="1456" w:type="dxa"/>
            <w:tcBorders>
              <w:top w:val="single" w:color="auto" w:sz="8" w:space="0"/>
              <w:left w:val="single" w:color="auto" w:sz="4" w:space="0"/>
              <w:right w:val="single" w:color="auto" w:sz="4" w:space="0"/>
            </w:tcBorders>
            <w:noWrap w:val="0"/>
            <w:vAlign w:val="center"/>
          </w:tcPr>
          <w:p>
            <w:pPr>
              <w:widowControl/>
              <w:spacing w:line="20" w:lineRule="atLeast"/>
              <w:jc w:val="center"/>
              <w:rPr>
                <w:rFonts w:hint="eastAsia" w:ascii="Times New Roman" w:hAnsi="Times New Roman" w:eastAsia="仿宋_GB2312" w:cs="Times New Roman"/>
                <w:color w:val="auto"/>
                <w:kern w:val="0"/>
                <w:sz w:val="24"/>
                <w:szCs w:val="20"/>
                <w:lang w:val="en-US" w:eastAsia="zh-CN"/>
              </w:rPr>
            </w:pPr>
            <w:r>
              <w:rPr>
                <w:rFonts w:hint="eastAsia" w:ascii="Times New Roman" w:hAnsi="Times New Roman" w:eastAsia="仿宋_GB2312" w:cs="Times New Roman"/>
                <w:color w:val="auto"/>
                <w:kern w:val="0"/>
                <w:sz w:val="24"/>
                <w:szCs w:val="20"/>
                <w:lang w:val="en-US" w:eastAsia="zh-CN"/>
              </w:rPr>
              <w:t>一级目录</w:t>
            </w:r>
          </w:p>
        </w:tc>
        <w:tc>
          <w:tcPr>
            <w:tcW w:w="3466" w:type="dxa"/>
            <w:gridSpan w:val="4"/>
            <w:tcBorders>
              <w:top w:val="single" w:color="auto" w:sz="8" w:space="0"/>
              <w:left w:val="single" w:color="auto" w:sz="4" w:space="0"/>
              <w:bottom w:val="single" w:color="auto" w:sz="4" w:space="0"/>
              <w:right w:val="single" w:color="auto" w:sz="4" w:space="0"/>
            </w:tcBorders>
            <w:noWrap w:val="0"/>
            <w:vAlign w:val="center"/>
          </w:tcPr>
          <w:p>
            <w:pPr>
              <w:widowControl/>
              <w:spacing w:line="20" w:lineRule="atLeast"/>
              <w:jc w:val="center"/>
              <w:rPr>
                <w:rFonts w:hint="eastAsia" w:ascii="Times New Roman" w:hAnsi="Times New Roman" w:eastAsia="仿宋_GB2312" w:cs="Times New Roman"/>
                <w:color w:val="auto"/>
                <w:kern w:val="0"/>
                <w:sz w:val="24"/>
                <w:szCs w:val="20"/>
                <w:lang w:val="en-US" w:eastAsia="zh-CN"/>
              </w:rPr>
            </w:pPr>
          </w:p>
        </w:tc>
        <w:tc>
          <w:tcPr>
            <w:tcW w:w="1154" w:type="dxa"/>
            <w:gridSpan w:val="2"/>
            <w:tcBorders>
              <w:top w:val="single" w:color="auto" w:sz="8" w:space="0"/>
              <w:left w:val="single" w:color="auto" w:sz="4" w:space="0"/>
              <w:bottom w:val="single" w:color="auto" w:sz="4" w:space="0"/>
              <w:right w:val="single" w:color="auto" w:sz="4"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lang w:val="en-US" w:eastAsia="zh-CN"/>
              </w:rPr>
            </w:pPr>
            <w:r>
              <w:rPr>
                <w:rFonts w:hint="eastAsia" w:ascii="Times New Roman" w:hAnsi="Times New Roman" w:eastAsia="仿宋_GB2312" w:cs="Times New Roman"/>
                <w:color w:val="auto"/>
                <w:kern w:val="0"/>
                <w:sz w:val="24"/>
                <w:szCs w:val="20"/>
                <w:lang w:val="en-US" w:eastAsia="zh-CN"/>
              </w:rPr>
              <w:t>二级目录</w:t>
            </w:r>
          </w:p>
        </w:tc>
        <w:tc>
          <w:tcPr>
            <w:tcW w:w="3305" w:type="dxa"/>
            <w:gridSpan w:val="4"/>
            <w:tcBorders>
              <w:top w:val="single" w:color="auto" w:sz="8" w:space="0"/>
              <w:left w:val="single" w:color="auto" w:sz="4" w:space="0"/>
              <w:bottom w:val="single" w:color="auto" w:sz="4" w:space="0"/>
              <w:right w:val="single" w:color="auto" w:sz="4"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lang w:val="en-US" w:eastAsia="zh-CN"/>
              </w:rPr>
            </w:pPr>
          </w:p>
        </w:tc>
      </w:tr>
      <w:tr>
        <w:tblPrEx>
          <w:tblCellMar>
            <w:top w:w="0" w:type="dxa"/>
            <w:left w:w="0" w:type="dxa"/>
            <w:bottom w:w="0" w:type="dxa"/>
            <w:right w:w="0" w:type="dxa"/>
          </w:tblCellMar>
        </w:tblPrEx>
        <w:trPr>
          <w:trHeight w:val="595" w:hRule="atLeast"/>
          <w:jc w:val="center"/>
        </w:trPr>
        <w:tc>
          <w:tcPr>
            <w:tcW w:w="1456" w:type="dxa"/>
            <w:tcBorders>
              <w:top w:val="single" w:color="auto" w:sz="8" w:space="0"/>
              <w:left w:val="single" w:color="auto" w:sz="4" w:space="0"/>
              <w:bottom w:val="single" w:color="auto" w:sz="8" w:space="0"/>
              <w:right w:val="single" w:color="auto" w:sz="4"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项目起止年限</w:t>
            </w:r>
          </w:p>
        </w:tc>
        <w:tc>
          <w:tcPr>
            <w:tcW w:w="1225" w:type="dxa"/>
            <w:gridSpan w:val="2"/>
            <w:tcBorders>
              <w:top w:val="single" w:color="auto" w:sz="8" w:space="0"/>
              <w:left w:val="single" w:color="auto" w:sz="4" w:space="0"/>
              <w:bottom w:val="single" w:color="auto" w:sz="8" w:space="0"/>
              <w:right w:val="single" w:color="auto" w:sz="8" w:space="0"/>
            </w:tcBorders>
            <w:noWrap w:val="0"/>
            <w:vAlign w:val="center"/>
          </w:tcPr>
          <w:p>
            <w:pPr>
              <w:widowControl/>
              <w:spacing w:line="20" w:lineRule="atLeast"/>
              <w:rPr>
                <w:rFonts w:hint="default" w:ascii="Times New Roman" w:hAnsi="Times New Roman" w:eastAsia="仿宋_GB2312" w:cs="Times New Roman"/>
                <w:color w:val="auto"/>
                <w:kern w:val="0"/>
                <w:sz w:val="24"/>
                <w:szCs w:val="20"/>
              </w:rPr>
            </w:pPr>
          </w:p>
        </w:tc>
        <w:tc>
          <w:tcPr>
            <w:tcW w:w="1045" w:type="dxa"/>
            <w:tcBorders>
              <w:top w:val="single" w:color="auto" w:sz="8" w:space="0"/>
              <w:left w:val="single" w:color="auto" w:sz="8" w:space="0"/>
              <w:bottom w:val="single" w:color="auto" w:sz="8" w:space="0"/>
              <w:right w:val="single" w:color="auto" w:sz="8" w:space="0"/>
            </w:tcBorders>
            <w:noWrap w:val="0"/>
            <w:vAlign w:val="center"/>
          </w:tcPr>
          <w:p>
            <w:pPr>
              <w:widowControl/>
              <w:spacing w:line="300" w:lineRule="exac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项目</w:t>
            </w:r>
          </w:p>
          <w:p>
            <w:pPr>
              <w:widowControl/>
              <w:spacing w:line="300" w:lineRule="exac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责任人</w:t>
            </w:r>
          </w:p>
        </w:tc>
        <w:tc>
          <w:tcPr>
            <w:tcW w:w="1196" w:type="dxa"/>
            <w:tcBorders>
              <w:top w:val="single" w:color="auto" w:sz="8" w:space="0"/>
              <w:left w:val="single" w:color="auto" w:sz="8" w:space="0"/>
              <w:bottom w:val="single" w:color="auto" w:sz="8" w:space="0"/>
              <w:right w:val="single" w:color="auto" w:sz="8" w:space="0"/>
            </w:tcBorders>
            <w:noWrap w:val="0"/>
            <w:vAlign w:val="center"/>
          </w:tcPr>
          <w:p>
            <w:pPr>
              <w:widowControl/>
              <w:spacing w:line="360" w:lineRule="exact"/>
              <w:jc w:val="center"/>
              <w:rPr>
                <w:rFonts w:hint="default" w:ascii="Times New Roman" w:hAnsi="Times New Roman" w:eastAsia="仿宋_GB2312" w:cs="Times New Roman"/>
                <w:color w:val="auto"/>
                <w:kern w:val="0"/>
                <w:sz w:val="24"/>
              </w:rPr>
            </w:pPr>
          </w:p>
        </w:tc>
        <w:tc>
          <w:tcPr>
            <w:tcW w:w="1154"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办公电话</w:t>
            </w:r>
          </w:p>
        </w:tc>
        <w:tc>
          <w:tcPr>
            <w:tcW w:w="1358" w:type="dxa"/>
            <w:gridSpan w:val="2"/>
            <w:tcBorders>
              <w:top w:val="single" w:color="auto" w:sz="8" w:space="0"/>
              <w:left w:val="single" w:color="auto" w:sz="8" w:space="0"/>
              <w:bottom w:val="single" w:color="auto" w:sz="8" w:space="0"/>
              <w:right w:val="single" w:color="auto" w:sz="4" w:space="0"/>
            </w:tcBorders>
            <w:noWrap w:val="0"/>
            <w:vAlign w:val="center"/>
          </w:tcPr>
          <w:p>
            <w:pPr>
              <w:widowControl/>
              <w:spacing w:line="360" w:lineRule="exact"/>
              <w:jc w:val="center"/>
              <w:rPr>
                <w:rFonts w:hint="default" w:ascii="Times New Roman" w:hAnsi="Times New Roman" w:eastAsia="仿宋_GB2312" w:cs="Times New Roman"/>
                <w:color w:val="auto"/>
                <w:kern w:val="0"/>
                <w:sz w:val="24"/>
              </w:rPr>
            </w:pPr>
          </w:p>
        </w:tc>
        <w:tc>
          <w:tcPr>
            <w:tcW w:w="635" w:type="dxa"/>
            <w:tcBorders>
              <w:top w:val="single" w:color="auto" w:sz="8" w:space="0"/>
              <w:left w:val="single" w:color="auto" w:sz="4" w:space="0"/>
              <w:bottom w:val="single" w:color="auto" w:sz="8" w:space="0"/>
              <w:right w:val="single" w:color="auto" w:sz="4" w:space="0"/>
            </w:tcBorders>
            <w:noWrap w:val="0"/>
            <w:vAlign w:val="center"/>
          </w:tcPr>
          <w:p>
            <w:pPr>
              <w:widowControl/>
              <w:spacing w:line="360" w:lineRule="exact"/>
              <w:jc w:val="center"/>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手机</w:t>
            </w:r>
          </w:p>
        </w:tc>
        <w:tc>
          <w:tcPr>
            <w:tcW w:w="1312" w:type="dxa"/>
            <w:tcBorders>
              <w:top w:val="single" w:color="auto" w:sz="8" w:space="0"/>
              <w:left w:val="single" w:color="auto" w:sz="4" w:space="0"/>
              <w:bottom w:val="single" w:color="auto" w:sz="8" w:space="0"/>
              <w:right w:val="single" w:color="auto" w:sz="4" w:space="0"/>
            </w:tcBorders>
            <w:noWrap w:val="0"/>
            <w:vAlign w:val="center"/>
          </w:tcPr>
          <w:p>
            <w:pPr>
              <w:widowControl/>
              <w:spacing w:line="360" w:lineRule="exact"/>
              <w:jc w:val="center"/>
              <w:rPr>
                <w:rFonts w:hint="default" w:ascii="Times New Roman" w:hAnsi="Times New Roman" w:eastAsia="仿宋_GB2312" w:cs="Times New Roman"/>
                <w:color w:val="auto"/>
                <w:kern w:val="0"/>
                <w:sz w:val="24"/>
              </w:rPr>
            </w:pPr>
          </w:p>
        </w:tc>
      </w:tr>
      <w:tr>
        <w:tblPrEx>
          <w:tblCellMar>
            <w:top w:w="0" w:type="dxa"/>
            <w:left w:w="0" w:type="dxa"/>
            <w:bottom w:w="0" w:type="dxa"/>
            <w:right w:w="0" w:type="dxa"/>
          </w:tblCellMar>
        </w:tblPrEx>
        <w:trPr>
          <w:trHeight w:val="627" w:hRule="atLeast"/>
          <w:jc w:val="center"/>
        </w:trPr>
        <w:tc>
          <w:tcPr>
            <w:tcW w:w="1456" w:type="dxa"/>
            <w:tcBorders>
              <w:top w:val="single" w:color="auto" w:sz="8" w:space="0"/>
              <w:left w:val="single" w:color="auto" w:sz="4" w:space="0"/>
              <w:bottom w:val="single" w:color="auto" w:sz="8" w:space="0"/>
              <w:right w:val="single" w:color="auto" w:sz="8" w:space="0"/>
            </w:tcBorders>
            <w:noWrap w:val="0"/>
            <w:vAlign w:val="center"/>
          </w:tcPr>
          <w:p>
            <w:pPr>
              <w:widowControl/>
              <w:spacing w:line="20" w:lineRule="atLeast"/>
              <w:jc w:val="center"/>
              <w:rPr>
                <w:rFonts w:hint="eastAsia" w:ascii="Times New Roman" w:hAnsi="Times New Roman" w:eastAsia="仿宋_GB2312" w:cs="Times New Roman"/>
                <w:color w:val="auto"/>
                <w:kern w:val="0"/>
                <w:sz w:val="24"/>
                <w:szCs w:val="20"/>
                <w:lang w:val="en-US" w:eastAsia="zh-CN"/>
              </w:rPr>
            </w:pPr>
            <w:r>
              <w:rPr>
                <w:rFonts w:hint="default" w:ascii="Times New Roman" w:hAnsi="Times New Roman" w:eastAsia="仿宋_GB2312" w:cs="Times New Roman"/>
                <w:color w:val="auto"/>
                <w:kern w:val="0"/>
                <w:sz w:val="24"/>
                <w:szCs w:val="20"/>
              </w:rPr>
              <w:t>上云</w:t>
            </w:r>
            <w:r>
              <w:rPr>
                <w:rFonts w:hint="eastAsia" w:ascii="Times New Roman" w:hAnsi="Times New Roman" w:eastAsia="仿宋_GB2312" w:cs="Times New Roman"/>
                <w:color w:val="auto"/>
                <w:kern w:val="0"/>
                <w:sz w:val="24"/>
                <w:szCs w:val="20"/>
                <w:lang w:val="en-US" w:eastAsia="zh-CN"/>
              </w:rPr>
              <w:t>上平台</w:t>
            </w:r>
          </w:p>
          <w:p>
            <w:pPr>
              <w:widowControl/>
              <w:spacing w:line="20" w:lineRule="atLeast"/>
              <w:jc w:val="center"/>
              <w:rPr>
                <w:rFonts w:hint="eastAsia" w:ascii="Times New Roman" w:hAnsi="Times New Roman" w:eastAsia="仿宋_GB2312" w:cs="Times New Roman"/>
                <w:color w:val="auto"/>
                <w:kern w:val="0"/>
                <w:sz w:val="24"/>
                <w:szCs w:val="20"/>
                <w:lang w:val="en-US" w:eastAsia="zh-CN"/>
              </w:rPr>
            </w:pPr>
            <w:r>
              <w:rPr>
                <w:rFonts w:hint="default" w:ascii="Times New Roman" w:hAnsi="Times New Roman" w:eastAsia="仿宋_GB2312" w:cs="Times New Roman"/>
                <w:color w:val="auto"/>
                <w:kern w:val="0"/>
                <w:sz w:val="24"/>
                <w:szCs w:val="20"/>
              </w:rPr>
              <w:t>合同金额</w:t>
            </w:r>
          </w:p>
        </w:tc>
        <w:tc>
          <w:tcPr>
            <w:tcW w:w="3466" w:type="dxa"/>
            <w:gridSpan w:val="4"/>
            <w:tcBorders>
              <w:top w:val="single" w:color="auto" w:sz="8" w:space="0"/>
              <w:left w:val="single" w:color="auto" w:sz="8" w:space="0"/>
              <w:bottom w:val="single" w:color="auto" w:sz="8" w:space="0"/>
              <w:right w:val="single" w:color="auto" w:sz="4"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p>
        </w:tc>
        <w:tc>
          <w:tcPr>
            <w:tcW w:w="1154" w:type="dxa"/>
            <w:gridSpan w:val="2"/>
            <w:tcBorders>
              <w:top w:val="single" w:color="auto" w:sz="8" w:space="0"/>
              <w:left w:val="single" w:color="auto" w:sz="4" w:space="0"/>
              <w:bottom w:val="single" w:color="auto" w:sz="8" w:space="0"/>
              <w:right w:val="single" w:color="auto" w:sz="4"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申请</w:t>
            </w:r>
          </w:p>
          <w:p>
            <w:pPr>
              <w:widowControl/>
              <w:spacing w:line="20" w:lineRule="atLeast"/>
              <w:jc w:val="center"/>
              <w:rPr>
                <w:rFonts w:hint="eastAsia" w:ascii="Times New Roman" w:hAnsi="Times New Roman" w:eastAsia="仿宋_GB2312" w:cs="Times New Roman"/>
                <w:color w:val="auto"/>
                <w:kern w:val="0"/>
                <w:sz w:val="24"/>
                <w:szCs w:val="20"/>
                <w:lang w:eastAsia="zh-CN"/>
              </w:rPr>
            </w:pPr>
            <w:r>
              <w:rPr>
                <w:rFonts w:hint="eastAsia" w:ascii="Times New Roman" w:hAnsi="Times New Roman" w:eastAsia="仿宋_GB2312" w:cs="Times New Roman"/>
                <w:color w:val="auto"/>
                <w:kern w:val="0"/>
                <w:sz w:val="24"/>
                <w:szCs w:val="20"/>
                <w:lang w:val="en-US" w:eastAsia="zh-CN"/>
              </w:rPr>
              <w:t>奖补金额</w:t>
            </w:r>
          </w:p>
        </w:tc>
        <w:tc>
          <w:tcPr>
            <w:tcW w:w="3305" w:type="dxa"/>
            <w:gridSpan w:val="4"/>
            <w:tcBorders>
              <w:top w:val="single" w:color="auto" w:sz="8" w:space="0"/>
              <w:left w:val="single" w:color="auto" w:sz="4" w:space="0"/>
              <w:bottom w:val="single" w:color="auto" w:sz="8" w:space="0"/>
              <w:right w:val="single" w:color="auto" w:sz="4"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p>
        </w:tc>
      </w:tr>
      <w:tr>
        <w:tblPrEx>
          <w:tblCellMar>
            <w:top w:w="0" w:type="dxa"/>
            <w:left w:w="0" w:type="dxa"/>
            <w:bottom w:w="0" w:type="dxa"/>
            <w:right w:w="0" w:type="dxa"/>
          </w:tblCellMar>
        </w:tblPrEx>
        <w:trPr>
          <w:trHeight w:val="5137" w:hRule="atLeast"/>
          <w:jc w:val="center"/>
        </w:trPr>
        <w:tc>
          <w:tcPr>
            <w:tcW w:w="1456" w:type="dxa"/>
            <w:tcBorders>
              <w:top w:val="single" w:color="auto" w:sz="8" w:space="0"/>
              <w:left w:val="single" w:color="auto" w:sz="4" w:space="0"/>
              <w:bottom w:val="single" w:color="auto" w:sz="8" w:space="0"/>
              <w:right w:val="single" w:color="auto" w:sz="8" w:space="0"/>
            </w:tcBorders>
            <w:noWrap w:val="0"/>
            <w:vAlign w:val="center"/>
          </w:tcPr>
          <w:p>
            <w:pPr>
              <w:widowControl/>
              <w:spacing w:line="20" w:lineRule="atLeast"/>
              <w:jc w:val="center"/>
              <w:rPr>
                <w:rFonts w:hint="eastAsia" w:ascii="Times New Roman" w:hAnsi="Times New Roman" w:eastAsia="仿宋_GB2312" w:cs="Times New Roman"/>
                <w:color w:val="auto"/>
                <w:kern w:val="0"/>
                <w:sz w:val="24"/>
                <w:szCs w:val="20"/>
                <w:lang w:val="en-US" w:eastAsia="zh-CN"/>
              </w:rPr>
            </w:pPr>
            <w:r>
              <w:rPr>
                <w:rFonts w:hint="default" w:ascii="Times New Roman" w:hAnsi="Times New Roman" w:eastAsia="仿宋_GB2312" w:cs="Times New Roman"/>
                <w:color w:val="auto"/>
                <w:kern w:val="0"/>
                <w:sz w:val="24"/>
                <w:szCs w:val="20"/>
              </w:rPr>
              <w:t>上云</w:t>
            </w:r>
            <w:r>
              <w:rPr>
                <w:rFonts w:hint="eastAsia" w:ascii="Times New Roman" w:hAnsi="Times New Roman" w:eastAsia="仿宋_GB2312" w:cs="Times New Roman"/>
                <w:color w:val="auto"/>
                <w:kern w:val="0"/>
                <w:sz w:val="24"/>
                <w:szCs w:val="20"/>
                <w:lang w:val="en-US" w:eastAsia="zh-CN"/>
              </w:rPr>
              <w:t>上平台</w:t>
            </w:r>
          </w:p>
          <w:p>
            <w:pPr>
              <w:widowControl/>
              <w:spacing w:line="20" w:lineRule="atLeast"/>
              <w:jc w:val="center"/>
              <w:rPr>
                <w:rFonts w:hint="default" w:ascii="Times New Roman" w:hAnsi="Times New Roman" w:eastAsia="仿宋_GB2312" w:cs="Times New Roman"/>
                <w:color w:val="auto"/>
                <w:kern w:val="0"/>
                <w:sz w:val="24"/>
                <w:szCs w:val="20"/>
                <w:lang w:val="en-US" w:eastAsia="zh-CN" w:bidi="ar-SA"/>
              </w:rPr>
            </w:pPr>
            <w:r>
              <w:rPr>
                <w:rFonts w:hint="default" w:ascii="Times New Roman" w:hAnsi="Times New Roman" w:eastAsia="仿宋_GB2312" w:cs="Times New Roman"/>
                <w:color w:val="auto"/>
                <w:kern w:val="0"/>
                <w:sz w:val="24"/>
                <w:szCs w:val="20"/>
              </w:rPr>
              <w:t>项目基本情况</w:t>
            </w:r>
          </w:p>
        </w:tc>
        <w:tc>
          <w:tcPr>
            <w:tcW w:w="7925" w:type="dxa"/>
            <w:gridSpan w:val="10"/>
            <w:tcBorders>
              <w:top w:val="single" w:color="auto" w:sz="8" w:space="0"/>
              <w:left w:val="single" w:color="auto" w:sz="8" w:space="0"/>
              <w:bottom w:val="single" w:color="auto" w:sz="8" w:space="0"/>
              <w:right w:val="single" w:color="auto" w:sz="4" w:space="0"/>
            </w:tcBorders>
            <w:noWrap w:val="0"/>
            <w:vAlign w:val="center"/>
          </w:tcPr>
          <w:p>
            <w:pPr>
              <w:widowControl/>
              <w:spacing w:line="20" w:lineRule="atLeast"/>
              <w:jc w:val="left"/>
              <w:rPr>
                <w:rFonts w:hint="default" w:ascii="Times New Roman" w:hAnsi="Times New Roman" w:eastAsia="仿宋_GB2312" w:cs="Times New Roman"/>
                <w:color w:val="auto"/>
                <w:kern w:val="0"/>
                <w:sz w:val="24"/>
                <w:szCs w:val="20"/>
              </w:rPr>
            </w:pPr>
          </w:p>
          <w:p>
            <w:pPr>
              <w:widowControl/>
              <w:spacing w:line="20" w:lineRule="atLeast"/>
              <w:jc w:val="left"/>
              <w:rPr>
                <w:rFonts w:hint="default" w:ascii="Times New Roman" w:hAnsi="Times New Roman" w:eastAsia="仿宋_GB2312" w:cs="Times New Roman"/>
                <w:color w:val="auto"/>
                <w:kern w:val="0"/>
                <w:sz w:val="24"/>
                <w:szCs w:val="20"/>
              </w:rPr>
            </w:pPr>
          </w:p>
          <w:p>
            <w:pPr>
              <w:widowControl/>
              <w:spacing w:line="20" w:lineRule="atLeast"/>
              <w:jc w:val="center"/>
              <w:rPr>
                <w:rFonts w:hint="eastAsia" w:ascii="Times New Roman" w:hAnsi="Times New Roman" w:eastAsia="仿宋_GB2312" w:cs="Times New Roman"/>
                <w:color w:val="auto"/>
                <w:kern w:val="0"/>
                <w:sz w:val="24"/>
                <w:szCs w:val="20"/>
                <w:lang w:eastAsia="zh-CN"/>
              </w:rPr>
            </w:pPr>
            <w:r>
              <w:rPr>
                <w:rFonts w:hint="default" w:ascii="Times New Roman" w:hAnsi="Times New Roman" w:eastAsia="仿宋_GB2312" w:cs="Times New Roman"/>
                <w:color w:val="auto"/>
                <w:kern w:val="0"/>
                <w:sz w:val="24"/>
                <w:szCs w:val="20"/>
              </w:rPr>
              <w:t>简述项目内容，投入情况、实施或改造内容</w:t>
            </w:r>
            <w:r>
              <w:rPr>
                <w:rFonts w:hint="eastAsia" w:ascii="Times New Roman" w:hAnsi="Times New Roman" w:eastAsia="仿宋_GB2312" w:cs="Times New Roman"/>
                <w:color w:val="auto"/>
                <w:kern w:val="0"/>
                <w:sz w:val="24"/>
                <w:szCs w:val="20"/>
                <w:lang w:eastAsia="zh-CN"/>
              </w:rPr>
              <w:t>。</w:t>
            </w:r>
          </w:p>
          <w:p>
            <w:pPr>
              <w:widowControl/>
              <w:spacing w:line="20" w:lineRule="atLeast"/>
              <w:jc w:val="center"/>
              <w:rPr>
                <w:rFonts w:hint="eastAsia" w:ascii="Times New Roman" w:hAnsi="Times New Roman" w:eastAsia="仿宋_GB2312" w:cs="Times New Roman"/>
                <w:color w:val="auto"/>
                <w:kern w:val="0"/>
                <w:sz w:val="24"/>
                <w:szCs w:val="20"/>
                <w:lang w:eastAsia="zh-CN"/>
              </w:rPr>
            </w:pPr>
          </w:p>
          <w:p>
            <w:pPr>
              <w:widowControl/>
              <w:spacing w:line="20" w:lineRule="atLeast"/>
              <w:jc w:val="center"/>
              <w:rPr>
                <w:rFonts w:hint="eastAsia" w:ascii="Times New Roman" w:hAnsi="Times New Roman" w:eastAsia="仿宋_GB2312" w:cs="Times New Roman"/>
                <w:color w:val="auto"/>
                <w:kern w:val="0"/>
                <w:sz w:val="24"/>
                <w:szCs w:val="20"/>
                <w:lang w:eastAsia="zh-CN"/>
              </w:rPr>
            </w:pPr>
            <w:r>
              <w:rPr>
                <w:rFonts w:hint="default" w:ascii="Times New Roman" w:hAnsi="Times New Roman" w:eastAsia="仿宋_GB2312" w:cs="Times New Roman"/>
                <w:color w:val="auto"/>
                <w:kern w:val="0"/>
                <w:sz w:val="24"/>
                <w:szCs w:val="20"/>
              </w:rPr>
              <w:t>简述在降本提质增效降耗协同等方面取得的效益或效果</w:t>
            </w:r>
            <w:r>
              <w:rPr>
                <w:rFonts w:hint="eastAsia" w:ascii="Times New Roman" w:hAnsi="Times New Roman" w:eastAsia="仿宋_GB2312" w:cs="Times New Roman"/>
                <w:color w:val="auto"/>
                <w:kern w:val="0"/>
                <w:sz w:val="24"/>
                <w:szCs w:val="20"/>
                <w:lang w:eastAsia="zh-CN"/>
              </w:rPr>
              <w:t>。</w:t>
            </w:r>
          </w:p>
          <w:p>
            <w:pPr>
              <w:widowControl/>
              <w:spacing w:line="20" w:lineRule="atLeast"/>
              <w:jc w:val="left"/>
              <w:rPr>
                <w:rFonts w:hint="default" w:ascii="Times New Roman" w:hAnsi="Times New Roman" w:eastAsia="仿宋_GB2312" w:cs="Times New Roman"/>
                <w:b/>
                <w:color w:val="auto"/>
                <w:kern w:val="0"/>
                <w:sz w:val="24"/>
                <w:szCs w:val="20"/>
                <w:lang w:val="en-US" w:eastAsia="zh-CN" w:bidi="ar-SA"/>
              </w:rPr>
            </w:pPr>
          </w:p>
        </w:tc>
      </w:tr>
      <w:tr>
        <w:tblPrEx>
          <w:tblCellMar>
            <w:top w:w="0" w:type="dxa"/>
            <w:left w:w="0" w:type="dxa"/>
            <w:bottom w:w="0" w:type="dxa"/>
            <w:right w:w="0" w:type="dxa"/>
          </w:tblCellMar>
        </w:tblPrEx>
        <w:trPr>
          <w:trHeight w:val="2572" w:hRule="atLeast"/>
          <w:jc w:val="center"/>
        </w:trPr>
        <w:tc>
          <w:tcPr>
            <w:tcW w:w="1456" w:type="dxa"/>
            <w:tcBorders>
              <w:top w:val="single" w:color="auto" w:sz="8" w:space="0"/>
              <w:left w:val="single" w:color="auto" w:sz="4" w:space="0"/>
              <w:bottom w:val="single" w:color="auto" w:sz="8" w:space="0"/>
              <w:right w:val="single" w:color="auto" w:sz="8" w:space="0"/>
            </w:tcBorders>
            <w:noWrap w:val="0"/>
            <w:vAlign w:val="center"/>
          </w:tcPr>
          <w:p>
            <w:pPr>
              <w:widowControl/>
              <w:spacing w:line="360" w:lineRule="exac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申报单位</w:t>
            </w:r>
          </w:p>
        </w:tc>
        <w:tc>
          <w:tcPr>
            <w:tcW w:w="7925" w:type="dxa"/>
            <w:gridSpan w:val="10"/>
            <w:tcBorders>
              <w:top w:val="single" w:color="auto" w:sz="8" w:space="0"/>
              <w:left w:val="single" w:color="auto" w:sz="8" w:space="0"/>
              <w:bottom w:val="single" w:color="auto" w:sz="8" w:space="0"/>
              <w:right w:val="single" w:color="auto" w:sz="4" w:space="0"/>
            </w:tcBorders>
            <w:noWrap w:val="0"/>
            <w:vAlign w:val="center"/>
          </w:tcPr>
          <w:p>
            <w:pPr>
              <w:widowControl/>
              <w:spacing w:line="360" w:lineRule="exact"/>
              <w:jc w:val="left"/>
              <w:rPr>
                <w:rFonts w:hint="default" w:ascii="Times New Roman" w:hAnsi="Times New Roman" w:eastAsia="仿宋_GB2312" w:cs="Times New Roman"/>
                <w:color w:val="auto"/>
                <w:kern w:val="0"/>
                <w:sz w:val="24"/>
              </w:rPr>
            </w:pPr>
          </w:p>
          <w:p>
            <w:pPr>
              <w:widowControl/>
              <w:spacing w:line="360" w:lineRule="exact"/>
              <w:jc w:val="left"/>
              <w:rPr>
                <w:rFonts w:hint="default" w:ascii="Times New Roman" w:hAnsi="Times New Roman" w:eastAsia="仿宋_GB2312" w:cs="Times New Roman"/>
                <w:color w:val="auto"/>
                <w:kern w:val="0"/>
                <w:sz w:val="24"/>
              </w:rPr>
            </w:pPr>
          </w:p>
          <w:p>
            <w:pPr>
              <w:widowControl/>
              <w:spacing w:line="360" w:lineRule="exact"/>
              <w:ind w:firstLine="2400" w:firstLineChars="1000"/>
              <w:jc w:val="left"/>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 xml:space="preserve">申报单位（盖章）    法人代表（签字）：                  </w:t>
            </w:r>
          </w:p>
          <w:p>
            <w:pPr>
              <w:widowControl/>
              <w:spacing w:line="360" w:lineRule="exact"/>
              <w:ind w:firstLine="3120" w:firstLineChars="1300"/>
              <w:jc w:val="left"/>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 xml:space="preserve">                     年   月   日</w:t>
            </w:r>
          </w:p>
        </w:tc>
      </w:tr>
      <w:tr>
        <w:tblPrEx>
          <w:tblCellMar>
            <w:top w:w="0" w:type="dxa"/>
            <w:left w:w="0" w:type="dxa"/>
            <w:bottom w:w="0" w:type="dxa"/>
            <w:right w:w="0" w:type="dxa"/>
          </w:tblCellMar>
        </w:tblPrEx>
        <w:trPr>
          <w:trHeight w:val="2593" w:hRule="atLeast"/>
          <w:jc w:val="center"/>
        </w:trPr>
        <w:tc>
          <w:tcPr>
            <w:tcW w:w="1456" w:type="dxa"/>
            <w:tcBorders>
              <w:top w:val="single" w:color="auto" w:sz="8" w:space="0"/>
              <w:left w:val="single" w:color="auto" w:sz="4" w:space="0"/>
              <w:bottom w:val="single" w:color="auto" w:sz="8" w:space="0"/>
              <w:right w:val="single" w:color="auto" w:sz="8" w:space="0"/>
            </w:tcBorders>
            <w:noWrap w:val="0"/>
            <w:vAlign w:val="center"/>
          </w:tcPr>
          <w:p>
            <w:pPr>
              <w:widowControl/>
              <w:spacing w:line="360" w:lineRule="exact"/>
              <w:jc w:val="center"/>
              <w:rPr>
                <w:rFonts w:hint="default" w:ascii="Times New Roman" w:hAnsi="Times New Roman" w:eastAsia="仿宋_GB2312" w:cs="Times New Roman"/>
                <w:color w:val="auto"/>
                <w:kern w:val="0"/>
                <w:sz w:val="24"/>
                <w:szCs w:val="20"/>
              </w:rPr>
            </w:pPr>
            <w:r>
              <w:rPr>
                <w:rFonts w:hint="eastAsia" w:ascii="Times New Roman" w:hAnsi="Times New Roman" w:eastAsia="仿宋_GB2312" w:cs="Times New Roman"/>
                <w:color w:val="auto"/>
                <w:kern w:val="0"/>
                <w:sz w:val="24"/>
                <w:szCs w:val="20"/>
                <w:lang w:val="en-US" w:eastAsia="zh-CN"/>
              </w:rPr>
              <w:t xml:space="preserve"> </w:t>
            </w:r>
            <w:r>
              <w:rPr>
                <w:rFonts w:hint="default" w:ascii="Times New Roman" w:hAnsi="Times New Roman" w:eastAsia="仿宋_GB2312" w:cs="Times New Roman"/>
                <w:color w:val="auto"/>
                <w:kern w:val="0"/>
                <w:sz w:val="24"/>
                <w:szCs w:val="20"/>
              </w:rPr>
              <w:t>服务商</w:t>
            </w:r>
          </w:p>
          <w:p>
            <w:pPr>
              <w:widowControl/>
              <w:spacing w:line="360" w:lineRule="exac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意见</w:t>
            </w:r>
          </w:p>
        </w:tc>
        <w:tc>
          <w:tcPr>
            <w:tcW w:w="7925" w:type="dxa"/>
            <w:gridSpan w:val="10"/>
            <w:tcBorders>
              <w:top w:val="single" w:color="auto" w:sz="8" w:space="0"/>
              <w:left w:val="single" w:color="auto" w:sz="8" w:space="0"/>
              <w:bottom w:val="single" w:color="auto" w:sz="8" w:space="0"/>
              <w:right w:val="single" w:color="auto" w:sz="4" w:space="0"/>
            </w:tcBorders>
            <w:noWrap w:val="0"/>
            <w:vAlign w:val="center"/>
          </w:tcPr>
          <w:p>
            <w:pPr>
              <w:widowControl/>
              <w:spacing w:line="360" w:lineRule="exact"/>
              <w:jc w:val="left"/>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 xml:space="preserve">                                            </w:t>
            </w:r>
          </w:p>
          <w:p>
            <w:pPr>
              <w:widowControl/>
              <w:spacing w:line="360" w:lineRule="exact"/>
              <w:jc w:val="left"/>
              <w:rPr>
                <w:rFonts w:hint="default" w:ascii="Times New Roman" w:hAnsi="Times New Roman" w:eastAsia="仿宋_GB2312" w:cs="Times New Roman"/>
                <w:color w:val="auto"/>
                <w:kern w:val="0"/>
                <w:sz w:val="24"/>
              </w:rPr>
            </w:pPr>
          </w:p>
          <w:p>
            <w:pPr>
              <w:widowControl/>
              <w:spacing w:line="360" w:lineRule="exact"/>
              <w:jc w:val="left"/>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 xml:space="preserve">     </w:t>
            </w:r>
          </w:p>
          <w:p>
            <w:pPr>
              <w:widowControl/>
              <w:spacing w:line="360" w:lineRule="exact"/>
              <w:jc w:val="left"/>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 xml:space="preserve">                                              </w:t>
            </w:r>
            <w:r>
              <w:rPr>
                <w:rFonts w:hint="eastAsia" w:ascii="Times New Roman" w:hAnsi="Times New Roman" w:eastAsia="仿宋_GB2312" w:cs="Times New Roman"/>
                <w:color w:val="auto"/>
                <w:kern w:val="0"/>
                <w:sz w:val="24"/>
                <w:lang w:val="en-US" w:eastAsia="zh-CN"/>
              </w:rPr>
              <w:t xml:space="preserve"> </w:t>
            </w:r>
            <w:r>
              <w:rPr>
                <w:rFonts w:hint="default" w:ascii="Times New Roman" w:hAnsi="Times New Roman" w:eastAsia="仿宋_GB2312" w:cs="Times New Roman"/>
                <w:color w:val="auto"/>
                <w:kern w:val="0"/>
                <w:sz w:val="24"/>
              </w:rPr>
              <w:t xml:space="preserve">  (盖章)</w:t>
            </w:r>
          </w:p>
          <w:p>
            <w:pPr>
              <w:widowControl/>
              <w:spacing w:line="360" w:lineRule="exact"/>
              <w:jc w:val="left"/>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 xml:space="preserve">                                                年   月    日</w:t>
            </w:r>
          </w:p>
        </w:tc>
      </w:tr>
      <w:tr>
        <w:tblPrEx>
          <w:tblCellMar>
            <w:top w:w="0" w:type="dxa"/>
            <w:left w:w="0" w:type="dxa"/>
            <w:bottom w:w="0" w:type="dxa"/>
            <w:right w:w="0" w:type="dxa"/>
          </w:tblCellMar>
        </w:tblPrEx>
        <w:trPr>
          <w:trHeight w:val="2603" w:hRule="atLeast"/>
          <w:jc w:val="center"/>
        </w:trPr>
        <w:tc>
          <w:tcPr>
            <w:tcW w:w="1456" w:type="dxa"/>
            <w:tcBorders>
              <w:top w:val="single" w:color="auto" w:sz="8" w:space="0"/>
              <w:left w:val="single" w:color="auto" w:sz="4" w:space="0"/>
              <w:bottom w:val="single" w:color="auto" w:sz="8" w:space="0"/>
              <w:right w:val="single" w:color="auto" w:sz="8" w:space="0"/>
            </w:tcBorders>
            <w:noWrap w:val="0"/>
            <w:vAlign w:val="center"/>
          </w:tcPr>
          <w:p>
            <w:pPr>
              <w:widowControl/>
              <w:spacing w:line="360" w:lineRule="exac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第三方服务</w:t>
            </w:r>
          </w:p>
          <w:p>
            <w:pPr>
              <w:widowControl/>
              <w:spacing w:line="360" w:lineRule="exact"/>
              <w:jc w:val="center"/>
              <w:rPr>
                <w:rFonts w:hint="default" w:ascii="Times New Roman" w:hAnsi="Times New Roman" w:eastAsia="仿宋_GB2312" w:cs="Times New Roman"/>
                <w:color w:val="auto"/>
                <w:kern w:val="0"/>
                <w:sz w:val="24"/>
                <w:szCs w:val="20"/>
              </w:rPr>
            </w:pPr>
            <w:r>
              <w:rPr>
                <w:rFonts w:hint="default" w:ascii="Times New Roman" w:hAnsi="Times New Roman" w:eastAsia="仿宋_GB2312" w:cs="Times New Roman"/>
                <w:color w:val="auto"/>
                <w:kern w:val="0"/>
                <w:sz w:val="24"/>
                <w:szCs w:val="20"/>
              </w:rPr>
              <w:t>机构审核意见</w:t>
            </w:r>
          </w:p>
        </w:tc>
        <w:tc>
          <w:tcPr>
            <w:tcW w:w="7925" w:type="dxa"/>
            <w:gridSpan w:val="10"/>
            <w:tcBorders>
              <w:top w:val="single" w:color="auto" w:sz="8" w:space="0"/>
              <w:left w:val="single" w:color="auto" w:sz="8" w:space="0"/>
              <w:bottom w:val="single" w:color="auto" w:sz="8" w:space="0"/>
              <w:right w:val="single" w:color="auto" w:sz="4" w:space="0"/>
            </w:tcBorders>
            <w:noWrap w:val="0"/>
            <w:vAlign w:val="center"/>
          </w:tcPr>
          <w:p>
            <w:pPr>
              <w:widowControl/>
              <w:spacing w:line="360" w:lineRule="exact"/>
              <w:jc w:val="left"/>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 xml:space="preserve">                                                </w:t>
            </w:r>
          </w:p>
          <w:p>
            <w:pPr>
              <w:widowControl/>
              <w:spacing w:line="360" w:lineRule="exact"/>
              <w:jc w:val="left"/>
              <w:rPr>
                <w:rFonts w:hint="default" w:ascii="Times New Roman" w:hAnsi="Times New Roman" w:eastAsia="仿宋_GB2312" w:cs="Times New Roman"/>
                <w:color w:val="auto"/>
                <w:kern w:val="0"/>
                <w:sz w:val="24"/>
              </w:rPr>
            </w:pPr>
          </w:p>
          <w:p>
            <w:pPr>
              <w:widowControl/>
              <w:spacing w:line="360" w:lineRule="exact"/>
              <w:jc w:val="left"/>
              <w:rPr>
                <w:rFonts w:hint="default" w:ascii="Times New Roman" w:hAnsi="Times New Roman" w:eastAsia="仿宋_GB2312" w:cs="Times New Roman"/>
                <w:color w:val="auto"/>
                <w:kern w:val="0"/>
                <w:sz w:val="24"/>
              </w:rPr>
            </w:pPr>
          </w:p>
          <w:p>
            <w:pPr>
              <w:widowControl/>
              <w:spacing w:line="360" w:lineRule="exact"/>
              <w:ind w:firstLine="6000" w:firstLineChars="2500"/>
              <w:jc w:val="left"/>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(盖章)</w:t>
            </w:r>
          </w:p>
          <w:p>
            <w:pPr>
              <w:widowControl/>
              <w:spacing w:line="360" w:lineRule="exact"/>
              <w:jc w:val="left"/>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 xml:space="preserve">                                              </w:t>
            </w:r>
            <w:r>
              <w:rPr>
                <w:rFonts w:hint="eastAsia" w:ascii="Times New Roman" w:hAnsi="Times New Roman" w:eastAsia="仿宋_GB2312" w:cs="Times New Roman"/>
                <w:color w:val="auto"/>
                <w:kern w:val="0"/>
                <w:sz w:val="24"/>
                <w:lang w:val="en-US" w:eastAsia="zh-CN"/>
              </w:rPr>
              <w:t xml:space="preserve"> </w:t>
            </w:r>
            <w:r>
              <w:rPr>
                <w:rFonts w:hint="default" w:ascii="Times New Roman" w:hAnsi="Times New Roman" w:eastAsia="仿宋_GB2312" w:cs="Times New Roman"/>
                <w:color w:val="auto"/>
                <w:kern w:val="0"/>
                <w:sz w:val="24"/>
              </w:rPr>
              <w:t xml:space="preserve">  年   月    日</w:t>
            </w:r>
          </w:p>
        </w:tc>
      </w:tr>
      <w:tr>
        <w:tblPrEx>
          <w:tblCellMar>
            <w:top w:w="0" w:type="dxa"/>
            <w:left w:w="0" w:type="dxa"/>
            <w:bottom w:w="0" w:type="dxa"/>
            <w:right w:w="0" w:type="dxa"/>
          </w:tblCellMar>
        </w:tblPrEx>
        <w:trPr>
          <w:trHeight w:val="2882" w:hRule="atLeast"/>
          <w:jc w:val="center"/>
        </w:trPr>
        <w:tc>
          <w:tcPr>
            <w:tcW w:w="1456" w:type="dxa"/>
            <w:tcBorders>
              <w:top w:val="single" w:color="auto" w:sz="8" w:space="0"/>
              <w:left w:val="single" w:color="auto" w:sz="4" w:space="0"/>
              <w:bottom w:val="single" w:color="auto" w:sz="8" w:space="0"/>
              <w:right w:val="single" w:color="auto" w:sz="8" w:space="0"/>
            </w:tcBorders>
            <w:noWrap w:val="0"/>
            <w:vAlign w:val="center"/>
          </w:tcPr>
          <w:p>
            <w:pPr>
              <w:widowControl/>
              <w:spacing w:line="20" w:lineRule="atLeast"/>
              <w:jc w:val="center"/>
              <w:rPr>
                <w:rFonts w:hint="default" w:ascii="Times New Roman" w:hAnsi="Times New Roman" w:eastAsia="仿宋_GB2312" w:cs="Times New Roman"/>
                <w:color w:val="auto"/>
                <w:kern w:val="0"/>
                <w:sz w:val="24"/>
                <w:szCs w:val="20"/>
              </w:rPr>
            </w:pPr>
            <w:r>
              <w:rPr>
                <w:rFonts w:hint="eastAsia" w:ascii="Times New Roman" w:hAnsi="Times New Roman" w:eastAsia="仿宋_GB2312" w:cs="Times New Roman"/>
                <w:color w:val="auto"/>
                <w:sz w:val="24"/>
                <w:lang w:eastAsia="zh-CN"/>
              </w:rPr>
              <w:t>县科技</w:t>
            </w:r>
            <w:r>
              <w:rPr>
                <w:rFonts w:hint="default" w:ascii="Times New Roman" w:hAnsi="Times New Roman" w:eastAsia="仿宋_GB2312" w:cs="Times New Roman"/>
                <w:color w:val="auto"/>
                <w:sz w:val="24"/>
              </w:rPr>
              <w:t>工业和信息化局审核意见</w:t>
            </w:r>
          </w:p>
        </w:tc>
        <w:tc>
          <w:tcPr>
            <w:tcW w:w="7925" w:type="dxa"/>
            <w:gridSpan w:val="10"/>
            <w:tcBorders>
              <w:top w:val="single" w:color="auto" w:sz="8" w:space="0"/>
              <w:left w:val="single" w:color="auto" w:sz="8" w:space="0"/>
              <w:bottom w:val="single" w:color="auto" w:sz="8" w:space="0"/>
              <w:right w:val="single" w:color="auto" w:sz="4" w:space="0"/>
            </w:tcBorders>
            <w:noWrap w:val="0"/>
            <w:vAlign w:val="top"/>
          </w:tcPr>
          <w:p>
            <w:pPr>
              <w:widowControl/>
              <w:spacing w:line="360" w:lineRule="exact"/>
              <w:jc w:val="left"/>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 xml:space="preserve"> </w:t>
            </w:r>
          </w:p>
          <w:p>
            <w:pPr>
              <w:widowControl/>
              <w:spacing w:line="360" w:lineRule="exact"/>
              <w:jc w:val="left"/>
              <w:rPr>
                <w:rFonts w:hint="default" w:ascii="Times New Roman" w:hAnsi="Times New Roman" w:eastAsia="仿宋_GB2312" w:cs="Times New Roman"/>
                <w:color w:val="auto"/>
                <w:kern w:val="0"/>
                <w:sz w:val="24"/>
              </w:rPr>
            </w:pPr>
          </w:p>
          <w:p>
            <w:pPr>
              <w:widowControl/>
              <w:spacing w:line="360" w:lineRule="exact"/>
              <w:ind w:firstLine="5760" w:firstLineChars="2400"/>
              <w:jc w:val="left"/>
              <w:rPr>
                <w:rFonts w:hint="default" w:ascii="Times New Roman" w:hAnsi="Times New Roman" w:eastAsia="仿宋_GB2312" w:cs="Times New Roman"/>
                <w:color w:val="auto"/>
                <w:kern w:val="0"/>
                <w:sz w:val="24"/>
              </w:rPr>
            </w:pPr>
          </w:p>
          <w:p>
            <w:pPr>
              <w:widowControl/>
              <w:spacing w:line="360" w:lineRule="exact"/>
              <w:ind w:firstLine="5760" w:firstLineChars="2400"/>
              <w:jc w:val="left"/>
              <w:rPr>
                <w:rFonts w:hint="default" w:ascii="Times New Roman" w:hAnsi="Times New Roman" w:eastAsia="仿宋_GB2312" w:cs="Times New Roman"/>
                <w:color w:val="auto"/>
                <w:kern w:val="0"/>
                <w:sz w:val="24"/>
              </w:rPr>
            </w:pPr>
          </w:p>
          <w:p>
            <w:pPr>
              <w:widowControl/>
              <w:spacing w:line="360" w:lineRule="exact"/>
              <w:ind w:firstLine="5760" w:firstLineChars="2400"/>
              <w:jc w:val="left"/>
              <w:rPr>
                <w:rFonts w:hint="default" w:ascii="Times New Roman" w:hAnsi="Times New Roman" w:eastAsia="仿宋_GB2312" w:cs="Times New Roman"/>
                <w:color w:val="auto"/>
                <w:kern w:val="0"/>
                <w:sz w:val="24"/>
              </w:rPr>
            </w:pPr>
          </w:p>
          <w:p>
            <w:pPr>
              <w:widowControl/>
              <w:spacing w:line="360" w:lineRule="exact"/>
              <w:ind w:firstLine="6000" w:firstLineChars="2500"/>
              <w:jc w:val="left"/>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（盖章）</w:t>
            </w:r>
          </w:p>
          <w:p>
            <w:pPr>
              <w:widowControl/>
              <w:spacing w:line="360" w:lineRule="exact"/>
              <w:jc w:val="left"/>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 xml:space="preserve">                                               </w:t>
            </w:r>
            <w:r>
              <w:rPr>
                <w:rFonts w:hint="eastAsia" w:ascii="Times New Roman" w:hAnsi="Times New Roman" w:eastAsia="仿宋_GB2312" w:cs="Times New Roman"/>
                <w:color w:val="auto"/>
                <w:kern w:val="0"/>
                <w:sz w:val="24"/>
                <w:lang w:val="en-US" w:eastAsia="zh-CN"/>
              </w:rPr>
              <w:t xml:space="preserve"> </w:t>
            </w:r>
            <w:r>
              <w:rPr>
                <w:rFonts w:hint="default" w:ascii="Times New Roman" w:hAnsi="Times New Roman" w:eastAsia="仿宋_GB2312" w:cs="Times New Roman"/>
                <w:color w:val="auto"/>
                <w:kern w:val="0"/>
                <w:sz w:val="24"/>
              </w:rPr>
              <w:t xml:space="preserve"> 年    月    日</w:t>
            </w:r>
          </w:p>
        </w:tc>
      </w:tr>
    </w:tbl>
    <w:p>
      <w:pPr>
        <w:widowControl/>
        <w:spacing w:line="360" w:lineRule="exact"/>
        <w:jc w:val="left"/>
        <w:rPr>
          <w:rFonts w:hint="eastAsia" w:ascii="Times New Roman" w:hAnsi="Times New Roman" w:eastAsia="仿宋_GB2312" w:cs="Times New Roman"/>
          <w:color w:val="auto"/>
          <w:kern w:val="0"/>
          <w:sz w:val="24"/>
          <w:szCs w:val="20"/>
          <w:lang w:val="en-US" w:eastAsia="zh-CN"/>
        </w:rPr>
      </w:pPr>
      <w:r>
        <w:rPr>
          <w:rFonts w:hint="eastAsia" w:ascii="Times New Roman" w:hAnsi="Times New Roman" w:eastAsia="仿宋_GB2312" w:cs="Times New Roman"/>
          <w:color w:val="auto"/>
          <w:kern w:val="0"/>
          <w:sz w:val="24"/>
          <w:szCs w:val="20"/>
          <w:lang w:eastAsia="zh-CN"/>
        </w:rPr>
        <w:t>备注：</w:t>
      </w:r>
      <w:r>
        <w:rPr>
          <w:rFonts w:hint="eastAsia" w:ascii="Times New Roman" w:hAnsi="Times New Roman" w:eastAsia="仿宋_GB2312" w:cs="Times New Roman"/>
          <w:color w:val="auto"/>
          <w:kern w:val="0"/>
          <w:sz w:val="24"/>
          <w:szCs w:val="20"/>
          <w:lang w:val="en-US" w:eastAsia="zh-CN"/>
        </w:rPr>
        <w:t>1.注意金额单位的填写；</w:t>
      </w:r>
    </w:p>
    <w:p>
      <w:pPr>
        <w:pStyle w:val="2"/>
        <w:numPr>
          <w:ilvl w:val="0"/>
          <w:numId w:val="1"/>
        </w:numPr>
        <w:rPr>
          <w:rFonts w:hint="eastAsia" w:ascii="Times New Roman" w:hAnsi="Times New Roman" w:eastAsia="仿宋_GB2312" w:cs="Times New Roman"/>
          <w:color w:val="auto"/>
          <w:kern w:val="0"/>
          <w:sz w:val="24"/>
          <w:szCs w:val="20"/>
          <w:lang w:val="en-US" w:eastAsia="zh-CN"/>
        </w:rPr>
      </w:pPr>
      <w:r>
        <w:rPr>
          <w:rFonts w:hint="eastAsia" w:ascii="Times New Roman" w:hAnsi="Times New Roman" w:eastAsia="仿宋_GB2312" w:cs="Times New Roman"/>
          <w:color w:val="auto"/>
          <w:kern w:val="0"/>
          <w:sz w:val="24"/>
          <w:szCs w:val="20"/>
          <w:lang w:val="en-US" w:eastAsia="zh-CN"/>
        </w:rPr>
        <w:t>企业名称须与营业执照的名称一致；</w:t>
      </w:r>
    </w:p>
    <w:p>
      <w:pPr>
        <w:pStyle w:val="2"/>
        <w:numPr>
          <w:ilvl w:val="0"/>
          <w:numId w:val="1"/>
        </w:numPr>
        <w:rPr>
          <w:rFonts w:hint="default" w:ascii="Times New Roman" w:hAnsi="Times New Roman" w:eastAsia="仿宋_GB2312" w:cs="Times New Roman"/>
          <w:color w:val="auto"/>
          <w:kern w:val="0"/>
          <w:sz w:val="24"/>
          <w:szCs w:val="20"/>
          <w:lang w:val="en-US" w:eastAsia="zh-CN"/>
        </w:rPr>
      </w:pPr>
      <w:r>
        <w:rPr>
          <w:rFonts w:hint="eastAsia" w:ascii="Times New Roman" w:hAnsi="Times New Roman" w:eastAsia="仿宋_GB2312" w:cs="Times New Roman"/>
          <w:color w:val="auto"/>
          <w:kern w:val="0"/>
          <w:sz w:val="24"/>
          <w:szCs w:val="20"/>
          <w:lang w:val="en-US" w:eastAsia="zh-CN"/>
        </w:rPr>
        <w:t>签署意见栏要填写具体的意见，法人代表要签字，日期要填写。</w:t>
      </w:r>
    </w:p>
    <w:p>
      <w:pPr>
        <w:autoSpaceDN w:val="0"/>
        <w:spacing w:line="520" w:lineRule="exact"/>
        <w:jc w:val="center"/>
        <w:rPr>
          <w:rFonts w:hint="eastAsia" w:ascii="Times New Roman" w:hAnsi="Times New Roman" w:eastAsia="方正小标宋简体" w:cs="Times New Roman"/>
          <w:color w:val="auto"/>
          <w:kern w:val="0"/>
          <w:sz w:val="36"/>
          <w:szCs w:val="36"/>
          <w:lang w:eastAsia="zh-CN"/>
        </w:rPr>
      </w:pPr>
    </w:p>
    <w:p>
      <w:pPr>
        <w:autoSpaceDN w:val="0"/>
        <w:spacing w:line="520" w:lineRule="exact"/>
        <w:jc w:val="center"/>
        <w:rPr>
          <w:rFonts w:hint="eastAsia" w:ascii="Times New Roman" w:hAnsi="Times New Roman" w:eastAsia="方正小标宋简体" w:cs="Times New Roman"/>
          <w:color w:val="auto"/>
          <w:kern w:val="0"/>
          <w:sz w:val="36"/>
          <w:szCs w:val="36"/>
          <w:lang w:eastAsia="zh-CN"/>
        </w:rPr>
      </w:pPr>
    </w:p>
    <w:p>
      <w:pPr>
        <w:autoSpaceDN w:val="0"/>
        <w:spacing w:line="520" w:lineRule="exact"/>
        <w:jc w:val="center"/>
        <w:rPr>
          <w:rFonts w:hint="eastAsia" w:ascii="Times New Roman" w:hAnsi="Times New Roman" w:eastAsia="方正小标宋简体" w:cs="Times New Roman"/>
          <w:color w:val="auto"/>
          <w:kern w:val="0"/>
          <w:sz w:val="36"/>
          <w:szCs w:val="36"/>
          <w:lang w:eastAsia="zh-CN"/>
        </w:rPr>
      </w:pPr>
    </w:p>
    <w:p>
      <w:pPr>
        <w:autoSpaceDN w:val="0"/>
        <w:spacing w:line="520" w:lineRule="exact"/>
        <w:jc w:val="center"/>
        <w:rPr>
          <w:rFonts w:hint="eastAsia" w:ascii="Times New Roman" w:hAnsi="Times New Roman" w:eastAsia="方正小标宋简体" w:cs="Times New Roman"/>
          <w:color w:val="auto"/>
          <w:kern w:val="0"/>
          <w:sz w:val="36"/>
          <w:szCs w:val="36"/>
          <w:lang w:eastAsia="zh-CN"/>
        </w:rPr>
      </w:pPr>
    </w:p>
    <w:p>
      <w:pPr>
        <w:autoSpaceDN w:val="0"/>
        <w:spacing w:line="520" w:lineRule="exact"/>
        <w:jc w:val="center"/>
        <w:rPr>
          <w:rFonts w:hint="default" w:ascii="Times New Roman" w:hAnsi="Times New Roman" w:eastAsia="微软简标宋" w:cs="Times New Roman"/>
          <w:color w:val="auto"/>
          <w:sz w:val="36"/>
          <w:szCs w:val="36"/>
        </w:rPr>
      </w:pPr>
      <w:r>
        <w:rPr>
          <w:rFonts w:hint="eastAsia" w:ascii="Times New Roman" w:hAnsi="Times New Roman" w:eastAsia="方正小标宋简体" w:cs="Times New Roman"/>
          <w:color w:val="auto"/>
          <w:kern w:val="0"/>
          <w:sz w:val="36"/>
          <w:szCs w:val="36"/>
          <w:lang w:eastAsia="zh-CN"/>
        </w:rPr>
        <w:t>博罗县</w:t>
      </w:r>
      <w:r>
        <w:rPr>
          <w:rFonts w:hint="default" w:ascii="Times New Roman" w:hAnsi="Times New Roman" w:eastAsia="方正小标宋简体" w:cs="Times New Roman"/>
          <w:color w:val="auto"/>
          <w:kern w:val="0"/>
          <w:sz w:val="36"/>
          <w:szCs w:val="36"/>
        </w:rPr>
        <w:t>“企业上云</w:t>
      </w:r>
      <w:r>
        <w:rPr>
          <w:rFonts w:hint="default" w:ascii="Times New Roman" w:hAnsi="Times New Roman" w:eastAsia="方正小标宋简体" w:cs="Times New Roman"/>
          <w:color w:val="auto"/>
          <w:kern w:val="0"/>
          <w:sz w:val="36"/>
          <w:szCs w:val="36"/>
          <w:lang w:val="en-US" w:eastAsia="zh-CN"/>
        </w:rPr>
        <w:t>上平台</w:t>
      </w:r>
      <w:r>
        <w:rPr>
          <w:rFonts w:hint="default" w:ascii="Times New Roman" w:hAnsi="Times New Roman" w:eastAsia="方正小标宋简体" w:cs="Times New Roman"/>
          <w:color w:val="auto"/>
          <w:kern w:val="0"/>
          <w:sz w:val="36"/>
          <w:szCs w:val="36"/>
        </w:rPr>
        <w:t>”</w:t>
      </w:r>
      <w:r>
        <w:rPr>
          <w:rFonts w:hint="default" w:ascii="Times New Roman" w:hAnsi="Times New Roman" w:eastAsia="方正小标宋简体" w:cs="Times New Roman"/>
          <w:color w:val="auto"/>
          <w:kern w:val="0"/>
          <w:sz w:val="36"/>
          <w:szCs w:val="36"/>
          <w:lang w:val="en-US" w:eastAsia="zh-CN"/>
        </w:rPr>
        <w:t>奖补</w:t>
      </w:r>
      <w:r>
        <w:rPr>
          <w:rFonts w:hint="default" w:ascii="Times New Roman" w:hAnsi="Times New Roman" w:eastAsia="方正小标宋简体" w:cs="Times New Roman"/>
          <w:color w:val="auto"/>
          <w:kern w:val="0"/>
          <w:sz w:val="36"/>
          <w:szCs w:val="36"/>
        </w:rPr>
        <w:t>资金申报承诺书</w:t>
      </w:r>
    </w:p>
    <w:p>
      <w:pPr>
        <w:autoSpaceDN w:val="0"/>
        <w:spacing w:line="520" w:lineRule="exact"/>
        <w:rPr>
          <w:rFonts w:hint="default" w:ascii="Times New Roman" w:hAnsi="Times New Roman" w:eastAsia="仿宋_GB2312" w:cs="Times New Roman"/>
          <w:color w:val="auto"/>
          <w:sz w:val="32"/>
        </w:rPr>
      </w:pPr>
    </w:p>
    <w:p>
      <w:pPr>
        <w:autoSpaceDN w:val="0"/>
        <w:spacing w:line="520" w:lineRule="exact"/>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eastAsia="zh-CN"/>
        </w:rPr>
        <w:t>博罗县科技</w:t>
      </w:r>
      <w:r>
        <w:rPr>
          <w:rFonts w:hint="default" w:ascii="Times New Roman" w:hAnsi="Times New Roman" w:eastAsia="方正仿宋_GBK" w:cs="Times New Roman"/>
          <w:color w:val="auto"/>
          <w:sz w:val="32"/>
          <w:szCs w:val="32"/>
        </w:rPr>
        <w:t xml:space="preserve">工业和信息化局：   </w:t>
      </w:r>
    </w:p>
    <w:p>
      <w:pPr>
        <w:autoSpaceDN w:val="0"/>
        <w:spacing w:line="520" w:lineRule="exact"/>
        <w:ind w:firstLine="6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根据</w:t>
      </w:r>
      <w:r>
        <w:rPr>
          <w:rFonts w:hint="default" w:ascii="Times New Roman" w:hAnsi="Times New Roman" w:eastAsia="方正仿宋_GBK" w:cs="Times New Roman"/>
          <w:color w:val="auto"/>
          <w:sz w:val="32"/>
          <w:szCs w:val="32"/>
          <w:lang w:val="en-US" w:eastAsia="zh-CN"/>
        </w:rPr>
        <w:t>《博罗县2023年企业上云上平台申报指南》</w:t>
      </w:r>
      <w:r>
        <w:rPr>
          <w:rFonts w:hint="default" w:ascii="Times New Roman" w:hAnsi="Times New Roman" w:eastAsia="方正仿宋_GBK" w:cs="Times New Roman"/>
          <w:color w:val="auto"/>
          <w:sz w:val="32"/>
          <w:szCs w:val="32"/>
        </w:rPr>
        <w:t>要求，我司对“</w:t>
      </w:r>
      <w:r>
        <w:rPr>
          <w:rFonts w:hint="default" w:ascii="Times New Roman" w:hAnsi="Times New Roman" w:eastAsia="方正仿宋_GBK" w:cs="Times New Roman"/>
          <w:color w:val="auto"/>
          <w:sz w:val="32"/>
          <w:szCs w:val="32"/>
          <w:u w:val="none"/>
          <w:lang w:val="en-US" w:eastAsia="zh-CN"/>
        </w:rPr>
        <w:t>上云上平台</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奖补</w:t>
      </w:r>
      <w:r>
        <w:rPr>
          <w:rFonts w:hint="default" w:ascii="Times New Roman" w:hAnsi="Times New Roman" w:eastAsia="方正仿宋_GBK" w:cs="Times New Roman"/>
          <w:color w:val="auto"/>
          <w:sz w:val="32"/>
          <w:szCs w:val="32"/>
        </w:rPr>
        <w:t>资金申报作以下郑重承诺：</w:t>
      </w:r>
    </w:p>
    <w:p>
      <w:pPr>
        <w:autoSpaceDN w:val="0"/>
        <w:spacing w:line="520" w:lineRule="exact"/>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1、我司对提交的所有申报文件、相关证件等一切材料及其复印件材料的真实性、有效性、合法性作保证，绝无虚构、作假、不真实，否则将承担全部责任和后果。</w:t>
      </w:r>
    </w:p>
    <w:p>
      <w:pPr>
        <w:numPr>
          <w:ilvl w:val="0"/>
          <w:numId w:val="2"/>
        </w:numPr>
        <w:autoSpaceDN w:val="0"/>
        <w:spacing w:line="520" w:lineRule="exact"/>
        <w:ind w:firstLine="6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若我司获得</w:t>
      </w:r>
      <w:r>
        <w:rPr>
          <w:rFonts w:hint="default" w:ascii="Times New Roman" w:hAnsi="Times New Roman" w:eastAsia="方正仿宋_GBK" w:cs="Times New Roman"/>
          <w:color w:val="auto"/>
          <w:sz w:val="32"/>
          <w:szCs w:val="32"/>
          <w:lang w:val="en-US" w:eastAsia="zh-CN"/>
        </w:rPr>
        <w:t>奖补</w:t>
      </w:r>
      <w:r>
        <w:rPr>
          <w:rFonts w:hint="default" w:ascii="Times New Roman" w:hAnsi="Times New Roman" w:eastAsia="方正仿宋_GBK" w:cs="Times New Roman"/>
          <w:color w:val="auto"/>
          <w:sz w:val="32"/>
          <w:szCs w:val="32"/>
        </w:rPr>
        <w:t>资金，将遵照国家有关法律法规，以及惠州市</w:t>
      </w:r>
      <w:r>
        <w:rPr>
          <w:rFonts w:hint="default" w:ascii="Times New Roman" w:hAnsi="Times New Roman" w:eastAsia="方正仿宋_GBK" w:cs="Times New Roman"/>
          <w:color w:val="auto"/>
          <w:sz w:val="32"/>
          <w:szCs w:val="32"/>
          <w:lang w:eastAsia="zh-CN"/>
        </w:rPr>
        <w:t>财政资金管理</w:t>
      </w:r>
      <w:r>
        <w:rPr>
          <w:rFonts w:hint="default" w:ascii="Times New Roman" w:hAnsi="Times New Roman" w:eastAsia="方正仿宋_GBK" w:cs="Times New Roman"/>
          <w:color w:val="auto"/>
          <w:sz w:val="32"/>
          <w:szCs w:val="32"/>
        </w:rPr>
        <w:t>的</w:t>
      </w:r>
      <w:r>
        <w:rPr>
          <w:rFonts w:hint="default" w:ascii="Times New Roman" w:hAnsi="Times New Roman" w:eastAsia="方正仿宋_GBK" w:cs="Times New Roman"/>
          <w:color w:val="auto"/>
          <w:sz w:val="32"/>
          <w:szCs w:val="32"/>
          <w:lang w:eastAsia="zh-CN"/>
        </w:rPr>
        <w:t>相关</w:t>
      </w:r>
      <w:r>
        <w:rPr>
          <w:rFonts w:hint="default" w:ascii="Times New Roman" w:hAnsi="Times New Roman" w:eastAsia="方正仿宋_GBK" w:cs="Times New Roman"/>
          <w:color w:val="auto"/>
          <w:sz w:val="32"/>
          <w:szCs w:val="32"/>
        </w:rPr>
        <w:t>规章制度，</w:t>
      </w:r>
      <w:r>
        <w:rPr>
          <w:rFonts w:hint="default" w:ascii="Times New Roman" w:hAnsi="Times New Roman" w:eastAsia="方正仿宋_GBK" w:cs="Times New Roman"/>
          <w:color w:val="auto"/>
          <w:sz w:val="32"/>
          <w:szCs w:val="32"/>
          <w:lang w:eastAsia="zh-CN"/>
        </w:rPr>
        <w:t>做好该</w:t>
      </w:r>
      <w:r>
        <w:rPr>
          <w:rFonts w:hint="default" w:ascii="Times New Roman" w:hAnsi="Times New Roman" w:eastAsia="方正仿宋_GBK" w:cs="Times New Roman"/>
          <w:color w:val="auto"/>
          <w:sz w:val="32"/>
          <w:szCs w:val="32"/>
        </w:rPr>
        <w:t>项目</w:t>
      </w:r>
      <w:r>
        <w:rPr>
          <w:rFonts w:hint="default" w:ascii="Times New Roman" w:hAnsi="Times New Roman" w:eastAsia="方正仿宋_GBK" w:cs="Times New Roman"/>
          <w:color w:val="auto"/>
          <w:sz w:val="32"/>
          <w:szCs w:val="32"/>
          <w:lang w:val="en-US" w:eastAsia="zh-CN"/>
        </w:rPr>
        <w:t>奖补</w:t>
      </w:r>
      <w:r>
        <w:rPr>
          <w:rFonts w:hint="default" w:ascii="Times New Roman" w:hAnsi="Times New Roman" w:eastAsia="方正仿宋_GBK" w:cs="Times New Roman"/>
          <w:color w:val="auto"/>
          <w:sz w:val="32"/>
          <w:szCs w:val="32"/>
        </w:rPr>
        <w:t>资金</w:t>
      </w:r>
      <w:r>
        <w:rPr>
          <w:rFonts w:hint="default" w:ascii="Times New Roman" w:hAnsi="Times New Roman" w:eastAsia="方正仿宋_GBK" w:cs="Times New Roman"/>
          <w:color w:val="auto"/>
          <w:sz w:val="32"/>
          <w:szCs w:val="32"/>
          <w:lang w:eastAsia="zh-CN"/>
        </w:rPr>
        <w:t>的管理使用工作</w:t>
      </w:r>
      <w:r>
        <w:rPr>
          <w:rFonts w:hint="default" w:ascii="Times New Roman" w:hAnsi="Times New Roman" w:eastAsia="方正仿宋_GBK" w:cs="Times New Roman"/>
          <w:color w:val="auto"/>
          <w:sz w:val="32"/>
          <w:szCs w:val="32"/>
        </w:rPr>
        <w:t>，保证</w:t>
      </w:r>
      <w:r>
        <w:rPr>
          <w:rFonts w:hint="default" w:ascii="Times New Roman" w:hAnsi="Times New Roman" w:eastAsia="方正仿宋_GBK" w:cs="Times New Roman"/>
          <w:color w:val="auto"/>
          <w:sz w:val="32"/>
          <w:szCs w:val="32"/>
          <w:lang w:val="en-US" w:eastAsia="zh-CN"/>
        </w:rPr>
        <w:t>奖补</w:t>
      </w:r>
      <w:r>
        <w:rPr>
          <w:rFonts w:hint="default" w:ascii="Times New Roman" w:hAnsi="Times New Roman" w:eastAsia="方正仿宋_GBK" w:cs="Times New Roman"/>
          <w:color w:val="auto"/>
          <w:sz w:val="32"/>
          <w:szCs w:val="32"/>
        </w:rPr>
        <w:t>资金专款专用。不以虚报、冒领等手段骗取和滞留、截留、挤占、挪用</w:t>
      </w:r>
      <w:r>
        <w:rPr>
          <w:rFonts w:hint="default" w:ascii="Times New Roman" w:hAnsi="Times New Roman" w:eastAsia="方正仿宋_GBK" w:cs="Times New Roman"/>
          <w:color w:val="auto"/>
          <w:sz w:val="32"/>
          <w:szCs w:val="32"/>
          <w:lang w:val="en-US" w:eastAsia="zh-CN"/>
        </w:rPr>
        <w:t>奖补</w:t>
      </w:r>
      <w:r>
        <w:rPr>
          <w:rFonts w:hint="default" w:ascii="Times New Roman" w:hAnsi="Times New Roman" w:eastAsia="方正仿宋_GBK" w:cs="Times New Roman"/>
          <w:color w:val="auto"/>
          <w:sz w:val="32"/>
          <w:szCs w:val="32"/>
        </w:rPr>
        <w:t>资金，不做任何违反法律法规和规章制度的行为</w:t>
      </w:r>
      <w:r>
        <w:rPr>
          <w:rFonts w:hint="default" w:ascii="Times New Roman" w:hAnsi="Times New Roman" w:eastAsia="方正仿宋_GBK" w:cs="Times New Roman"/>
          <w:color w:val="auto"/>
          <w:sz w:val="32"/>
          <w:szCs w:val="32"/>
          <w:lang w:eastAsia="zh-CN"/>
        </w:rPr>
        <w:t>，并配合相关部门做好后续资金绩效检查、审计等相关工作</w:t>
      </w:r>
      <w:r>
        <w:rPr>
          <w:rFonts w:hint="eastAsia" w:ascii="Times New Roman" w:hAnsi="Times New Roman" w:eastAsia="方正仿宋_GBK" w:cs="Times New Roman"/>
          <w:color w:val="auto"/>
          <w:sz w:val="32"/>
          <w:szCs w:val="32"/>
          <w:lang w:eastAsia="zh-CN"/>
        </w:rPr>
        <w:t>，若在审计、检查等过程中出现违规现象，将积极配合有关部门履行财政资金退回手续</w:t>
      </w:r>
      <w:r>
        <w:rPr>
          <w:rFonts w:hint="default" w:ascii="Times New Roman" w:hAnsi="Times New Roman" w:eastAsia="方正仿宋_GBK" w:cs="Times New Roman"/>
          <w:color w:val="auto"/>
          <w:sz w:val="32"/>
          <w:szCs w:val="32"/>
        </w:rPr>
        <w:t>。</w:t>
      </w:r>
    </w:p>
    <w:p>
      <w:pPr>
        <w:numPr>
          <w:ilvl w:val="0"/>
          <w:numId w:val="2"/>
        </w:numPr>
        <w:autoSpaceDN w:val="0"/>
        <w:spacing w:line="520" w:lineRule="exact"/>
        <w:ind w:firstLine="6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我司承诺同一项目</w:t>
      </w:r>
      <w:r>
        <w:rPr>
          <w:rFonts w:hint="eastAsia" w:ascii="Times New Roman" w:hAnsi="Times New Roman" w:eastAsia="方正仿宋_GBK" w:cs="Times New Roman"/>
          <w:color w:val="auto"/>
          <w:sz w:val="32"/>
          <w:szCs w:val="32"/>
          <w:lang w:val="en-US" w:eastAsia="zh-CN"/>
        </w:rPr>
        <w:t>不重复申报</w:t>
      </w:r>
      <w:r>
        <w:rPr>
          <w:rFonts w:hint="default" w:ascii="Times New Roman" w:hAnsi="Times New Roman" w:eastAsia="方正仿宋_GBK" w:cs="Times New Roman"/>
          <w:color w:val="auto"/>
          <w:sz w:val="32"/>
          <w:szCs w:val="32"/>
          <w:lang w:val="en-US" w:eastAsia="zh-CN"/>
        </w:rPr>
        <w:t>。</w:t>
      </w:r>
    </w:p>
    <w:p>
      <w:pPr>
        <w:numPr>
          <w:ilvl w:val="0"/>
          <w:numId w:val="0"/>
        </w:numPr>
        <w:autoSpaceDN w:val="0"/>
        <w:spacing w:line="52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rPr>
        <w:t>如有违反上述承诺事项，我司依法承担相应行政和刑事责任，并按有关规定全额退回我司所获的</w:t>
      </w:r>
      <w:r>
        <w:rPr>
          <w:rFonts w:hint="default" w:ascii="Times New Roman" w:hAnsi="Times New Roman" w:eastAsia="方正仿宋_GBK" w:cs="Times New Roman"/>
          <w:color w:val="auto"/>
          <w:sz w:val="32"/>
          <w:szCs w:val="32"/>
          <w:lang w:val="en-US" w:eastAsia="zh-CN"/>
        </w:rPr>
        <w:t>奖补</w:t>
      </w:r>
      <w:r>
        <w:rPr>
          <w:rFonts w:hint="default" w:ascii="Times New Roman" w:hAnsi="Times New Roman" w:eastAsia="方正仿宋_GBK" w:cs="Times New Roman"/>
          <w:color w:val="auto"/>
          <w:sz w:val="32"/>
          <w:szCs w:val="32"/>
        </w:rPr>
        <w:t xml:space="preserve">资金。 </w:t>
      </w:r>
    </w:p>
    <w:p>
      <w:pPr>
        <w:autoSpaceDN w:val="0"/>
        <w:spacing w:line="520" w:lineRule="exact"/>
        <w:ind w:firstLine="600" w:firstLineChars="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 xml:space="preserve">    </w:t>
      </w:r>
      <w:r>
        <w:rPr>
          <w:rFonts w:hint="default" w:ascii="Times New Roman" w:hAnsi="Times New Roman" w:eastAsia="方正仿宋_GBK" w:cs="Times New Roman"/>
          <w:color w:val="auto"/>
          <w:sz w:val="32"/>
          <w:szCs w:val="32"/>
          <w:lang w:val="en-US" w:eastAsia="zh-CN"/>
        </w:rPr>
        <w:t xml:space="preserve">              </w:t>
      </w:r>
    </w:p>
    <w:p>
      <w:pPr>
        <w:autoSpaceDN w:val="0"/>
        <w:spacing w:line="520" w:lineRule="exact"/>
        <w:ind w:firstLine="600" w:firstLineChars="0"/>
        <w:rPr>
          <w:rFonts w:hint="default" w:ascii="Times New Roman" w:hAnsi="Times New Roman" w:eastAsia="方正仿宋_GBK" w:cs="Times New Roman"/>
          <w:color w:val="auto"/>
          <w:sz w:val="32"/>
          <w:szCs w:val="32"/>
          <w:lang w:val="en-US" w:eastAsia="zh-CN"/>
        </w:rPr>
      </w:pPr>
    </w:p>
    <w:p>
      <w:pPr>
        <w:autoSpaceDN w:val="0"/>
        <w:spacing w:line="520" w:lineRule="exact"/>
        <w:ind w:firstLine="600" w:firstLineChars="0"/>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 xml:space="preserve"> 企 业（盖  章）：</w:t>
      </w:r>
    </w:p>
    <w:p>
      <w:pPr>
        <w:autoSpaceDN w:val="0"/>
        <w:spacing w:line="520" w:lineRule="exact"/>
        <w:ind w:firstLine="6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法定代表人签名：</w:t>
      </w:r>
    </w:p>
    <w:p>
      <w:pPr>
        <w:spacing w:line="520" w:lineRule="exact"/>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日  期：  </w:t>
      </w:r>
    </w:p>
    <w:p>
      <w:pPr>
        <w:spacing w:line="520" w:lineRule="exact"/>
        <w:rPr>
          <w:rFonts w:hint="eastAsia" w:ascii="方正黑体_GBK" w:hAnsi="方正黑体_GBK" w:eastAsia="方正黑体_GBK" w:cs="方正黑体_GBK"/>
          <w:color w:val="auto"/>
          <w:sz w:val="32"/>
          <w:szCs w:val="32"/>
          <w:lang w:val="en-US" w:eastAsia="zh-CN"/>
        </w:rPr>
      </w:pPr>
    </w:p>
    <w:p>
      <w:pPr>
        <w:spacing w:line="560" w:lineRule="exact"/>
        <w:jc w:val="center"/>
        <w:rPr>
          <w:rFonts w:hint="eastAsia" w:ascii="方正小标宋_GBK" w:hAnsi="方正小标宋_GBK" w:eastAsia="方正小标宋_GBK" w:cs="方正小标宋_GBK"/>
          <w:color w:val="auto"/>
          <w:sz w:val="36"/>
          <w:szCs w:val="36"/>
          <w:lang w:val="en-US" w:eastAsia="zh-CN"/>
        </w:rPr>
      </w:pPr>
    </w:p>
    <w:p>
      <w:pPr>
        <w:spacing w:line="560" w:lineRule="exact"/>
        <w:jc w:val="center"/>
        <w:rPr>
          <w:rFonts w:hint="eastAsia" w:ascii="方正小标宋_GBK" w:hAnsi="方正小标宋_GBK" w:eastAsia="方正小标宋_GBK" w:cs="方正小标宋_GBK"/>
          <w:color w:val="auto"/>
          <w:sz w:val="36"/>
          <w:szCs w:val="36"/>
          <w:lang w:val="en-US" w:eastAsia="zh-CN"/>
        </w:rPr>
      </w:pPr>
      <w:r>
        <w:rPr>
          <w:rFonts w:hint="eastAsia" w:ascii="方正小标宋_GBK" w:hAnsi="方正小标宋_GBK" w:eastAsia="方正小标宋_GBK" w:cs="方正小标宋_GBK"/>
          <w:color w:val="auto"/>
          <w:sz w:val="36"/>
          <w:szCs w:val="36"/>
          <w:lang w:val="en-US" w:eastAsia="zh-CN"/>
        </w:rPr>
        <w:t>2023</w:t>
      </w:r>
      <w:r>
        <w:rPr>
          <w:rFonts w:hint="eastAsia" w:ascii="方正小标宋_GBK" w:hAnsi="方正小标宋_GBK" w:eastAsia="方正小标宋_GBK" w:cs="方正小标宋_GBK"/>
          <w:color w:val="auto"/>
          <w:sz w:val="36"/>
          <w:szCs w:val="36"/>
          <w:lang w:val="en" w:eastAsia="zh-CN"/>
        </w:rPr>
        <w:t>年</w:t>
      </w:r>
      <w:r>
        <w:rPr>
          <w:rFonts w:hint="eastAsia" w:ascii="Times New Roman" w:hAnsi="Times New Roman" w:eastAsia="方正小标宋简体" w:cs="Times New Roman"/>
          <w:color w:val="auto"/>
          <w:kern w:val="0"/>
          <w:sz w:val="36"/>
          <w:szCs w:val="36"/>
          <w:lang w:eastAsia="zh-CN"/>
        </w:rPr>
        <w:t>博罗县</w:t>
      </w:r>
      <w:r>
        <w:rPr>
          <w:rFonts w:hint="default" w:ascii="Times New Roman" w:hAnsi="Times New Roman" w:eastAsia="方正小标宋简体" w:cs="Times New Roman"/>
          <w:color w:val="auto"/>
          <w:kern w:val="0"/>
          <w:sz w:val="36"/>
          <w:szCs w:val="36"/>
        </w:rPr>
        <w:t>“企业上云</w:t>
      </w:r>
      <w:r>
        <w:rPr>
          <w:rFonts w:hint="default" w:ascii="Times New Roman" w:hAnsi="Times New Roman" w:eastAsia="方正小标宋简体" w:cs="Times New Roman"/>
          <w:color w:val="auto"/>
          <w:kern w:val="0"/>
          <w:sz w:val="36"/>
          <w:szCs w:val="36"/>
          <w:lang w:val="en-US" w:eastAsia="zh-CN"/>
        </w:rPr>
        <w:t>上平台</w:t>
      </w:r>
      <w:r>
        <w:rPr>
          <w:rFonts w:hint="default" w:ascii="Times New Roman" w:hAnsi="Times New Roman" w:eastAsia="方正小标宋简体" w:cs="Times New Roman"/>
          <w:color w:val="auto"/>
          <w:kern w:val="0"/>
          <w:sz w:val="36"/>
          <w:szCs w:val="36"/>
        </w:rPr>
        <w:t>”</w:t>
      </w:r>
      <w:r>
        <w:rPr>
          <w:rFonts w:hint="default" w:ascii="Times New Roman" w:hAnsi="Times New Roman" w:eastAsia="方正小标宋简体" w:cs="Times New Roman"/>
          <w:color w:val="auto"/>
          <w:kern w:val="0"/>
          <w:sz w:val="36"/>
          <w:szCs w:val="36"/>
          <w:lang w:val="en-US" w:eastAsia="zh-CN"/>
        </w:rPr>
        <w:t>奖补</w:t>
      </w:r>
      <w:r>
        <w:rPr>
          <w:rFonts w:hint="default" w:ascii="Times New Roman" w:hAnsi="Times New Roman" w:eastAsia="方正小标宋简体" w:cs="Times New Roman"/>
          <w:color w:val="auto"/>
          <w:kern w:val="0"/>
          <w:sz w:val="36"/>
          <w:szCs w:val="36"/>
        </w:rPr>
        <w:t>资金</w:t>
      </w:r>
      <w:r>
        <w:rPr>
          <w:rFonts w:hint="eastAsia" w:ascii="方正小标宋_GBK" w:hAnsi="方正小标宋_GBK" w:eastAsia="方正小标宋_GBK" w:cs="方正小标宋_GBK"/>
          <w:color w:val="auto"/>
          <w:sz w:val="36"/>
          <w:szCs w:val="36"/>
          <w:lang w:val="en-US" w:eastAsia="zh-CN"/>
        </w:rPr>
        <w:t>***项目</w:t>
      </w:r>
    </w:p>
    <w:p>
      <w:pPr>
        <w:spacing w:line="560" w:lineRule="exact"/>
        <w:jc w:val="center"/>
        <w:rPr>
          <w:rFonts w:hint="eastAsia" w:ascii="方正小标宋_GBK" w:hAnsi="方正小标宋_GBK" w:eastAsia="方正小标宋_GBK" w:cs="方正小标宋_GBK"/>
          <w:color w:val="auto"/>
          <w:sz w:val="36"/>
          <w:szCs w:val="36"/>
          <w:lang w:val="en-US" w:eastAsia="zh-CN"/>
        </w:rPr>
      </w:pPr>
      <w:r>
        <w:rPr>
          <w:rFonts w:hint="eastAsia" w:ascii="方正小标宋_GBK" w:hAnsi="方正小标宋_GBK" w:eastAsia="方正小标宋_GBK" w:cs="方正小标宋_GBK"/>
          <w:color w:val="auto"/>
          <w:sz w:val="36"/>
          <w:szCs w:val="36"/>
          <w:lang w:val="en-US" w:eastAsia="zh-CN"/>
        </w:rPr>
        <w:t>节能审查情况说明</w:t>
      </w:r>
    </w:p>
    <w:p>
      <w:pPr>
        <w:spacing w:line="560" w:lineRule="exact"/>
        <w:jc w:val="both"/>
        <w:rPr>
          <w:rFonts w:hint="default" w:ascii="Times New Roman" w:hAnsi="Times New Roman" w:eastAsia="方正仿宋_GBK" w:cs="Times New Roman"/>
          <w:color w:val="auto"/>
          <w:sz w:val="32"/>
          <w:szCs w:val="32"/>
          <w:lang w:val="en-US" w:eastAsia="zh-CN"/>
        </w:rPr>
      </w:pPr>
    </w:p>
    <w:p>
      <w:pPr>
        <w:spacing w:line="560" w:lineRule="exact"/>
        <w:jc w:val="both"/>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博罗县科技工业和信息化局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我司</w:t>
      </w:r>
      <w:r>
        <w:rPr>
          <w:rFonts w:hint="default" w:ascii="Times New Roman" w:hAnsi="Times New Roman" w:eastAsia="方正仿宋_GBK" w:cs="Times New Roman"/>
          <w:color w:val="auto"/>
          <w:sz w:val="32"/>
          <w:szCs w:val="32"/>
          <w:lang w:val="en"/>
        </w:rPr>
        <w:t>***</w:t>
      </w:r>
      <w:r>
        <w:rPr>
          <w:rFonts w:hint="default" w:ascii="Times New Roman" w:hAnsi="Times New Roman" w:eastAsia="方正仿宋_GBK" w:cs="Times New Roman"/>
          <w:color w:val="auto"/>
          <w:sz w:val="32"/>
          <w:szCs w:val="32"/>
          <w:lang w:val="en" w:eastAsia="zh-CN"/>
        </w:rPr>
        <w:t>年</w:t>
      </w:r>
      <w:r>
        <w:rPr>
          <w:rFonts w:hint="default" w:ascii="Times New Roman" w:hAnsi="Times New Roman" w:eastAsia="方正仿宋_GBK" w:cs="Times New Roman"/>
          <w:color w:val="auto"/>
          <w:sz w:val="32"/>
          <w:szCs w:val="32"/>
          <w:lang w:val="en-US" w:eastAsia="zh-CN"/>
        </w:rPr>
        <w:t>***资金***项目，按照《固定资产投资项目节能审查办法》第六条和《广东省固定资产投资项目节能审查实施办法》第七条，我司项目属于年综合能源消费量不满1000吨标准煤</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且年电力消费量不满500万千瓦的项目</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故不单独开展节能审查。现提供相关不足能耗分析的具体数据说明材料。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项目能耗：本次项目涉及的设备清单见表，年耗能电力为***万千瓦时，未达到500万千瓦时标准。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项目涉及设备及能耗计算表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980"/>
        <w:gridCol w:w="1855"/>
        <w:gridCol w:w="1176"/>
        <w:gridCol w:w="936"/>
        <w:gridCol w:w="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设备名称</w:t>
            </w:r>
          </w:p>
        </w:tc>
        <w:tc>
          <w:tcPr>
            <w:tcW w:w="980"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型号</w:t>
            </w:r>
          </w:p>
        </w:tc>
        <w:tc>
          <w:tcPr>
            <w:tcW w:w="1855"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功率</w:t>
            </w:r>
            <w:r>
              <w:rPr>
                <w:rFonts w:hint="eastAsia" w:ascii="Times New Roman" w:hAnsi="Times New Roman" w:eastAsia="方正仿宋_GBK" w:cs="Times New Roman"/>
                <w:color w:val="auto"/>
                <w:sz w:val="24"/>
                <w:szCs w:val="24"/>
                <w:vertAlign w:val="baseline"/>
                <w:lang w:val="en-US" w:eastAsia="zh-CN"/>
              </w:rPr>
              <w:t>（KW或吨）</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工作时长</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年能耗</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vertAlign w:val="baseline"/>
                <w:lang w:val="en-US" w:eastAsia="zh-CN"/>
              </w:rPr>
            </w:pPr>
            <w:r>
              <w:rPr>
                <w:rFonts w:hint="eastAsia" w:ascii="Times New Roman" w:hAnsi="Times New Roman" w:eastAsia="方正仿宋_GBK" w:cs="Times New Roman"/>
                <w:color w:val="auto"/>
                <w:sz w:val="32"/>
                <w:szCs w:val="32"/>
                <w:vertAlign w:val="baseline"/>
                <w:lang w:val="en-US" w:eastAsia="zh-CN"/>
              </w:rPr>
              <w:t>……</w:t>
            </w:r>
          </w:p>
        </w:tc>
        <w:tc>
          <w:tcPr>
            <w:tcW w:w="980"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vertAlign w:val="baseline"/>
                <w:lang w:val="en-US" w:eastAsia="zh-CN"/>
              </w:rPr>
            </w:pPr>
          </w:p>
        </w:tc>
        <w:tc>
          <w:tcPr>
            <w:tcW w:w="1855"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年能耗合计总量</w:t>
            </w:r>
          </w:p>
        </w:tc>
        <w:tc>
          <w:tcPr>
            <w:tcW w:w="980"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方正仿宋_GBK" w:cs="Times New Roman"/>
                <w:color w:val="auto"/>
                <w:sz w:val="24"/>
                <w:szCs w:val="24"/>
                <w:vertAlign w:val="baseline"/>
                <w:lang w:val="en-US" w:eastAsia="zh-CN"/>
              </w:rPr>
            </w:pPr>
          </w:p>
        </w:tc>
        <w:tc>
          <w:tcPr>
            <w:tcW w:w="1855"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方正仿宋_GBK" w:cs="Times New Roman"/>
                <w:color w:val="auto"/>
                <w:sz w:val="24"/>
                <w:szCs w:val="24"/>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方正仿宋_GBK" w:cs="Times New Roman"/>
                <w:color w:val="auto"/>
                <w:sz w:val="24"/>
                <w:szCs w:val="24"/>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方正仿宋_GBK" w:cs="Times New Roman"/>
                <w:color w:val="auto"/>
                <w:sz w:val="24"/>
                <w:szCs w:val="24"/>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方正仿宋_GBK" w:cs="Times New Roman"/>
                <w:color w:val="auto"/>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方正仿宋_GBK" w:cs="Times New Roman"/>
          <w:color w:val="auto"/>
          <w:sz w:val="28"/>
          <w:szCs w:val="28"/>
          <w:lang w:val="en-US" w:eastAsia="zh-CN"/>
        </w:rPr>
      </w:pPr>
      <w:r>
        <w:rPr>
          <w:rFonts w:hint="default" w:ascii="Times New Roman" w:hAnsi="Times New Roman" w:eastAsia="方正仿宋_GBK" w:cs="Times New Roman"/>
          <w:color w:val="auto"/>
          <w:sz w:val="28"/>
          <w:szCs w:val="28"/>
          <w:lang w:val="en-US" w:eastAsia="zh-CN"/>
        </w:rPr>
        <w:t>除以上设备外，本次项目涉及的其他为***，未涉及能耗。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我司郑重承诺，以上数据属实，如有不真实或不诚信行为，</w:t>
      </w:r>
      <w:r>
        <w:rPr>
          <w:rFonts w:hint="eastAsia" w:ascii="Times New Roman" w:hAnsi="Times New Roman" w:eastAsia="方正仿宋_GBK" w:cs="Times New Roman"/>
          <w:color w:val="auto"/>
          <w:sz w:val="32"/>
          <w:szCs w:val="32"/>
          <w:lang w:val="en-US" w:eastAsia="zh-CN"/>
        </w:rPr>
        <w:t>愿</w:t>
      </w:r>
      <w:r>
        <w:rPr>
          <w:rFonts w:hint="default" w:ascii="Times New Roman" w:hAnsi="Times New Roman" w:eastAsia="方正仿宋_GBK" w:cs="Times New Roman"/>
          <w:color w:val="auto"/>
          <w:sz w:val="32"/>
          <w:szCs w:val="32"/>
          <w:lang w:val="en-US" w:eastAsia="zh-CN"/>
        </w:rPr>
        <w:t>自行承担由此引发的全部责任，并退回全部项目扶持资金。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（单位盖章）                            ***年***月***日</w:t>
      </w:r>
    </w:p>
    <w:p>
      <w:pPr>
        <w:rPr>
          <w:rFonts w:hint="default" w:ascii="楷体_GB2312" w:hAnsi="楷体_GB2312" w:eastAsia="楷体_GB2312" w:cs="楷体_GB2312"/>
          <w:color w:val="auto"/>
          <w:kern w:val="0"/>
          <w:sz w:val="28"/>
          <w:szCs w:val="28"/>
          <w:lang w:val="en-US" w:eastAsia="zh-CN"/>
        </w:rPr>
        <w:sectPr>
          <w:pgSz w:w="11906" w:h="16838"/>
          <w:pgMar w:top="1440" w:right="1803" w:bottom="1440" w:left="1803" w:header="851" w:footer="992" w:gutter="0"/>
          <w:cols w:space="0" w:num="1"/>
          <w:rtlGutter w:val="0"/>
          <w:docGrid w:type="lines" w:linePitch="319" w:charSpace="0"/>
        </w:sectPr>
      </w:pPr>
    </w:p>
    <w:p>
      <w:pPr>
        <w:pStyle w:val="2"/>
        <w:jc w:val="left"/>
        <w:rPr>
          <w:rFonts w:hint="eastAsia"/>
          <w:color w:val="auto"/>
          <w:lang w:val="en-US" w:eastAsia="zh-CN"/>
        </w:rPr>
      </w:pPr>
      <w:r>
        <w:rPr>
          <w:rFonts w:hint="eastAsia" w:ascii="方正黑体_GBK" w:hAnsi="方正黑体_GBK" w:eastAsia="方正黑体_GBK" w:cs="方正黑体_GBK"/>
          <w:b w:val="0"/>
          <w:bCs/>
          <w:color w:val="auto"/>
          <w:kern w:val="2"/>
          <w:sz w:val="32"/>
          <w:szCs w:val="32"/>
          <w:lang w:val="en-US" w:eastAsia="zh-CN" w:bidi="ar-SA"/>
        </w:rPr>
        <w:t>附件3：</w:t>
      </w:r>
    </w:p>
    <w:p>
      <w:pPr>
        <w:pStyle w:val="2"/>
        <w:spacing w:afterLines="50" w:line="480" w:lineRule="exact"/>
        <w:jc w:val="center"/>
        <w:rPr>
          <w:rFonts w:eastAsia="方正小标宋简体"/>
          <w:b/>
          <w:color w:val="auto"/>
          <w:kern w:val="0"/>
          <w:sz w:val="44"/>
          <w:szCs w:val="44"/>
          <w:lang w:bidi="ar"/>
        </w:rPr>
      </w:pPr>
      <w:r>
        <w:rPr>
          <w:rFonts w:hint="eastAsia" w:ascii="方正小标宋简体" w:hAnsi="方正小标宋简体" w:eastAsia="方正小标宋简体" w:cs="方正小标宋简体"/>
          <w:b/>
          <w:color w:val="auto"/>
          <w:kern w:val="0"/>
          <w:sz w:val="44"/>
          <w:szCs w:val="44"/>
          <w:lang w:eastAsia="zh-CN" w:bidi="ar"/>
        </w:rPr>
        <w:t>博罗县</w:t>
      </w:r>
      <w:r>
        <w:rPr>
          <w:rFonts w:hint="eastAsia" w:ascii="方正小标宋简体" w:hAnsi="方正小标宋简体" w:eastAsia="方正小标宋简体" w:cs="方正小标宋简体"/>
          <w:b/>
          <w:color w:val="auto"/>
          <w:kern w:val="0"/>
          <w:sz w:val="44"/>
          <w:szCs w:val="44"/>
          <w:lang w:bidi="ar"/>
        </w:rPr>
        <w:t>企业上云上平台应用产品目录</w:t>
      </w:r>
      <w:r>
        <w:rPr>
          <w:rFonts w:eastAsia="方正小标宋简体"/>
          <w:b/>
          <w:color w:val="auto"/>
          <w:kern w:val="0"/>
          <w:sz w:val="44"/>
          <w:szCs w:val="44"/>
          <w:lang w:bidi="ar"/>
        </w:rPr>
        <w:t>（20</w:t>
      </w:r>
      <w:r>
        <w:rPr>
          <w:rFonts w:hint="eastAsia" w:eastAsia="方正小标宋简体"/>
          <w:b/>
          <w:color w:val="auto"/>
          <w:kern w:val="0"/>
          <w:sz w:val="44"/>
          <w:szCs w:val="44"/>
          <w:lang w:val="en-US" w:eastAsia="zh-CN" w:bidi="ar"/>
        </w:rPr>
        <w:t>22</w:t>
      </w:r>
      <w:r>
        <w:rPr>
          <w:rFonts w:eastAsia="方正小标宋简体"/>
          <w:b/>
          <w:color w:val="auto"/>
          <w:kern w:val="0"/>
          <w:sz w:val="44"/>
          <w:szCs w:val="44"/>
          <w:lang w:bidi="ar"/>
        </w:rPr>
        <w:t>版）</w:t>
      </w:r>
    </w:p>
    <w:tbl>
      <w:tblPr>
        <w:tblStyle w:val="5"/>
        <w:tblW w:w="14066"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6"/>
        <w:gridCol w:w="776"/>
        <w:gridCol w:w="1722"/>
        <w:gridCol w:w="5065"/>
        <w:gridCol w:w="3708"/>
        <w:gridCol w:w="993"/>
        <w:gridCol w:w="11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atLeast"/>
          <w:tblHeader/>
        </w:trPr>
        <w:tc>
          <w:tcPr>
            <w:tcW w:w="636" w:type="dxa"/>
            <w:tcBorders>
              <w:tl2br w:val="nil"/>
              <w:tr2bl w:val="nil"/>
            </w:tcBorders>
            <w:noWrap w:val="0"/>
            <w:vAlign w:val="center"/>
          </w:tcPr>
          <w:p>
            <w:pPr>
              <w:pStyle w:val="2"/>
              <w:jc w:val="center"/>
              <w:rPr>
                <w:rFonts w:ascii="宋体" w:hAnsi="宋体" w:cs="宋体"/>
                <w:b/>
                <w:color w:val="auto"/>
                <w:szCs w:val="21"/>
              </w:rPr>
            </w:pPr>
            <w:r>
              <w:rPr>
                <w:rFonts w:hint="eastAsia" w:ascii="宋体" w:hAnsi="宋体" w:cs="宋体"/>
                <w:b/>
                <w:color w:val="auto"/>
                <w:szCs w:val="21"/>
              </w:rPr>
              <w:t>序号</w:t>
            </w:r>
          </w:p>
        </w:tc>
        <w:tc>
          <w:tcPr>
            <w:tcW w:w="776" w:type="dxa"/>
            <w:tcBorders>
              <w:tl2br w:val="nil"/>
              <w:tr2bl w:val="nil"/>
            </w:tcBorders>
            <w:noWrap w:val="0"/>
            <w:vAlign w:val="center"/>
          </w:tcPr>
          <w:p>
            <w:pPr>
              <w:pStyle w:val="2"/>
              <w:jc w:val="center"/>
              <w:rPr>
                <w:rFonts w:ascii="宋体" w:hAnsi="宋体" w:cs="宋体"/>
                <w:b/>
                <w:color w:val="auto"/>
                <w:szCs w:val="21"/>
              </w:rPr>
            </w:pPr>
            <w:r>
              <w:rPr>
                <w:rFonts w:hint="eastAsia" w:ascii="宋体" w:hAnsi="宋体" w:cs="宋体"/>
                <w:b/>
                <w:color w:val="auto"/>
                <w:szCs w:val="21"/>
              </w:rPr>
              <w:t>一级目录</w:t>
            </w:r>
          </w:p>
        </w:tc>
        <w:tc>
          <w:tcPr>
            <w:tcW w:w="1722" w:type="dxa"/>
            <w:tcBorders>
              <w:tl2br w:val="nil"/>
              <w:tr2bl w:val="nil"/>
            </w:tcBorders>
            <w:noWrap w:val="0"/>
            <w:vAlign w:val="center"/>
          </w:tcPr>
          <w:p>
            <w:pPr>
              <w:pStyle w:val="2"/>
              <w:jc w:val="center"/>
              <w:rPr>
                <w:rFonts w:ascii="宋体" w:hAnsi="宋体" w:cs="宋体"/>
                <w:b/>
                <w:color w:val="auto"/>
                <w:szCs w:val="21"/>
              </w:rPr>
            </w:pPr>
            <w:r>
              <w:rPr>
                <w:rFonts w:hint="eastAsia" w:ascii="宋体" w:hAnsi="宋体" w:cs="宋体"/>
                <w:b/>
                <w:color w:val="auto"/>
                <w:szCs w:val="21"/>
              </w:rPr>
              <w:t>二级目录</w:t>
            </w:r>
          </w:p>
        </w:tc>
        <w:tc>
          <w:tcPr>
            <w:tcW w:w="5065" w:type="dxa"/>
            <w:tcBorders>
              <w:tl2br w:val="nil"/>
              <w:tr2bl w:val="nil"/>
            </w:tcBorders>
            <w:noWrap w:val="0"/>
            <w:vAlign w:val="center"/>
          </w:tcPr>
          <w:p>
            <w:pPr>
              <w:pStyle w:val="2"/>
              <w:jc w:val="center"/>
              <w:rPr>
                <w:rFonts w:ascii="宋体" w:hAnsi="宋体" w:cs="宋体"/>
                <w:b/>
                <w:color w:val="auto"/>
                <w:szCs w:val="21"/>
              </w:rPr>
            </w:pPr>
            <w:r>
              <w:rPr>
                <w:rFonts w:hint="eastAsia" w:ascii="宋体" w:hAnsi="宋体" w:cs="宋体"/>
                <w:b/>
                <w:color w:val="auto"/>
                <w:szCs w:val="21"/>
              </w:rPr>
              <w:t>主要应用场景</w:t>
            </w:r>
          </w:p>
        </w:tc>
        <w:tc>
          <w:tcPr>
            <w:tcW w:w="3708" w:type="dxa"/>
            <w:tcBorders>
              <w:tl2br w:val="nil"/>
              <w:tr2bl w:val="nil"/>
            </w:tcBorders>
            <w:noWrap w:val="0"/>
            <w:vAlign w:val="center"/>
          </w:tcPr>
          <w:p>
            <w:pPr>
              <w:pStyle w:val="2"/>
              <w:jc w:val="center"/>
              <w:rPr>
                <w:rFonts w:ascii="宋体" w:hAnsi="宋体" w:cs="宋体"/>
                <w:b/>
                <w:color w:val="auto"/>
                <w:szCs w:val="21"/>
              </w:rPr>
            </w:pPr>
            <w:r>
              <w:rPr>
                <w:rFonts w:hint="eastAsia" w:ascii="宋体" w:hAnsi="宋体" w:cs="宋体"/>
                <w:b/>
                <w:color w:val="auto"/>
                <w:szCs w:val="21"/>
              </w:rPr>
              <w:t>主要功能模块</w:t>
            </w:r>
          </w:p>
        </w:tc>
        <w:tc>
          <w:tcPr>
            <w:tcW w:w="993" w:type="dxa"/>
            <w:tcBorders>
              <w:tl2br w:val="nil"/>
              <w:tr2bl w:val="nil"/>
            </w:tcBorders>
            <w:noWrap w:val="0"/>
            <w:vAlign w:val="center"/>
          </w:tcPr>
          <w:p>
            <w:pPr>
              <w:pStyle w:val="2"/>
              <w:jc w:val="center"/>
              <w:rPr>
                <w:rFonts w:ascii="宋体" w:hAnsi="宋体" w:cs="宋体"/>
                <w:b/>
                <w:color w:val="auto"/>
                <w:szCs w:val="21"/>
              </w:rPr>
            </w:pPr>
            <w:r>
              <w:rPr>
                <w:rFonts w:hint="eastAsia" w:ascii="宋体" w:hAnsi="宋体" w:cs="宋体"/>
                <w:b/>
                <w:color w:val="auto"/>
                <w:szCs w:val="21"/>
              </w:rPr>
              <w:t>奖补</w:t>
            </w:r>
            <w:r>
              <w:rPr>
                <w:rFonts w:ascii="宋体" w:hAnsi="宋体" w:cs="宋体"/>
                <w:b/>
                <w:color w:val="auto"/>
                <w:szCs w:val="21"/>
              </w:rPr>
              <w:br w:type="textWrapping"/>
            </w:r>
            <w:r>
              <w:rPr>
                <w:rFonts w:hint="eastAsia" w:ascii="宋体" w:hAnsi="宋体" w:cs="宋体"/>
                <w:b/>
                <w:color w:val="auto"/>
                <w:szCs w:val="21"/>
              </w:rPr>
              <w:t>上限</w:t>
            </w:r>
          </w:p>
        </w:tc>
        <w:tc>
          <w:tcPr>
            <w:tcW w:w="1166" w:type="dxa"/>
            <w:tcBorders>
              <w:tl2br w:val="nil"/>
              <w:tr2bl w:val="nil"/>
            </w:tcBorders>
            <w:noWrap w:val="0"/>
            <w:vAlign w:val="center"/>
          </w:tcPr>
          <w:p>
            <w:pPr>
              <w:pStyle w:val="2"/>
              <w:jc w:val="center"/>
              <w:rPr>
                <w:rFonts w:ascii="宋体" w:hAnsi="宋体" w:cs="宋体"/>
                <w:b/>
                <w:color w:val="auto"/>
                <w:szCs w:val="21"/>
              </w:rPr>
            </w:pPr>
            <w:r>
              <w:rPr>
                <w:rFonts w:hint="eastAsia" w:ascii="宋体" w:hAnsi="宋体" w:cs="宋体"/>
                <w:b/>
                <w:color w:val="auto"/>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15" w:hRule="atLeast"/>
          <w:tblHeader/>
        </w:trPr>
        <w:tc>
          <w:tcPr>
            <w:tcW w:w="636" w:type="dxa"/>
            <w:tcBorders>
              <w:tl2br w:val="nil"/>
              <w:tr2bl w:val="nil"/>
            </w:tcBorders>
            <w:noWrap w:val="0"/>
            <w:vAlign w:val="center"/>
          </w:tcPr>
          <w:p>
            <w:pPr>
              <w:pStyle w:val="2"/>
              <w:jc w:val="center"/>
              <w:rPr>
                <w:color w:val="auto"/>
                <w:szCs w:val="21"/>
              </w:rPr>
            </w:pPr>
            <w:r>
              <w:rPr>
                <w:color w:val="auto"/>
                <w:szCs w:val="21"/>
              </w:rPr>
              <w:t>1</w:t>
            </w:r>
          </w:p>
        </w:tc>
        <w:tc>
          <w:tcPr>
            <w:tcW w:w="776" w:type="dxa"/>
            <w:vMerge w:val="restart"/>
            <w:tcBorders>
              <w:tl2br w:val="nil"/>
              <w:tr2bl w:val="nil"/>
            </w:tcBorders>
            <w:noWrap w:val="0"/>
            <w:vAlign w:val="center"/>
          </w:tcPr>
          <w:p>
            <w:pPr>
              <w:pStyle w:val="2"/>
              <w:jc w:val="center"/>
              <w:rPr>
                <w:color w:val="auto"/>
                <w:szCs w:val="21"/>
              </w:rPr>
            </w:pPr>
            <w:r>
              <w:rPr>
                <w:color w:val="auto"/>
                <w:szCs w:val="21"/>
              </w:rPr>
              <w:t>研发设计</w:t>
            </w:r>
          </w:p>
        </w:tc>
        <w:tc>
          <w:tcPr>
            <w:tcW w:w="1722" w:type="dxa"/>
            <w:tcBorders>
              <w:tl2br w:val="nil"/>
              <w:tr2bl w:val="nil"/>
            </w:tcBorders>
            <w:noWrap w:val="0"/>
            <w:vAlign w:val="center"/>
          </w:tcPr>
          <w:p>
            <w:pPr>
              <w:pStyle w:val="2"/>
              <w:jc w:val="center"/>
              <w:rPr>
                <w:color w:val="auto"/>
                <w:szCs w:val="21"/>
              </w:rPr>
            </w:pPr>
            <w:r>
              <w:rPr>
                <w:rFonts w:hint="eastAsia"/>
                <w:color w:val="auto"/>
                <w:szCs w:val="21"/>
              </w:rPr>
              <w:t>通用</w:t>
            </w:r>
            <w:r>
              <w:rPr>
                <w:color w:val="auto"/>
                <w:szCs w:val="21"/>
              </w:rPr>
              <w:t>设计工具</w:t>
            </w:r>
          </w:p>
        </w:tc>
        <w:tc>
          <w:tcPr>
            <w:tcW w:w="5065" w:type="dxa"/>
            <w:tcBorders>
              <w:tl2br w:val="nil"/>
              <w:tr2bl w:val="nil"/>
            </w:tcBorders>
            <w:noWrap w:val="0"/>
            <w:vAlign w:val="center"/>
          </w:tcPr>
          <w:p>
            <w:pPr>
              <w:pStyle w:val="2"/>
              <w:rPr>
                <w:color w:val="auto"/>
                <w:szCs w:val="21"/>
              </w:rPr>
            </w:pPr>
            <w:r>
              <w:rPr>
                <w:color w:val="auto"/>
                <w:szCs w:val="21"/>
              </w:rPr>
              <w:t>面向电气、机械等领域二维、三维及功能建模、绘图等设计需求，改善传统纸质设计图文档带来的协同度低、研发数据不一致等问题，运用云端计算资源提高企业设计效率、减轻设计人员的劳动强度、支持设计方案优化和质量问题追溯、提升企业设计标准化水平。</w:t>
            </w:r>
          </w:p>
        </w:tc>
        <w:tc>
          <w:tcPr>
            <w:tcW w:w="3708" w:type="dxa"/>
            <w:tcBorders>
              <w:tl2br w:val="nil"/>
              <w:tr2bl w:val="nil"/>
            </w:tcBorders>
            <w:noWrap w:val="0"/>
            <w:vAlign w:val="center"/>
          </w:tcPr>
          <w:p>
            <w:pPr>
              <w:pStyle w:val="2"/>
              <w:rPr>
                <w:color w:val="auto"/>
                <w:szCs w:val="21"/>
              </w:rPr>
            </w:pPr>
            <w:r>
              <w:rPr>
                <w:color w:val="auto"/>
                <w:szCs w:val="21"/>
              </w:rPr>
              <w:t>配备电气、机械标准件库，支持企业自制库；云上二维、三维等建模绘图，项目组多人远程协同设计；云上CAD图文档管理及安全权限设置。</w:t>
            </w:r>
          </w:p>
        </w:tc>
        <w:tc>
          <w:tcPr>
            <w:tcW w:w="993" w:type="dxa"/>
            <w:tcBorders>
              <w:tl2br w:val="nil"/>
              <w:tr2bl w:val="nil"/>
            </w:tcBorders>
            <w:noWrap w:val="0"/>
            <w:vAlign w:val="center"/>
          </w:tcPr>
          <w:p>
            <w:pPr>
              <w:pStyle w:val="2"/>
              <w:jc w:val="center"/>
              <w:rPr>
                <w:color w:val="auto"/>
                <w:szCs w:val="21"/>
              </w:rPr>
            </w:pPr>
            <w:r>
              <w:rPr>
                <w:rFonts w:hint="eastAsia"/>
                <w:color w:val="auto"/>
                <w:szCs w:val="21"/>
                <w:lang w:val="en-US" w:eastAsia="zh-CN"/>
              </w:rPr>
              <w:t>5</w:t>
            </w:r>
            <w:r>
              <w:rPr>
                <w:color w:val="auto"/>
                <w:szCs w:val="21"/>
              </w:rPr>
              <w:t>万元</w:t>
            </w:r>
          </w:p>
        </w:tc>
        <w:tc>
          <w:tcPr>
            <w:tcW w:w="1166" w:type="dxa"/>
            <w:tcBorders>
              <w:tl2br w:val="nil"/>
              <w:tr2bl w:val="nil"/>
            </w:tcBorders>
            <w:noWrap w:val="0"/>
            <w:vAlign w:val="center"/>
          </w:tcPr>
          <w:p>
            <w:pPr>
              <w:pStyle w:val="2"/>
              <w:rPr>
                <w:color w:val="auto"/>
                <w:szCs w:val="21"/>
              </w:rPr>
            </w:pPr>
            <w:r>
              <w:rPr>
                <w:color w:val="auto"/>
                <w:szCs w:val="21"/>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636" w:type="dxa"/>
            <w:tcBorders>
              <w:tl2br w:val="nil"/>
              <w:tr2bl w:val="nil"/>
            </w:tcBorders>
            <w:noWrap w:val="0"/>
            <w:vAlign w:val="center"/>
          </w:tcPr>
          <w:p>
            <w:pPr>
              <w:pStyle w:val="2"/>
              <w:jc w:val="center"/>
              <w:rPr>
                <w:color w:val="auto"/>
                <w:szCs w:val="21"/>
              </w:rPr>
            </w:pPr>
            <w:r>
              <w:rPr>
                <w:color w:val="auto"/>
                <w:szCs w:val="21"/>
              </w:rPr>
              <w:t>2</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行业仿真工具（CAE）</w:t>
            </w:r>
          </w:p>
        </w:tc>
        <w:tc>
          <w:tcPr>
            <w:tcW w:w="5065" w:type="dxa"/>
            <w:tcBorders>
              <w:tl2br w:val="nil"/>
              <w:tr2bl w:val="nil"/>
            </w:tcBorders>
            <w:noWrap w:val="0"/>
            <w:vAlign w:val="center"/>
          </w:tcPr>
          <w:p>
            <w:pPr>
              <w:pStyle w:val="2"/>
              <w:rPr>
                <w:rFonts w:hint="eastAsia"/>
                <w:color w:val="auto"/>
                <w:szCs w:val="21"/>
              </w:rPr>
            </w:pPr>
            <w:r>
              <w:rPr>
                <w:rFonts w:hint="eastAsia"/>
                <w:color w:val="auto"/>
                <w:szCs w:val="21"/>
              </w:rPr>
              <w:t>面向汽车、能源、电子电器、模具、机械装备等领域企业的研发设计需求，利用行业仿真软件，对复杂工程产品或设计进行结构力学、流体动力学、传热与散热、噪声等多学科仿真计算，模拟、预测、分析和优化产品工作状态和性能指标，帮助企业及时发现设计缺陷，有效提升产品功能与性能，增强产品可靠性与市场竞争力。应用企业直接调度云端高性能计算环境与软件资源进行仿真分析，无需自建硬、软件环境。</w:t>
            </w:r>
          </w:p>
        </w:tc>
        <w:tc>
          <w:tcPr>
            <w:tcW w:w="3708" w:type="dxa"/>
            <w:tcBorders>
              <w:tl2br w:val="nil"/>
              <w:tr2bl w:val="nil"/>
            </w:tcBorders>
            <w:noWrap w:val="0"/>
            <w:vAlign w:val="center"/>
          </w:tcPr>
          <w:p>
            <w:pPr>
              <w:pStyle w:val="2"/>
              <w:rPr>
                <w:rFonts w:hint="eastAsia"/>
                <w:color w:val="auto"/>
                <w:szCs w:val="21"/>
              </w:rPr>
            </w:pPr>
            <w:r>
              <w:rPr>
                <w:rFonts w:hint="eastAsia"/>
                <w:color w:val="auto"/>
                <w:szCs w:val="21"/>
              </w:rPr>
              <w:t>可视化交互环境；网格划分与前处理设置；多学科（如CSD、CFD、CAA等）仿真核心求解器，并行计算；数据后处理、统计分析与图形化输出；优化设计与模型修改。</w:t>
            </w:r>
          </w:p>
        </w:tc>
        <w:tc>
          <w:tcPr>
            <w:tcW w:w="993" w:type="dxa"/>
            <w:tcBorders>
              <w:tl2br w:val="nil"/>
              <w:tr2bl w:val="nil"/>
            </w:tcBorders>
            <w:noWrap w:val="0"/>
            <w:vAlign w:val="center"/>
          </w:tcPr>
          <w:p>
            <w:pPr>
              <w:pStyle w:val="2"/>
              <w:jc w:val="center"/>
              <w:rPr>
                <w:color w:val="auto"/>
                <w:szCs w:val="21"/>
              </w:rPr>
            </w:pPr>
            <w:r>
              <w:rPr>
                <w:color w:val="auto"/>
                <w:szCs w:val="21"/>
              </w:rPr>
              <w:t>1</w:t>
            </w:r>
            <w:r>
              <w:rPr>
                <w:rFonts w:hint="eastAsia"/>
                <w:color w:val="auto"/>
                <w:szCs w:val="21"/>
                <w:lang w:val="en-US" w:eastAsia="zh-CN"/>
              </w:rPr>
              <w:t>5</w:t>
            </w:r>
            <w:r>
              <w:rPr>
                <w:color w:val="auto"/>
                <w:szCs w:val="21"/>
              </w:rPr>
              <w:t>万元</w:t>
            </w:r>
          </w:p>
        </w:tc>
        <w:tc>
          <w:tcPr>
            <w:tcW w:w="1166" w:type="dxa"/>
            <w:tcBorders>
              <w:tl2br w:val="nil"/>
              <w:tr2bl w:val="nil"/>
            </w:tcBorders>
            <w:noWrap w:val="0"/>
            <w:vAlign w:val="center"/>
          </w:tcPr>
          <w:p>
            <w:pPr>
              <w:pStyle w:val="2"/>
              <w:rPr>
                <w:color w:val="auto"/>
                <w:szCs w:val="21"/>
              </w:rPr>
            </w:pPr>
            <w:r>
              <w:rPr>
                <w:color w:val="auto"/>
                <w:szCs w:val="21"/>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15" w:hRule="atLeast"/>
          <w:tblHeader/>
        </w:trPr>
        <w:tc>
          <w:tcPr>
            <w:tcW w:w="636" w:type="dxa"/>
            <w:tcBorders>
              <w:tl2br w:val="nil"/>
              <w:tr2bl w:val="nil"/>
            </w:tcBorders>
            <w:noWrap w:val="0"/>
            <w:vAlign w:val="center"/>
          </w:tcPr>
          <w:p>
            <w:pPr>
              <w:pStyle w:val="2"/>
              <w:jc w:val="center"/>
              <w:rPr>
                <w:color w:val="auto"/>
                <w:szCs w:val="21"/>
              </w:rPr>
            </w:pPr>
            <w:r>
              <w:rPr>
                <w:rFonts w:hint="eastAsia"/>
                <w:color w:val="auto"/>
                <w:szCs w:val="21"/>
              </w:rPr>
              <w:t>3</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通用研发管理（PDM）</w:t>
            </w:r>
          </w:p>
        </w:tc>
        <w:tc>
          <w:tcPr>
            <w:tcW w:w="5065" w:type="dxa"/>
            <w:tcBorders>
              <w:tl2br w:val="nil"/>
              <w:tr2bl w:val="nil"/>
            </w:tcBorders>
            <w:noWrap w:val="0"/>
            <w:vAlign w:val="center"/>
          </w:tcPr>
          <w:p>
            <w:pPr>
              <w:pStyle w:val="2"/>
              <w:rPr>
                <w:color w:val="auto"/>
                <w:szCs w:val="21"/>
              </w:rPr>
            </w:pPr>
            <w:r>
              <w:rPr>
                <w:color w:val="auto"/>
                <w:szCs w:val="21"/>
              </w:rPr>
              <w:t>面向企业产品生命周期管理需求，以产品研发过程数据的创建、管理、分发和应用为核心，加强设计文档、图纸、数据的高效利用，改善传统手工管理带来的数据离散、协同度低、泄露风险高等问题，使工作流程规范化，实现研发部门、企业各相关部门，甚至企业间对产品数据的协同应用。</w:t>
            </w:r>
          </w:p>
        </w:tc>
        <w:tc>
          <w:tcPr>
            <w:tcW w:w="3708" w:type="dxa"/>
            <w:tcBorders>
              <w:tl2br w:val="nil"/>
              <w:tr2bl w:val="nil"/>
            </w:tcBorders>
            <w:noWrap w:val="0"/>
            <w:vAlign w:val="center"/>
          </w:tcPr>
          <w:p>
            <w:pPr>
              <w:pStyle w:val="2"/>
              <w:rPr>
                <w:color w:val="auto"/>
                <w:szCs w:val="21"/>
              </w:rPr>
            </w:pPr>
            <w:r>
              <w:rPr>
                <w:color w:val="auto"/>
                <w:szCs w:val="21"/>
              </w:rPr>
              <w:t>产品数据文件（图文档、BOM等）的上传下载、项目组多人远程协同；流程和任务管理审核、权限控制、产品开发进度跟踪查询；知识资产集中管理和复用。</w:t>
            </w:r>
          </w:p>
        </w:tc>
        <w:tc>
          <w:tcPr>
            <w:tcW w:w="993" w:type="dxa"/>
            <w:tcBorders>
              <w:tl2br w:val="nil"/>
              <w:tr2bl w:val="nil"/>
            </w:tcBorders>
            <w:noWrap w:val="0"/>
            <w:vAlign w:val="center"/>
          </w:tcPr>
          <w:p>
            <w:pPr>
              <w:pStyle w:val="2"/>
              <w:jc w:val="center"/>
              <w:rPr>
                <w:color w:val="auto"/>
                <w:szCs w:val="21"/>
              </w:rPr>
            </w:pPr>
            <w:r>
              <w:rPr>
                <w:rFonts w:hint="eastAsia"/>
                <w:color w:val="auto"/>
                <w:szCs w:val="21"/>
              </w:rPr>
              <w:t>5</w:t>
            </w:r>
            <w:r>
              <w:rPr>
                <w:color w:val="auto"/>
                <w:szCs w:val="21"/>
              </w:rPr>
              <w:t>万元</w:t>
            </w:r>
          </w:p>
        </w:tc>
        <w:tc>
          <w:tcPr>
            <w:tcW w:w="1166" w:type="dxa"/>
            <w:tcBorders>
              <w:tl2br w:val="nil"/>
              <w:tr2bl w:val="nil"/>
            </w:tcBorders>
            <w:noWrap w:val="0"/>
            <w:vAlign w:val="center"/>
          </w:tcPr>
          <w:p>
            <w:pPr>
              <w:pStyle w:val="2"/>
              <w:rPr>
                <w:color w:val="auto"/>
                <w:szCs w:val="21"/>
              </w:rPr>
            </w:pPr>
            <w:r>
              <w:rPr>
                <w:color w:val="auto"/>
                <w:szCs w:val="21"/>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blHeader/>
        </w:trPr>
        <w:tc>
          <w:tcPr>
            <w:tcW w:w="636" w:type="dxa"/>
            <w:tcBorders>
              <w:tl2br w:val="nil"/>
              <w:tr2bl w:val="nil"/>
            </w:tcBorders>
            <w:noWrap w:val="0"/>
            <w:vAlign w:val="center"/>
          </w:tcPr>
          <w:p>
            <w:pPr>
              <w:pStyle w:val="2"/>
              <w:jc w:val="center"/>
              <w:rPr>
                <w:rFonts w:hint="eastAsia"/>
                <w:color w:val="auto"/>
                <w:szCs w:val="21"/>
              </w:rPr>
            </w:pPr>
            <w:r>
              <w:rPr>
                <w:rFonts w:hint="eastAsia"/>
                <w:color w:val="auto"/>
                <w:szCs w:val="21"/>
              </w:rPr>
              <w:t>4</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rFonts w:hint="eastAsia"/>
                <w:color w:val="auto"/>
                <w:szCs w:val="21"/>
              </w:rPr>
              <w:t>行业</w:t>
            </w:r>
            <w:r>
              <w:rPr>
                <w:color w:val="auto"/>
                <w:szCs w:val="21"/>
              </w:rPr>
              <w:t>设计工具</w:t>
            </w:r>
          </w:p>
        </w:tc>
        <w:tc>
          <w:tcPr>
            <w:tcW w:w="5065" w:type="dxa"/>
            <w:tcBorders>
              <w:tl2br w:val="nil"/>
              <w:tr2bl w:val="nil"/>
            </w:tcBorders>
            <w:noWrap w:val="0"/>
            <w:vAlign w:val="center"/>
          </w:tcPr>
          <w:p>
            <w:pPr>
              <w:pStyle w:val="2"/>
              <w:rPr>
                <w:color w:val="auto"/>
                <w:szCs w:val="21"/>
              </w:rPr>
            </w:pPr>
            <w:r>
              <w:rPr>
                <w:color w:val="auto"/>
                <w:szCs w:val="21"/>
              </w:rPr>
              <w:t>面向</w:t>
            </w:r>
            <w:r>
              <w:rPr>
                <w:rFonts w:hint="eastAsia"/>
                <w:color w:val="auto"/>
                <w:szCs w:val="21"/>
              </w:rPr>
              <w:t>服装</w:t>
            </w:r>
            <w:r>
              <w:rPr>
                <w:color w:val="auto"/>
                <w:szCs w:val="21"/>
              </w:rPr>
              <w:t>、</w:t>
            </w:r>
            <w:r>
              <w:rPr>
                <w:rFonts w:hint="eastAsia"/>
                <w:color w:val="auto"/>
                <w:szCs w:val="21"/>
              </w:rPr>
              <w:t>家居</w:t>
            </w:r>
            <w:r>
              <w:rPr>
                <w:color w:val="auto"/>
                <w:szCs w:val="21"/>
              </w:rPr>
              <w:t>、</w:t>
            </w:r>
            <w:r>
              <w:rPr>
                <w:rFonts w:hint="eastAsia"/>
                <w:color w:val="auto"/>
                <w:szCs w:val="21"/>
              </w:rPr>
              <w:t>箱包</w:t>
            </w:r>
            <w:r>
              <w:rPr>
                <w:color w:val="auto"/>
                <w:szCs w:val="21"/>
              </w:rPr>
              <w:t>等</w:t>
            </w:r>
            <w:r>
              <w:rPr>
                <w:rFonts w:hint="eastAsia"/>
                <w:color w:val="auto"/>
                <w:szCs w:val="21"/>
              </w:rPr>
              <w:t>行业领域, 针对二维、三维及部件、配件管理、工艺结构、建模、空间设计等设计需求，改善从产品部件设计到结构设计、再到终端面向消费设计环节设计图纸、物料清单整体协同效率。定制生产工艺约束</w:t>
            </w:r>
            <w:r>
              <w:rPr>
                <w:rFonts w:hint="eastAsia" w:ascii="宋体" w:hAnsi="宋体" w:cs="宋体"/>
                <w:color w:val="auto"/>
                <w:szCs w:val="21"/>
              </w:rPr>
              <w:t>、标准规范制定</w:t>
            </w:r>
            <w:r>
              <w:rPr>
                <w:rFonts w:hint="eastAsia"/>
                <w:color w:val="auto"/>
                <w:szCs w:val="21"/>
              </w:rPr>
              <w:t>，工艺要求、模拟试装等仿真，生成可转换的生产文件实现终端和工厂协同效率的大幅提升。</w:t>
            </w:r>
          </w:p>
        </w:tc>
        <w:tc>
          <w:tcPr>
            <w:tcW w:w="3708" w:type="dxa"/>
            <w:tcBorders>
              <w:tl2br w:val="nil"/>
              <w:tr2bl w:val="nil"/>
            </w:tcBorders>
            <w:noWrap w:val="0"/>
            <w:vAlign w:val="center"/>
          </w:tcPr>
          <w:p>
            <w:pPr>
              <w:pStyle w:val="2"/>
              <w:rPr>
                <w:color w:val="auto"/>
                <w:szCs w:val="21"/>
              </w:rPr>
            </w:pPr>
            <w:r>
              <w:rPr>
                <w:rFonts w:hint="eastAsia" w:ascii="宋体" w:hAnsi="宋体" w:cs="宋体"/>
                <w:color w:val="auto"/>
                <w:szCs w:val="21"/>
              </w:rPr>
              <w:t>按使用流程功能划分，包含以下功能模块</w:t>
            </w:r>
            <w:r>
              <w:rPr>
                <w:color w:val="auto"/>
                <w:szCs w:val="21"/>
              </w:rPr>
              <w:t>（5项以上）：数据测量、数据传输、数据导入、</w:t>
            </w:r>
            <w:r>
              <w:rPr>
                <w:rFonts w:hint="eastAsia"/>
                <w:color w:val="auto"/>
                <w:szCs w:val="21"/>
              </w:rPr>
              <w:t>方案设计、生产报价、一键下单、审单和拆单、</w:t>
            </w:r>
            <w:r>
              <w:rPr>
                <w:rFonts w:hint="eastAsia" w:ascii="宋体" w:hAnsi="宋体" w:cs="宋体"/>
                <w:color w:val="auto"/>
                <w:szCs w:val="21"/>
              </w:rPr>
              <w:t>渲染与展示</w:t>
            </w:r>
            <w:r>
              <w:rPr>
                <w:rFonts w:hint="eastAsia"/>
                <w:color w:val="auto"/>
                <w:szCs w:val="21"/>
              </w:rPr>
              <w:t>等。</w:t>
            </w:r>
          </w:p>
        </w:tc>
        <w:tc>
          <w:tcPr>
            <w:tcW w:w="993" w:type="dxa"/>
            <w:tcBorders>
              <w:tl2br w:val="nil"/>
              <w:tr2bl w:val="nil"/>
            </w:tcBorders>
            <w:noWrap w:val="0"/>
            <w:vAlign w:val="center"/>
          </w:tcPr>
          <w:p>
            <w:pPr>
              <w:pStyle w:val="2"/>
              <w:jc w:val="center"/>
              <w:rPr>
                <w:color w:val="auto"/>
                <w:szCs w:val="21"/>
              </w:rPr>
            </w:pPr>
            <w:r>
              <w:rPr>
                <w:rFonts w:hint="eastAsia"/>
                <w:color w:val="auto"/>
                <w:szCs w:val="21"/>
              </w:rPr>
              <w:t>15万元</w:t>
            </w:r>
          </w:p>
        </w:tc>
        <w:tc>
          <w:tcPr>
            <w:tcW w:w="1166" w:type="dxa"/>
            <w:tcBorders>
              <w:tl2br w:val="nil"/>
              <w:tr2bl w:val="nil"/>
            </w:tcBorders>
            <w:noWrap w:val="0"/>
            <w:vAlign w:val="center"/>
          </w:tcPr>
          <w:p>
            <w:pPr>
              <w:pStyle w:val="2"/>
              <w:rPr>
                <w:rFonts w:hint="eastAsia"/>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7" w:hRule="atLeast"/>
          <w:tblHeader/>
        </w:trPr>
        <w:tc>
          <w:tcPr>
            <w:tcW w:w="636" w:type="dxa"/>
            <w:tcBorders>
              <w:tl2br w:val="nil"/>
              <w:tr2bl w:val="nil"/>
            </w:tcBorders>
            <w:noWrap w:val="0"/>
            <w:vAlign w:val="center"/>
          </w:tcPr>
          <w:p>
            <w:pPr>
              <w:pStyle w:val="2"/>
              <w:jc w:val="center"/>
              <w:rPr>
                <w:color w:val="auto"/>
                <w:szCs w:val="21"/>
              </w:rPr>
            </w:pPr>
            <w:r>
              <w:rPr>
                <w:rFonts w:hint="eastAsia"/>
                <w:color w:val="auto"/>
                <w:szCs w:val="21"/>
              </w:rPr>
              <w:t>5</w:t>
            </w:r>
          </w:p>
        </w:tc>
        <w:tc>
          <w:tcPr>
            <w:tcW w:w="776" w:type="dxa"/>
            <w:vMerge w:val="restart"/>
            <w:tcBorders>
              <w:tl2br w:val="nil"/>
              <w:tr2bl w:val="nil"/>
            </w:tcBorders>
            <w:noWrap w:val="0"/>
            <w:vAlign w:val="center"/>
          </w:tcPr>
          <w:p>
            <w:pPr>
              <w:pStyle w:val="2"/>
              <w:jc w:val="center"/>
              <w:rPr>
                <w:color w:val="auto"/>
                <w:szCs w:val="21"/>
              </w:rPr>
            </w:pPr>
            <w:r>
              <w:rPr>
                <w:color w:val="auto"/>
                <w:szCs w:val="21"/>
              </w:rPr>
              <w:t>生产管控</w:t>
            </w:r>
          </w:p>
        </w:tc>
        <w:tc>
          <w:tcPr>
            <w:tcW w:w="1722" w:type="dxa"/>
            <w:tcBorders>
              <w:tl2br w:val="nil"/>
              <w:tr2bl w:val="nil"/>
            </w:tcBorders>
            <w:noWrap w:val="0"/>
            <w:vAlign w:val="center"/>
          </w:tcPr>
          <w:p>
            <w:pPr>
              <w:pStyle w:val="2"/>
              <w:jc w:val="center"/>
              <w:rPr>
                <w:color w:val="auto"/>
                <w:szCs w:val="21"/>
              </w:rPr>
            </w:pPr>
            <w:r>
              <w:rPr>
                <w:color w:val="auto"/>
                <w:szCs w:val="21"/>
              </w:rPr>
              <w:t>设备物联</w:t>
            </w:r>
          </w:p>
        </w:tc>
        <w:tc>
          <w:tcPr>
            <w:tcW w:w="5065" w:type="dxa"/>
            <w:tcBorders>
              <w:tl2br w:val="nil"/>
              <w:tr2bl w:val="nil"/>
            </w:tcBorders>
            <w:noWrap w:val="0"/>
            <w:vAlign w:val="center"/>
          </w:tcPr>
          <w:p>
            <w:pPr>
              <w:pStyle w:val="2"/>
              <w:rPr>
                <w:color w:val="auto"/>
                <w:szCs w:val="21"/>
              </w:rPr>
            </w:pPr>
            <w:r>
              <w:rPr>
                <w:color w:val="auto"/>
                <w:szCs w:val="21"/>
              </w:rPr>
              <w:t>实现设备物联和实时数据采集，为生产计划、设备运维、绩效管理、工艺改进等提供基础数据支撑和深入分析。</w:t>
            </w:r>
          </w:p>
        </w:tc>
        <w:tc>
          <w:tcPr>
            <w:tcW w:w="3708" w:type="dxa"/>
            <w:tcBorders>
              <w:tl2br w:val="nil"/>
              <w:tr2bl w:val="nil"/>
            </w:tcBorders>
            <w:noWrap w:val="0"/>
            <w:vAlign w:val="center"/>
          </w:tcPr>
          <w:p>
            <w:pPr>
              <w:pStyle w:val="2"/>
              <w:rPr>
                <w:color w:val="auto"/>
                <w:szCs w:val="21"/>
              </w:rPr>
            </w:pPr>
            <w:r>
              <w:rPr>
                <w:color w:val="auto"/>
                <w:szCs w:val="21"/>
              </w:rPr>
              <w:t>设备OEE分析、停机管理及分析、实时产量、运维管理等。</w:t>
            </w:r>
          </w:p>
        </w:tc>
        <w:tc>
          <w:tcPr>
            <w:tcW w:w="993" w:type="dxa"/>
            <w:tcBorders>
              <w:tl2br w:val="nil"/>
              <w:tr2bl w:val="nil"/>
            </w:tcBorders>
            <w:noWrap w:val="0"/>
            <w:vAlign w:val="center"/>
          </w:tcPr>
          <w:p>
            <w:pPr>
              <w:pStyle w:val="2"/>
              <w:jc w:val="center"/>
              <w:rPr>
                <w:color w:val="auto"/>
                <w:szCs w:val="21"/>
              </w:rPr>
            </w:pPr>
            <w:r>
              <w:rPr>
                <w:color w:val="auto"/>
                <w:szCs w:val="21"/>
              </w:rPr>
              <w:t>1</w:t>
            </w:r>
            <w:r>
              <w:rPr>
                <w:rFonts w:hint="eastAsia"/>
                <w:color w:val="auto"/>
                <w:szCs w:val="21"/>
              </w:rPr>
              <w:t>0</w:t>
            </w:r>
            <w:r>
              <w:rPr>
                <w:color w:val="auto"/>
                <w:szCs w:val="21"/>
              </w:rPr>
              <w:t>万元</w:t>
            </w:r>
          </w:p>
        </w:tc>
        <w:tc>
          <w:tcPr>
            <w:tcW w:w="1166" w:type="dxa"/>
            <w:tcBorders>
              <w:tl2br w:val="nil"/>
              <w:tr2bl w:val="nil"/>
            </w:tcBorders>
            <w:noWrap w:val="0"/>
            <w:vAlign w:val="center"/>
          </w:tcPr>
          <w:p>
            <w:pPr>
              <w:pStyle w:val="2"/>
              <w:rPr>
                <w:rFonts w:hint="eastAsia"/>
                <w:color w:val="auto"/>
                <w:szCs w:val="21"/>
              </w:rPr>
            </w:pPr>
            <w:r>
              <w:rPr>
                <w:rFonts w:hint="eastAsia"/>
                <w:color w:val="auto"/>
                <w:szCs w:val="21"/>
              </w:rPr>
              <w:t>每台设备15</w:t>
            </w:r>
            <w:r>
              <w:rPr>
                <w:color w:val="auto"/>
                <w:szCs w:val="21"/>
              </w:rPr>
              <w:t>00</w:t>
            </w:r>
            <w:r>
              <w:rPr>
                <w:rFonts w:hint="eastAsia"/>
                <w:color w:val="auto"/>
                <w:szCs w:val="21"/>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92" w:hRule="atLeast"/>
          <w:tblHeader/>
        </w:trPr>
        <w:tc>
          <w:tcPr>
            <w:tcW w:w="636" w:type="dxa"/>
            <w:tcBorders>
              <w:tl2br w:val="nil"/>
              <w:tr2bl w:val="nil"/>
            </w:tcBorders>
            <w:noWrap w:val="0"/>
            <w:vAlign w:val="center"/>
          </w:tcPr>
          <w:p>
            <w:pPr>
              <w:pStyle w:val="2"/>
              <w:jc w:val="center"/>
              <w:rPr>
                <w:color w:val="auto"/>
                <w:szCs w:val="21"/>
              </w:rPr>
            </w:pPr>
            <w:r>
              <w:rPr>
                <w:rFonts w:hint="eastAsia"/>
                <w:color w:val="auto"/>
                <w:szCs w:val="21"/>
              </w:rPr>
              <w:t>6</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生产协同</w:t>
            </w:r>
            <w:r>
              <w:rPr>
                <w:rFonts w:hint="eastAsia"/>
                <w:color w:val="auto"/>
                <w:szCs w:val="21"/>
              </w:rPr>
              <w:t xml:space="preserve"> </w:t>
            </w:r>
            <w:r>
              <w:rPr>
                <w:color w:val="auto"/>
                <w:szCs w:val="21"/>
              </w:rPr>
              <w:t>Ⅰ</w:t>
            </w:r>
          </w:p>
        </w:tc>
        <w:tc>
          <w:tcPr>
            <w:tcW w:w="5065" w:type="dxa"/>
            <w:tcBorders>
              <w:tl2br w:val="nil"/>
              <w:tr2bl w:val="nil"/>
            </w:tcBorders>
            <w:noWrap w:val="0"/>
            <w:vAlign w:val="center"/>
          </w:tcPr>
          <w:p>
            <w:pPr>
              <w:pStyle w:val="2"/>
              <w:rPr>
                <w:color w:val="auto"/>
                <w:szCs w:val="21"/>
              </w:rPr>
            </w:pPr>
            <w:r>
              <w:rPr>
                <w:color w:val="auto"/>
                <w:szCs w:val="21"/>
              </w:rPr>
              <w:t>面向订单驱动型的的中小代工厂、组装厂、配套厂等，实现生产过程的管理、协同和优化，有效提升企业交付能力，提升生产效率和良品率。包括：基于现场各工序、工位的作业数据采集、传递和统计分析，实现便捷、高效的沟通与协作，实现订单进度跟进及交期管理；基于工单、物料、周期、工序、品质等要素的数据监控和追溯，实现在制品、产量、良率、不良、生产周期等生产KPI指标的自动统计分析，辅助进行针对性改善，提升管理效率和水平；基于产能、物料、实时工况、在制品时长、急单插单等因素，实现辅助排产优化，有效指导现场生产。</w:t>
            </w:r>
          </w:p>
        </w:tc>
        <w:tc>
          <w:tcPr>
            <w:tcW w:w="3708" w:type="dxa"/>
            <w:tcBorders>
              <w:tl2br w:val="nil"/>
              <w:tr2bl w:val="nil"/>
            </w:tcBorders>
            <w:noWrap w:val="0"/>
            <w:vAlign w:val="center"/>
          </w:tcPr>
          <w:p>
            <w:pPr>
              <w:pStyle w:val="2"/>
              <w:rPr>
                <w:color w:val="auto"/>
                <w:szCs w:val="21"/>
              </w:rPr>
            </w:pPr>
            <w:r>
              <w:rPr>
                <w:color w:val="auto"/>
                <w:szCs w:val="21"/>
              </w:rPr>
              <w:t>工厂建模、计划管理、生产作业管理（包括生产工单、工序、订单工序、在制品管理、生产进度管理等）、品质管理、异常处理、绩效管理、车间看板、统计分析等；部分具有进销存、供应管理、仓储或线边仓管理、E-SOP、条码管理、设备管理等功能。</w:t>
            </w:r>
          </w:p>
        </w:tc>
        <w:tc>
          <w:tcPr>
            <w:tcW w:w="993" w:type="dxa"/>
            <w:tcBorders>
              <w:tl2br w:val="nil"/>
              <w:tr2bl w:val="nil"/>
            </w:tcBorders>
            <w:noWrap w:val="0"/>
            <w:vAlign w:val="center"/>
          </w:tcPr>
          <w:p>
            <w:pPr>
              <w:pStyle w:val="2"/>
              <w:jc w:val="center"/>
              <w:rPr>
                <w:color w:val="auto"/>
                <w:szCs w:val="21"/>
              </w:rPr>
            </w:pPr>
            <w:r>
              <w:rPr>
                <w:rFonts w:hint="eastAsia"/>
                <w:color w:val="auto"/>
                <w:szCs w:val="21"/>
              </w:rPr>
              <w:t>20</w:t>
            </w:r>
            <w:r>
              <w:rPr>
                <w:color w:val="auto"/>
                <w:szCs w:val="21"/>
              </w:rPr>
              <w:t>万元</w:t>
            </w:r>
          </w:p>
        </w:tc>
        <w:tc>
          <w:tcPr>
            <w:tcW w:w="1166" w:type="dxa"/>
            <w:tcBorders>
              <w:tl2br w:val="nil"/>
              <w:tr2bl w:val="nil"/>
            </w:tcBorders>
            <w:noWrap w:val="0"/>
            <w:vAlign w:val="center"/>
          </w:tcPr>
          <w:p>
            <w:pPr>
              <w:pStyle w:val="2"/>
              <w:rPr>
                <w:rFonts w:hint="eastAsia"/>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4" w:hRule="atLeast"/>
          <w:tblHeader/>
        </w:trPr>
        <w:tc>
          <w:tcPr>
            <w:tcW w:w="636" w:type="dxa"/>
            <w:tcBorders>
              <w:tl2br w:val="nil"/>
              <w:tr2bl w:val="nil"/>
            </w:tcBorders>
            <w:noWrap w:val="0"/>
            <w:vAlign w:val="center"/>
          </w:tcPr>
          <w:p>
            <w:pPr>
              <w:pStyle w:val="2"/>
              <w:jc w:val="center"/>
              <w:rPr>
                <w:color w:val="auto"/>
                <w:szCs w:val="21"/>
              </w:rPr>
            </w:pPr>
            <w:r>
              <w:rPr>
                <w:rFonts w:hint="eastAsia"/>
                <w:color w:val="auto"/>
                <w:szCs w:val="21"/>
              </w:rPr>
              <w:t>7</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生产协同</w:t>
            </w:r>
            <w:r>
              <w:rPr>
                <w:rFonts w:hint="eastAsia"/>
                <w:color w:val="auto"/>
                <w:szCs w:val="21"/>
              </w:rPr>
              <w:t xml:space="preserve"> </w:t>
            </w:r>
            <w:r>
              <w:rPr>
                <w:color w:val="auto"/>
                <w:szCs w:val="21"/>
              </w:rPr>
              <w:t>Ⅱ</w:t>
            </w:r>
          </w:p>
        </w:tc>
        <w:tc>
          <w:tcPr>
            <w:tcW w:w="5065" w:type="dxa"/>
            <w:tcBorders>
              <w:tl2br w:val="nil"/>
              <w:tr2bl w:val="nil"/>
            </w:tcBorders>
            <w:noWrap w:val="0"/>
            <w:vAlign w:val="center"/>
          </w:tcPr>
          <w:p>
            <w:pPr>
              <w:pStyle w:val="2"/>
              <w:rPr>
                <w:color w:val="auto"/>
                <w:szCs w:val="21"/>
              </w:rPr>
            </w:pPr>
            <w:r>
              <w:rPr>
                <w:color w:val="auto"/>
                <w:szCs w:val="21"/>
              </w:rPr>
              <w:t>在生产协同Ⅰ的基础上，面向运用自动化设备较多的场景，实现：基于设备物联，合理分配设备产能，提高计划可执行性；精准计算设备及全厂OEE，快速定位问题环节，提高设备、模具/夹具/治具、及人员绩效；加强设备的运维管理，减少非计划停机。</w:t>
            </w:r>
          </w:p>
        </w:tc>
        <w:tc>
          <w:tcPr>
            <w:tcW w:w="3708" w:type="dxa"/>
            <w:tcBorders>
              <w:tl2br w:val="nil"/>
              <w:tr2bl w:val="nil"/>
            </w:tcBorders>
            <w:noWrap w:val="0"/>
            <w:vAlign w:val="center"/>
          </w:tcPr>
          <w:p>
            <w:pPr>
              <w:pStyle w:val="2"/>
              <w:rPr>
                <w:color w:val="auto"/>
                <w:szCs w:val="21"/>
              </w:rPr>
            </w:pPr>
            <w:r>
              <w:rPr>
                <w:color w:val="auto"/>
                <w:szCs w:val="21"/>
              </w:rPr>
              <w:t>在生产协同Ⅰ的基础上，增加设备OEE分析、停机管理及分析、实时产量、设备运维管理等功能。</w:t>
            </w:r>
          </w:p>
        </w:tc>
        <w:tc>
          <w:tcPr>
            <w:tcW w:w="993" w:type="dxa"/>
            <w:tcBorders>
              <w:tl2br w:val="nil"/>
              <w:tr2bl w:val="nil"/>
            </w:tcBorders>
            <w:noWrap w:val="0"/>
            <w:vAlign w:val="center"/>
          </w:tcPr>
          <w:p>
            <w:pPr>
              <w:pStyle w:val="2"/>
              <w:jc w:val="center"/>
              <w:rPr>
                <w:color w:val="auto"/>
                <w:szCs w:val="21"/>
              </w:rPr>
            </w:pPr>
            <w:r>
              <w:rPr>
                <w:color w:val="auto"/>
                <w:szCs w:val="21"/>
              </w:rPr>
              <w:t>2</w:t>
            </w:r>
            <w:r>
              <w:rPr>
                <w:rFonts w:hint="eastAsia"/>
                <w:color w:val="auto"/>
                <w:szCs w:val="21"/>
                <w:lang w:val="en-US" w:eastAsia="zh-CN"/>
              </w:rPr>
              <w:t>0</w:t>
            </w:r>
            <w:r>
              <w:rPr>
                <w:color w:val="auto"/>
                <w:szCs w:val="21"/>
              </w:rPr>
              <w:t>万元</w:t>
            </w:r>
          </w:p>
        </w:tc>
        <w:tc>
          <w:tcPr>
            <w:tcW w:w="1166" w:type="dxa"/>
            <w:tcBorders>
              <w:tl2br w:val="nil"/>
              <w:tr2bl w:val="nil"/>
            </w:tcBorders>
            <w:noWrap w:val="0"/>
            <w:vAlign w:val="center"/>
          </w:tcPr>
          <w:p>
            <w:pPr>
              <w:pStyle w:val="2"/>
              <w:rPr>
                <w:rFonts w:hint="eastAsia"/>
                <w:color w:val="auto"/>
                <w:szCs w:val="21"/>
              </w:rPr>
            </w:pPr>
            <w:r>
              <w:rPr>
                <w:color w:val="auto"/>
                <w:szCs w:val="21"/>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7" w:hRule="atLeast"/>
          <w:tblHeader/>
        </w:trPr>
        <w:tc>
          <w:tcPr>
            <w:tcW w:w="636" w:type="dxa"/>
            <w:tcBorders>
              <w:tl2br w:val="nil"/>
              <w:tr2bl w:val="nil"/>
            </w:tcBorders>
            <w:noWrap w:val="0"/>
            <w:vAlign w:val="center"/>
          </w:tcPr>
          <w:p>
            <w:pPr>
              <w:pStyle w:val="2"/>
              <w:jc w:val="center"/>
              <w:rPr>
                <w:rFonts w:hint="eastAsia"/>
                <w:color w:val="auto"/>
                <w:szCs w:val="21"/>
              </w:rPr>
            </w:pPr>
            <w:r>
              <w:rPr>
                <w:rFonts w:hint="eastAsia"/>
                <w:color w:val="auto"/>
                <w:szCs w:val="21"/>
              </w:rPr>
              <w:t>8</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rFonts w:hint="eastAsia"/>
                <w:color w:val="auto"/>
                <w:szCs w:val="21"/>
              </w:rPr>
            </w:pPr>
            <w:r>
              <w:rPr>
                <w:rFonts w:hint="eastAsia"/>
                <w:color w:val="auto"/>
                <w:szCs w:val="21"/>
              </w:rPr>
              <w:t xml:space="preserve">生产协同 </w:t>
            </w:r>
            <w:r>
              <w:rPr>
                <w:color w:val="auto"/>
                <w:szCs w:val="21"/>
              </w:rPr>
              <w:fldChar w:fldCharType="begin"/>
            </w:r>
            <w:r>
              <w:rPr>
                <w:color w:val="auto"/>
                <w:szCs w:val="21"/>
              </w:rPr>
              <w:instrText xml:space="preserve"> </w:instrText>
            </w:r>
            <w:r>
              <w:rPr>
                <w:rFonts w:hint="eastAsia"/>
                <w:color w:val="auto"/>
                <w:szCs w:val="21"/>
              </w:rPr>
              <w:instrText xml:space="preserve">= 3 \* ROMAN</w:instrText>
            </w:r>
            <w:r>
              <w:rPr>
                <w:color w:val="auto"/>
                <w:szCs w:val="21"/>
              </w:rPr>
              <w:instrText xml:space="preserve"> </w:instrText>
            </w:r>
            <w:r>
              <w:rPr>
                <w:color w:val="auto"/>
                <w:szCs w:val="21"/>
              </w:rPr>
              <w:fldChar w:fldCharType="separate"/>
            </w:r>
            <w:r>
              <w:rPr>
                <w:color w:val="auto"/>
                <w:szCs w:val="21"/>
              </w:rPr>
              <w:t>III</w:t>
            </w:r>
            <w:r>
              <w:rPr>
                <w:color w:val="auto"/>
                <w:szCs w:val="21"/>
              </w:rPr>
              <w:fldChar w:fldCharType="end"/>
            </w:r>
          </w:p>
        </w:tc>
        <w:tc>
          <w:tcPr>
            <w:tcW w:w="5065" w:type="dxa"/>
            <w:tcBorders>
              <w:tl2br w:val="nil"/>
              <w:tr2bl w:val="nil"/>
            </w:tcBorders>
            <w:noWrap w:val="0"/>
            <w:vAlign w:val="center"/>
          </w:tcPr>
          <w:p>
            <w:pPr>
              <w:pStyle w:val="2"/>
              <w:rPr>
                <w:color w:val="auto"/>
                <w:szCs w:val="21"/>
              </w:rPr>
            </w:pPr>
            <w:r>
              <w:rPr>
                <w:rFonts w:hint="eastAsia"/>
                <w:color w:val="auto"/>
                <w:szCs w:val="21"/>
              </w:rPr>
              <w:t>面向零数字化基础(无ERP、无管理标准化）的短工序、品类单一、重资产配件加工、来料加工工厂，基于交互式智能终端反馈关键节点数据（最小实施单元为单台装备）的方式，</w:t>
            </w:r>
            <w:r>
              <w:rPr>
                <w:color w:val="auto"/>
                <w:szCs w:val="21"/>
              </w:rPr>
              <w:t>构建</w:t>
            </w:r>
            <w:r>
              <w:rPr>
                <w:rFonts w:hint="eastAsia"/>
                <w:color w:val="auto"/>
                <w:szCs w:val="21"/>
              </w:rPr>
              <w:t>企业数据超市，提升企业响应速度，帮助企业管理者实时掌握关键运营数据，如订单状态、产量实时数据、关键工艺指标、品控节点等，辅助管理者快速进行生产调度、针对性指导现场生产。</w:t>
            </w:r>
          </w:p>
        </w:tc>
        <w:tc>
          <w:tcPr>
            <w:tcW w:w="3708" w:type="dxa"/>
            <w:tcBorders>
              <w:tl2br w:val="nil"/>
              <w:tr2bl w:val="nil"/>
            </w:tcBorders>
            <w:noWrap w:val="0"/>
            <w:vAlign w:val="center"/>
          </w:tcPr>
          <w:p>
            <w:pPr>
              <w:pStyle w:val="2"/>
              <w:rPr>
                <w:rFonts w:hint="eastAsia"/>
                <w:color w:val="auto"/>
                <w:szCs w:val="21"/>
              </w:rPr>
            </w:pPr>
            <w:r>
              <w:rPr>
                <w:rFonts w:hint="eastAsia"/>
                <w:color w:val="auto"/>
                <w:szCs w:val="21"/>
              </w:rPr>
              <w:t>交互式智能终端，管理基础数字化（BOM管理，工艺流程建档，模具台帐等），订单分发与追踪，关键品质追溯与预警，关键工艺指标反馈与预警，外协订单追踪，设备运维预警等。</w:t>
            </w:r>
          </w:p>
          <w:p>
            <w:pPr>
              <w:pStyle w:val="2"/>
              <w:rPr>
                <w:color w:val="auto"/>
                <w:szCs w:val="21"/>
              </w:rPr>
            </w:pPr>
            <w:r>
              <w:rPr>
                <w:rFonts w:hint="eastAsia"/>
                <w:color w:val="auto"/>
                <w:szCs w:val="21"/>
              </w:rPr>
              <w:t>可实现延展功能如计件工资在线统计、人脸识别等，数据挖掘功能如自动生成标准工时、成本波动分析、OEE计算与分析等。</w:t>
            </w:r>
          </w:p>
        </w:tc>
        <w:tc>
          <w:tcPr>
            <w:tcW w:w="993" w:type="dxa"/>
            <w:tcBorders>
              <w:tl2br w:val="nil"/>
              <w:tr2bl w:val="nil"/>
            </w:tcBorders>
            <w:noWrap w:val="0"/>
            <w:vAlign w:val="center"/>
          </w:tcPr>
          <w:p>
            <w:pPr>
              <w:pStyle w:val="2"/>
              <w:jc w:val="center"/>
              <w:rPr>
                <w:color w:val="auto"/>
                <w:szCs w:val="21"/>
              </w:rPr>
            </w:pPr>
            <w:r>
              <w:rPr>
                <w:rFonts w:hint="eastAsia"/>
                <w:color w:val="auto"/>
                <w:szCs w:val="21"/>
              </w:rPr>
              <w:t>15万</w:t>
            </w:r>
            <w:r>
              <w:rPr>
                <w:color w:val="auto"/>
                <w:szCs w:val="21"/>
              </w:rPr>
              <w:t>元</w:t>
            </w:r>
          </w:p>
        </w:tc>
        <w:tc>
          <w:tcPr>
            <w:tcW w:w="1166" w:type="dxa"/>
            <w:tcBorders>
              <w:tl2br w:val="nil"/>
              <w:tr2bl w:val="nil"/>
            </w:tcBorders>
            <w:noWrap w:val="0"/>
            <w:vAlign w:val="center"/>
          </w:tcPr>
          <w:p>
            <w:pPr>
              <w:pStyle w:val="2"/>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7" w:hRule="atLeast"/>
          <w:tblHeader/>
        </w:trPr>
        <w:tc>
          <w:tcPr>
            <w:tcW w:w="636" w:type="dxa"/>
            <w:tcBorders>
              <w:tl2br w:val="nil"/>
              <w:tr2bl w:val="nil"/>
            </w:tcBorders>
            <w:noWrap w:val="0"/>
            <w:vAlign w:val="center"/>
          </w:tcPr>
          <w:p>
            <w:pPr>
              <w:pStyle w:val="2"/>
              <w:jc w:val="center"/>
              <w:rPr>
                <w:color w:val="auto"/>
                <w:szCs w:val="21"/>
              </w:rPr>
            </w:pPr>
            <w:r>
              <w:rPr>
                <w:rFonts w:hint="eastAsia"/>
                <w:color w:val="auto"/>
                <w:szCs w:val="21"/>
              </w:rPr>
              <w:t>9</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设备管理</w:t>
            </w:r>
          </w:p>
        </w:tc>
        <w:tc>
          <w:tcPr>
            <w:tcW w:w="5065" w:type="dxa"/>
            <w:tcBorders>
              <w:tl2br w:val="nil"/>
              <w:tr2bl w:val="nil"/>
            </w:tcBorders>
            <w:noWrap w:val="0"/>
            <w:vAlign w:val="center"/>
          </w:tcPr>
          <w:p>
            <w:pPr>
              <w:pStyle w:val="2"/>
              <w:rPr>
                <w:color w:val="auto"/>
                <w:szCs w:val="21"/>
              </w:rPr>
            </w:pPr>
            <w:r>
              <w:rPr>
                <w:color w:val="auto"/>
                <w:szCs w:val="21"/>
              </w:rPr>
              <w:t>面向生产设备较多、价值较高的工厂，实现设备数字化管理。</w:t>
            </w:r>
          </w:p>
        </w:tc>
        <w:tc>
          <w:tcPr>
            <w:tcW w:w="3708" w:type="dxa"/>
            <w:tcBorders>
              <w:tl2br w:val="nil"/>
              <w:tr2bl w:val="nil"/>
            </w:tcBorders>
            <w:noWrap w:val="0"/>
            <w:vAlign w:val="center"/>
          </w:tcPr>
          <w:p>
            <w:pPr>
              <w:pStyle w:val="2"/>
              <w:rPr>
                <w:color w:val="auto"/>
                <w:szCs w:val="21"/>
              </w:rPr>
            </w:pPr>
            <w:r>
              <w:rPr>
                <w:color w:val="auto"/>
                <w:szCs w:val="21"/>
              </w:rPr>
              <w:t>设备台账、设备状态、保养与点巡检管理、维修管理、备品备件管理、故障报警等。</w:t>
            </w:r>
          </w:p>
        </w:tc>
        <w:tc>
          <w:tcPr>
            <w:tcW w:w="993" w:type="dxa"/>
            <w:tcBorders>
              <w:tl2br w:val="nil"/>
              <w:tr2bl w:val="nil"/>
            </w:tcBorders>
            <w:noWrap w:val="0"/>
            <w:vAlign w:val="center"/>
          </w:tcPr>
          <w:p>
            <w:pPr>
              <w:pStyle w:val="2"/>
              <w:jc w:val="center"/>
              <w:rPr>
                <w:color w:val="auto"/>
                <w:szCs w:val="21"/>
              </w:rPr>
            </w:pPr>
            <w:r>
              <w:rPr>
                <w:color w:val="auto"/>
                <w:szCs w:val="21"/>
              </w:rPr>
              <w:t>5万元</w:t>
            </w:r>
          </w:p>
        </w:tc>
        <w:tc>
          <w:tcPr>
            <w:tcW w:w="1166" w:type="dxa"/>
            <w:tcBorders>
              <w:tl2br w:val="nil"/>
              <w:tr2bl w:val="nil"/>
            </w:tcBorders>
            <w:noWrap w:val="0"/>
            <w:vAlign w:val="center"/>
          </w:tcPr>
          <w:p>
            <w:pPr>
              <w:pStyle w:val="2"/>
              <w:rPr>
                <w:rFonts w:hint="eastAsia"/>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4" w:hRule="atLeast"/>
          <w:tblHeader/>
        </w:trPr>
        <w:tc>
          <w:tcPr>
            <w:tcW w:w="636" w:type="dxa"/>
            <w:tcBorders>
              <w:tl2br w:val="nil"/>
              <w:tr2bl w:val="nil"/>
            </w:tcBorders>
            <w:noWrap w:val="0"/>
            <w:vAlign w:val="center"/>
          </w:tcPr>
          <w:p>
            <w:pPr>
              <w:pStyle w:val="2"/>
              <w:jc w:val="center"/>
              <w:rPr>
                <w:color w:val="auto"/>
                <w:szCs w:val="21"/>
              </w:rPr>
            </w:pPr>
            <w:r>
              <w:rPr>
                <w:color w:val="auto"/>
                <w:szCs w:val="21"/>
              </w:rPr>
              <w:t>10</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设备智能</w:t>
            </w:r>
          </w:p>
        </w:tc>
        <w:tc>
          <w:tcPr>
            <w:tcW w:w="5065" w:type="dxa"/>
            <w:tcBorders>
              <w:tl2br w:val="nil"/>
              <w:tr2bl w:val="nil"/>
            </w:tcBorders>
            <w:noWrap w:val="0"/>
            <w:vAlign w:val="center"/>
          </w:tcPr>
          <w:p>
            <w:pPr>
              <w:pStyle w:val="2"/>
              <w:rPr>
                <w:rFonts w:hint="eastAsia"/>
                <w:color w:val="auto"/>
                <w:szCs w:val="21"/>
              </w:rPr>
            </w:pPr>
            <w:r>
              <w:rPr>
                <w:rFonts w:hint="eastAsia"/>
                <w:color w:val="auto"/>
                <w:sz w:val="22"/>
              </w:rPr>
              <w:t>基于关键设备的实时数据采集，通过工业知识经验沉淀、大数据建模分析等IT与OT的融合应用，实现设备智能，辅助管理改善。如设备计划性、预测性运维；设备参数智能优化等。</w:t>
            </w:r>
          </w:p>
        </w:tc>
        <w:tc>
          <w:tcPr>
            <w:tcW w:w="3708" w:type="dxa"/>
            <w:tcBorders>
              <w:tl2br w:val="nil"/>
              <w:tr2bl w:val="nil"/>
            </w:tcBorders>
            <w:noWrap w:val="0"/>
            <w:vAlign w:val="center"/>
          </w:tcPr>
          <w:p>
            <w:pPr>
              <w:pStyle w:val="2"/>
              <w:rPr>
                <w:rFonts w:hint="eastAsia"/>
                <w:color w:val="auto"/>
                <w:szCs w:val="21"/>
              </w:rPr>
            </w:pPr>
            <w:r>
              <w:rPr>
                <w:rFonts w:hint="eastAsia"/>
                <w:color w:val="auto"/>
                <w:sz w:val="22"/>
              </w:rPr>
              <w:t>实时监测、关键设备数字化管理、报表分析与展示、历史数据分析、异常工况检测、故障诊断、健康评估、预防性维护、寿命预测分析。</w:t>
            </w:r>
          </w:p>
        </w:tc>
        <w:tc>
          <w:tcPr>
            <w:tcW w:w="993" w:type="dxa"/>
            <w:tcBorders>
              <w:tl2br w:val="nil"/>
              <w:tr2bl w:val="nil"/>
            </w:tcBorders>
            <w:noWrap w:val="0"/>
            <w:vAlign w:val="center"/>
          </w:tcPr>
          <w:p>
            <w:pPr>
              <w:pStyle w:val="2"/>
              <w:jc w:val="center"/>
              <w:rPr>
                <w:color w:val="auto"/>
                <w:szCs w:val="21"/>
              </w:rPr>
            </w:pPr>
            <w:r>
              <w:rPr>
                <w:color w:val="auto"/>
                <w:szCs w:val="21"/>
              </w:rPr>
              <w:t>2</w:t>
            </w:r>
            <w:r>
              <w:rPr>
                <w:rFonts w:hint="eastAsia"/>
                <w:color w:val="auto"/>
                <w:szCs w:val="21"/>
                <w:lang w:val="en-US" w:eastAsia="zh-CN"/>
              </w:rPr>
              <w:t>0</w:t>
            </w:r>
            <w:r>
              <w:rPr>
                <w:color w:val="auto"/>
                <w:szCs w:val="21"/>
              </w:rPr>
              <w:t>万元</w:t>
            </w:r>
          </w:p>
        </w:tc>
        <w:tc>
          <w:tcPr>
            <w:tcW w:w="1166" w:type="dxa"/>
            <w:tcBorders>
              <w:tl2br w:val="nil"/>
              <w:tr2bl w:val="nil"/>
            </w:tcBorders>
            <w:noWrap w:val="0"/>
            <w:vAlign w:val="center"/>
          </w:tcPr>
          <w:p>
            <w:pPr>
              <w:pStyle w:val="2"/>
              <w:rPr>
                <w:rFonts w:hint="eastAsia"/>
                <w:color w:val="auto"/>
                <w:szCs w:val="21"/>
              </w:rPr>
            </w:pPr>
            <w:r>
              <w:rPr>
                <w:rFonts w:hint="eastAsia"/>
                <w:color w:val="auto"/>
                <w:szCs w:val="21"/>
              </w:rPr>
              <w:t>实现至少一个针对具体业务问题的工业大数据模型。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0" w:hRule="atLeast"/>
          <w:tblHeader/>
        </w:trPr>
        <w:tc>
          <w:tcPr>
            <w:tcW w:w="636" w:type="dxa"/>
            <w:tcBorders>
              <w:tl2br w:val="nil"/>
              <w:tr2bl w:val="nil"/>
            </w:tcBorders>
            <w:noWrap w:val="0"/>
            <w:vAlign w:val="center"/>
          </w:tcPr>
          <w:p>
            <w:pPr>
              <w:pStyle w:val="2"/>
              <w:jc w:val="center"/>
              <w:rPr>
                <w:color w:val="auto"/>
                <w:szCs w:val="21"/>
              </w:rPr>
            </w:pPr>
            <w:r>
              <w:rPr>
                <w:rFonts w:hint="eastAsia"/>
                <w:color w:val="auto"/>
                <w:szCs w:val="21"/>
              </w:rPr>
              <w:t>1</w:t>
            </w:r>
            <w:r>
              <w:rPr>
                <w:color w:val="auto"/>
                <w:szCs w:val="21"/>
              </w:rPr>
              <w:t>1</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精益管理</w:t>
            </w:r>
          </w:p>
        </w:tc>
        <w:tc>
          <w:tcPr>
            <w:tcW w:w="5065" w:type="dxa"/>
            <w:tcBorders>
              <w:tl2br w:val="nil"/>
              <w:tr2bl w:val="nil"/>
            </w:tcBorders>
            <w:noWrap w:val="0"/>
            <w:vAlign w:val="center"/>
          </w:tcPr>
          <w:p>
            <w:pPr>
              <w:pStyle w:val="2"/>
              <w:rPr>
                <w:color w:val="auto"/>
                <w:szCs w:val="21"/>
              </w:rPr>
            </w:pPr>
            <w:r>
              <w:rPr>
                <w:color w:val="auto"/>
                <w:szCs w:val="21"/>
              </w:rPr>
              <w:t>针对一线员工效率低下，积极性不高等问题，激发员工参与问题解决，强化员工之间、员工与管理之间的沟通协作，实现对现场问题的快速响应，高效执行，闭环管理。</w:t>
            </w:r>
          </w:p>
        </w:tc>
        <w:tc>
          <w:tcPr>
            <w:tcW w:w="3708" w:type="dxa"/>
            <w:tcBorders>
              <w:tl2br w:val="nil"/>
              <w:tr2bl w:val="nil"/>
            </w:tcBorders>
            <w:noWrap w:val="0"/>
            <w:vAlign w:val="center"/>
          </w:tcPr>
          <w:p>
            <w:pPr>
              <w:pStyle w:val="2"/>
              <w:rPr>
                <w:color w:val="auto"/>
                <w:szCs w:val="21"/>
              </w:rPr>
            </w:pPr>
            <w:r>
              <w:rPr>
                <w:color w:val="auto"/>
                <w:szCs w:val="21"/>
              </w:rPr>
              <w:t>员工提案、员工好行为、快速响应、现场管理</w:t>
            </w:r>
            <w:r>
              <w:rPr>
                <w:rFonts w:hint="eastAsia"/>
                <w:color w:val="auto"/>
                <w:szCs w:val="21"/>
              </w:rPr>
              <w:t>。</w:t>
            </w:r>
          </w:p>
        </w:tc>
        <w:tc>
          <w:tcPr>
            <w:tcW w:w="993" w:type="dxa"/>
            <w:tcBorders>
              <w:tl2br w:val="nil"/>
              <w:tr2bl w:val="nil"/>
            </w:tcBorders>
            <w:noWrap w:val="0"/>
            <w:vAlign w:val="center"/>
          </w:tcPr>
          <w:p>
            <w:pPr>
              <w:pStyle w:val="2"/>
              <w:jc w:val="center"/>
              <w:rPr>
                <w:color w:val="auto"/>
                <w:szCs w:val="21"/>
              </w:rPr>
            </w:pPr>
            <w:r>
              <w:rPr>
                <w:rFonts w:hint="eastAsia"/>
                <w:color w:val="auto"/>
                <w:szCs w:val="21"/>
              </w:rPr>
              <w:t>5</w:t>
            </w:r>
            <w:r>
              <w:rPr>
                <w:color w:val="auto"/>
                <w:szCs w:val="21"/>
              </w:rPr>
              <w:t>万元</w:t>
            </w:r>
          </w:p>
        </w:tc>
        <w:tc>
          <w:tcPr>
            <w:tcW w:w="1166" w:type="dxa"/>
            <w:tcBorders>
              <w:tl2br w:val="nil"/>
              <w:tr2bl w:val="nil"/>
            </w:tcBorders>
            <w:noWrap w:val="0"/>
            <w:vAlign w:val="center"/>
          </w:tcPr>
          <w:p>
            <w:pPr>
              <w:pStyle w:val="2"/>
              <w:rPr>
                <w:rFonts w:hint="eastAsia"/>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3" w:hRule="atLeast"/>
          <w:tblHeader/>
        </w:trPr>
        <w:tc>
          <w:tcPr>
            <w:tcW w:w="636" w:type="dxa"/>
            <w:tcBorders>
              <w:tl2br w:val="nil"/>
              <w:tr2bl w:val="nil"/>
            </w:tcBorders>
            <w:noWrap w:val="0"/>
            <w:vAlign w:val="center"/>
          </w:tcPr>
          <w:p>
            <w:pPr>
              <w:pStyle w:val="2"/>
              <w:jc w:val="center"/>
              <w:rPr>
                <w:color w:val="auto"/>
                <w:szCs w:val="21"/>
              </w:rPr>
            </w:pPr>
            <w:r>
              <w:rPr>
                <w:rFonts w:hint="eastAsia"/>
                <w:color w:val="auto"/>
                <w:szCs w:val="21"/>
              </w:rPr>
              <w:t>1</w:t>
            </w:r>
            <w:r>
              <w:rPr>
                <w:color w:val="auto"/>
                <w:szCs w:val="21"/>
              </w:rPr>
              <w:t>2</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质量管理</w:t>
            </w:r>
          </w:p>
        </w:tc>
        <w:tc>
          <w:tcPr>
            <w:tcW w:w="5065" w:type="dxa"/>
            <w:tcBorders>
              <w:tl2br w:val="nil"/>
              <w:tr2bl w:val="nil"/>
            </w:tcBorders>
            <w:noWrap w:val="0"/>
            <w:vAlign w:val="center"/>
          </w:tcPr>
          <w:p>
            <w:pPr>
              <w:pStyle w:val="2"/>
              <w:rPr>
                <w:color w:val="auto"/>
                <w:szCs w:val="21"/>
              </w:rPr>
            </w:pPr>
            <w:r>
              <w:rPr>
                <w:color w:val="auto"/>
                <w:szCs w:val="21"/>
              </w:rPr>
              <w:t>面向良品率及质量要求，基于产品全生命周的品质管理体系，帮助企业确定质量方针、目标和职责，通过质量体系中的质量策划、质量控制、质量保证和质量改进来使其实现的所有管理职能的全部活动，提升企业产品质量保证能力与质量水平。</w:t>
            </w:r>
          </w:p>
        </w:tc>
        <w:tc>
          <w:tcPr>
            <w:tcW w:w="3708" w:type="dxa"/>
            <w:tcBorders>
              <w:tl2br w:val="nil"/>
              <w:tr2bl w:val="nil"/>
            </w:tcBorders>
            <w:noWrap w:val="0"/>
            <w:vAlign w:val="center"/>
          </w:tcPr>
          <w:p>
            <w:pPr>
              <w:pStyle w:val="2"/>
              <w:rPr>
                <w:color w:val="auto"/>
                <w:szCs w:val="21"/>
              </w:rPr>
            </w:pPr>
            <w:r>
              <w:rPr>
                <w:color w:val="auto"/>
                <w:szCs w:val="21"/>
              </w:rPr>
              <w:t>原材料质量管理、过程质量管理、成品质量管理、质量体系与标准、品质分析、质量控制与PDCA持续改进等。</w:t>
            </w:r>
          </w:p>
        </w:tc>
        <w:tc>
          <w:tcPr>
            <w:tcW w:w="993" w:type="dxa"/>
            <w:tcBorders>
              <w:tl2br w:val="nil"/>
              <w:tr2bl w:val="nil"/>
            </w:tcBorders>
            <w:noWrap w:val="0"/>
            <w:vAlign w:val="center"/>
          </w:tcPr>
          <w:p>
            <w:pPr>
              <w:pStyle w:val="2"/>
              <w:jc w:val="center"/>
              <w:rPr>
                <w:color w:val="auto"/>
                <w:szCs w:val="21"/>
              </w:rPr>
            </w:pPr>
            <w:r>
              <w:rPr>
                <w:color w:val="auto"/>
                <w:szCs w:val="21"/>
              </w:rPr>
              <w:t>10万元</w:t>
            </w:r>
          </w:p>
        </w:tc>
        <w:tc>
          <w:tcPr>
            <w:tcW w:w="1166" w:type="dxa"/>
            <w:tcBorders>
              <w:tl2br w:val="nil"/>
              <w:tr2bl w:val="nil"/>
            </w:tcBorders>
            <w:noWrap w:val="0"/>
            <w:vAlign w:val="center"/>
          </w:tcPr>
          <w:p>
            <w:pPr>
              <w:pStyle w:val="2"/>
              <w:rPr>
                <w:rFonts w:hint="eastAsia"/>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6" w:hRule="atLeast"/>
          <w:tblHeader/>
        </w:trPr>
        <w:tc>
          <w:tcPr>
            <w:tcW w:w="636" w:type="dxa"/>
            <w:tcBorders>
              <w:tl2br w:val="nil"/>
              <w:tr2bl w:val="nil"/>
            </w:tcBorders>
            <w:noWrap w:val="0"/>
            <w:vAlign w:val="center"/>
          </w:tcPr>
          <w:p>
            <w:pPr>
              <w:pStyle w:val="2"/>
              <w:jc w:val="center"/>
              <w:rPr>
                <w:color w:val="auto"/>
                <w:szCs w:val="21"/>
              </w:rPr>
            </w:pPr>
            <w:r>
              <w:rPr>
                <w:rFonts w:hint="eastAsia"/>
                <w:color w:val="auto"/>
                <w:szCs w:val="21"/>
              </w:rPr>
              <w:t>1</w:t>
            </w:r>
            <w:r>
              <w:rPr>
                <w:color w:val="auto"/>
                <w:szCs w:val="21"/>
              </w:rPr>
              <w:t>3</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rFonts w:hint="eastAsia"/>
                <w:color w:val="auto"/>
                <w:szCs w:val="21"/>
              </w:rPr>
              <w:t>流程工业</w:t>
            </w:r>
          </w:p>
          <w:p>
            <w:pPr>
              <w:pStyle w:val="2"/>
              <w:jc w:val="center"/>
              <w:rPr>
                <w:color w:val="auto"/>
                <w:szCs w:val="21"/>
              </w:rPr>
            </w:pPr>
            <w:r>
              <w:rPr>
                <w:rFonts w:hint="eastAsia"/>
                <w:color w:val="auto"/>
                <w:szCs w:val="21"/>
              </w:rPr>
              <w:t>生产过程追溯</w:t>
            </w:r>
          </w:p>
        </w:tc>
        <w:tc>
          <w:tcPr>
            <w:tcW w:w="5065" w:type="dxa"/>
            <w:tcBorders>
              <w:tl2br w:val="nil"/>
              <w:tr2bl w:val="nil"/>
            </w:tcBorders>
            <w:noWrap w:val="0"/>
            <w:vAlign w:val="center"/>
          </w:tcPr>
          <w:p>
            <w:pPr>
              <w:pStyle w:val="2"/>
              <w:rPr>
                <w:rFonts w:hint="eastAsia"/>
                <w:color w:val="auto"/>
                <w:szCs w:val="21"/>
              </w:rPr>
            </w:pPr>
            <w:r>
              <w:rPr>
                <w:rFonts w:hint="eastAsia"/>
                <w:color w:val="auto"/>
                <w:szCs w:val="21"/>
              </w:rPr>
              <w:t>面向流程工业，对影响产品质量的现场生产活动进行重点管控，实现生产过程的透明化管理。包括：原辅料仓发料条码标识、配方称重、投料配制、品质管控等用户场景实现人机料法环的实时管控。通过分布于生产现场的智能终端，指导工人按照规范和指令进行生产，同时全面实现配方的电子化、生产数据的电子记录，保证操作的准确性和精度，杜绝生产过程中的差错，提高产品质量，帮助企业持续规范生产。</w:t>
            </w:r>
          </w:p>
        </w:tc>
        <w:tc>
          <w:tcPr>
            <w:tcW w:w="3708" w:type="dxa"/>
            <w:tcBorders>
              <w:tl2br w:val="nil"/>
              <w:tr2bl w:val="nil"/>
            </w:tcBorders>
            <w:noWrap w:val="0"/>
            <w:vAlign w:val="center"/>
          </w:tcPr>
          <w:p>
            <w:pPr>
              <w:pStyle w:val="2"/>
              <w:rPr>
                <w:color w:val="auto"/>
                <w:szCs w:val="21"/>
              </w:rPr>
            </w:pPr>
            <w:r>
              <w:rPr>
                <w:rFonts w:hint="eastAsia"/>
                <w:color w:val="auto"/>
                <w:szCs w:val="21"/>
              </w:rPr>
              <w:t>工厂建模、配方管理、电子秤校验、工艺管理、工单管理、物料管理、称重管理、投料管理、物料标识、品质管控、生产进度、数据分析。</w:t>
            </w:r>
          </w:p>
        </w:tc>
        <w:tc>
          <w:tcPr>
            <w:tcW w:w="993" w:type="dxa"/>
            <w:tcBorders>
              <w:tl2br w:val="nil"/>
              <w:tr2bl w:val="nil"/>
            </w:tcBorders>
            <w:noWrap w:val="0"/>
            <w:vAlign w:val="center"/>
          </w:tcPr>
          <w:p>
            <w:pPr>
              <w:pStyle w:val="2"/>
              <w:jc w:val="center"/>
              <w:rPr>
                <w:color w:val="auto"/>
                <w:szCs w:val="21"/>
              </w:rPr>
            </w:pPr>
            <w:r>
              <w:rPr>
                <w:color w:val="auto"/>
                <w:szCs w:val="21"/>
              </w:rPr>
              <w:t>2</w:t>
            </w:r>
            <w:r>
              <w:rPr>
                <w:rFonts w:hint="eastAsia"/>
                <w:color w:val="auto"/>
                <w:szCs w:val="21"/>
                <w:lang w:val="en-US" w:eastAsia="zh-CN"/>
              </w:rPr>
              <w:t>0</w:t>
            </w:r>
            <w:r>
              <w:rPr>
                <w:rFonts w:hint="eastAsia"/>
                <w:color w:val="auto"/>
                <w:szCs w:val="21"/>
              </w:rPr>
              <w:t>万</w:t>
            </w:r>
            <w:r>
              <w:rPr>
                <w:color w:val="auto"/>
                <w:szCs w:val="21"/>
              </w:rPr>
              <w:t>元</w:t>
            </w:r>
          </w:p>
        </w:tc>
        <w:tc>
          <w:tcPr>
            <w:tcW w:w="1166" w:type="dxa"/>
            <w:tcBorders>
              <w:tl2br w:val="nil"/>
              <w:tr2bl w:val="nil"/>
            </w:tcBorders>
            <w:noWrap w:val="0"/>
            <w:vAlign w:val="center"/>
          </w:tcPr>
          <w:p>
            <w:pPr>
              <w:pStyle w:val="2"/>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1" w:hRule="atLeast"/>
          <w:tblHeader/>
        </w:trPr>
        <w:tc>
          <w:tcPr>
            <w:tcW w:w="636" w:type="dxa"/>
            <w:tcBorders>
              <w:tl2br w:val="nil"/>
              <w:tr2bl w:val="nil"/>
            </w:tcBorders>
            <w:noWrap w:val="0"/>
            <w:vAlign w:val="center"/>
          </w:tcPr>
          <w:p>
            <w:pPr>
              <w:pStyle w:val="2"/>
              <w:jc w:val="center"/>
              <w:rPr>
                <w:color w:val="auto"/>
                <w:szCs w:val="21"/>
              </w:rPr>
            </w:pPr>
            <w:r>
              <w:rPr>
                <w:rFonts w:hint="eastAsia"/>
                <w:color w:val="auto"/>
                <w:szCs w:val="21"/>
              </w:rPr>
              <w:t>1</w:t>
            </w:r>
            <w:r>
              <w:rPr>
                <w:color w:val="auto"/>
                <w:szCs w:val="21"/>
              </w:rPr>
              <w:t>4</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能源管理（通用</w:t>
            </w:r>
            <w:r>
              <w:rPr>
                <w:rFonts w:hint="eastAsia"/>
                <w:color w:val="auto"/>
                <w:szCs w:val="21"/>
              </w:rPr>
              <w:t>配电</w:t>
            </w:r>
            <w:r>
              <w:rPr>
                <w:color w:val="auto"/>
                <w:szCs w:val="21"/>
              </w:rPr>
              <w:t>设备）</w:t>
            </w:r>
          </w:p>
        </w:tc>
        <w:tc>
          <w:tcPr>
            <w:tcW w:w="5065" w:type="dxa"/>
            <w:tcBorders>
              <w:tl2br w:val="nil"/>
              <w:tr2bl w:val="nil"/>
            </w:tcBorders>
            <w:noWrap w:val="0"/>
            <w:vAlign w:val="center"/>
          </w:tcPr>
          <w:p>
            <w:pPr>
              <w:pStyle w:val="2"/>
              <w:rPr>
                <w:color w:val="auto"/>
                <w:szCs w:val="21"/>
              </w:rPr>
            </w:pPr>
            <w:r>
              <w:rPr>
                <w:color w:val="auto"/>
                <w:szCs w:val="21"/>
              </w:rPr>
              <w:t>针对传统能源管理系统多采用定制单机版、投入大、运维难度高、拓展性弱，多局限于在线监测、在线抄表，系统在线采集数据质量差，对企业节能实际意义不大等，以提高企业用能效率、降低用能成本、提高用能安全性为目标，面向各类能效优化潜力高</w:t>
            </w:r>
            <w:r>
              <w:rPr>
                <w:rFonts w:hint="eastAsia"/>
                <w:color w:val="auto"/>
                <w:szCs w:val="21"/>
              </w:rPr>
              <w:t>的</w:t>
            </w:r>
            <w:r>
              <w:rPr>
                <w:color w:val="auto"/>
                <w:szCs w:val="21"/>
              </w:rPr>
              <w:t>企业，实施通用配电设备的综合用能管理，支撑企业用能的专业化和数字化管理，识别与追溯配电设备的电气故障。</w:t>
            </w:r>
          </w:p>
        </w:tc>
        <w:tc>
          <w:tcPr>
            <w:tcW w:w="3708" w:type="dxa"/>
            <w:tcBorders>
              <w:tl2br w:val="nil"/>
              <w:tr2bl w:val="nil"/>
            </w:tcBorders>
            <w:noWrap w:val="0"/>
            <w:vAlign w:val="center"/>
          </w:tcPr>
          <w:p>
            <w:pPr>
              <w:pStyle w:val="2"/>
              <w:rPr>
                <w:color w:val="auto"/>
                <w:szCs w:val="21"/>
              </w:rPr>
            </w:pPr>
            <w:r>
              <w:rPr>
                <w:color w:val="auto"/>
                <w:sz w:val="20"/>
                <w:szCs w:val="20"/>
              </w:rPr>
              <w:t>具有能耗管理、告警管理、分析报告管理、系统管理等实用功能模块，同时可拓展支撑企业开展能效分析，实现节能空间量化分析；精准定位用能问题点，实现用电异常或故障信息同时展示至手机和电脑端;实现数据汇总分析功能，自动化生成用能分析诊断报告,包括但不限于节能空间分析报告、用能成本分析报告、用能体检分析报告等，并针对性给出优化建议;至少出具两个以上降低企业用能成本的解决方案，方案应对节能降费效果进行定量分析，并具备可操作性。</w:t>
            </w:r>
            <w:r>
              <w:rPr>
                <w:color w:val="auto"/>
                <w:sz w:val="20"/>
                <w:szCs w:val="20"/>
              </w:rPr>
              <w:br w:type="textWrapping"/>
            </w:r>
            <w:r>
              <w:rPr>
                <w:rFonts w:hint="eastAsia"/>
                <w:color w:val="auto"/>
                <w:sz w:val="20"/>
                <w:szCs w:val="20"/>
              </w:rPr>
              <w:t>选项功能：</w:t>
            </w:r>
            <w:r>
              <w:rPr>
                <w:color w:val="auto"/>
                <w:sz w:val="20"/>
                <w:szCs w:val="20"/>
              </w:rPr>
              <w:t>可实现电能质量全方位监测以及故障录波分析与回放；可实现电力市场化交易环境下的应用需求，包括但不限于负荷预测、需求侧响应、负荷分类管控等。</w:t>
            </w:r>
          </w:p>
        </w:tc>
        <w:tc>
          <w:tcPr>
            <w:tcW w:w="993" w:type="dxa"/>
            <w:tcBorders>
              <w:tl2br w:val="nil"/>
              <w:tr2bl w:val="nil"/>
            </w:tcBorders>
            <w:noWrap w:val="0"/>
            <w:vAlign w:val="center"/>
          </w:tcPr>
          <w:p>
            <w:pPr>
              <w:pStyle w:val="2"/>
              <w:jc w:val="center"/>
              <w:rPr>
                <w:color w:val="auto"/>
                <w:szCs w:val="21"/>
              </w:rPr>
            </w:pPr>
            <w:r>
              <w:rPr>
                <w:color w:val="auto"/>
                <w:szCs w:val="21"/>
              </w:rPr>
              <w:t>15万元</w:t>
            </w:r>
          </w:p>
        </w:tc>
        <w:tc>
          <w:tcPr>
            <w:tcW w:w="1166" w:type="dxa"/>
            <w:tcBorders>
              <w:tl2br w:val="nil"/>
              <w:tr2bl w:val="nil"/>
            </w:tcBorders>
            <w:noWrap w:val="0"/>
            <w:vAlign w:val="center"/>
          </w:tcPr>
          <w:p>
            <w:pPr>
              <w:pStyle w:val="2"/>
              <w:rPr>
                <w:color w:val="auto"/>
                <w:szCs w:val="21"/>
              </w:rPr>
            </w:pPr>
            <w:r>
              <w:rPr>
                <w:rFonts w:hint="eastAsia"/>
                <w:color w:val="auto"/>
                <w:szCs w:val="21"/>
              </w:rPr>
              <w:t>选项功能不作为奖补强制要求，作为合同额度参考。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6" w:hRule="atLeast"/>
          <w:tblHeader/>
        </w:trPr>
        <w:tc>
          <w:tcPr>
            <w:tcW w:w="636" w:type="dxa"/>
            <w:tcBorders>
              <w:tl2br w:val="nil"/>
              <w:tr2bl w:val="nil"/>
            </w:tcBorders>
            <w:noWrap w:val="0"/>
            <w:vAlign w:val="center"/>
          </w:tcPr>
          <w:p>
            <w:pPr>
              <w:pStyle w:val="2"/>
              <w:jc w:val="center"/>
              <w:rPr>
                <w:color w:val="auto"/>
                <w:szCs w:val="21"/>
              </w:rPr>
            </w:pPr>
            <w:r>
              <w:rPr>
                <w:rFonts w:hint="eastAsia"/>
                <w:color w:val="auto"/>
                <w:szCs w:val="21"/>
              </w:rPr>
              <w:t>15</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能源管理（通用</w:t>
            </w:r>
            <w:r>
              <w:rPr>
                <w:rFonts w:hint="eastAsia"/>
                <w:color w:val="auto"/>
                <w:szCs w:val="21"/>
              </w:rPr>
              <w:t>生产</w:t>
            </w:r>
            <w:r>
              <w:rPr>
                <w:color w:val="auto"/>
                <w:szCs w:val="21"/>
              </w:rPr>
              <w:t>设备）</w:t>
            </w:r>
          </w:p>
        </w:tc>
        <w:tc>
          <w:tcPr>
            <w:tcW w:w="5065" w:type="dxa"/>
            <w:tcBorders>
              <w:tl2br w:val="nil"/>
              <w:tr2bl w:val="nil"/>
            </w:tcBorders>
            <w:noWrap w:val="0"/>
            <w:vAlign w:val="center"/>
          </w:tcPr>
          <w:p>
            <w:pPr>
              <w:pStyle w:val="2"/>
              <w:rPr>
                <w:rFonts w:hint="eastAsia"/>
                <w:color w:val="auto"/>
                <w:szCs w:val="21"/>
              </w:rPr>
            </w:pPr>
            <w:r>
              <w:rPr>
                <w:color w:val="auto"/>
                <w:szCs w:val="21"/>
              </w:rPr>
              <w:t>面向</w:t>
            </w:r>
            <w:r>
              <w:rPr>
                <w:rFonts w:hint="eastAsia"/>
                <w:color w:val="auto"/>
                <w:szCs w:val="21"/>
              </w:rPr>
              <w:t>制造企业</w:t>
            </w:r>
            <w:r>
              <w:rPr>
                <w:color w:val="auto"/>
                <w:szCs w:val="21"/>
              </w:rPr>
              <w:t>空压站</w:t>
            </w:r>
            <w:r>
              <w:rPr>
                <w:rFonts w:hint="eastAsia"/>
                <w:color w:val="auto"/>
                <w:szCs w:val="21"/>
              </w:rPr>
              <w:t>、空调、锅炉、电机</w:t>
            </w:r>
            <w:r>
              <w:rPr>
                <w:color w:val="auto"/>
                <w:szCs w:val="21"/>
              </w:rPr>
              <w:t>等</w:t>
            </w:r>
            <w:r>
              <w:rPr>
                <w:rFonts w:hint="eastAsia"/>
                <w:color w:val="auto"/>
                <w:szCs w:val="21"/>
              </w:rPr>
              <w:t>通用生产设备车间</w:t>
            </w:r>
            <w:r>
              <w:rPr>
                <w:color w:val="auto"/>
                <w:szCs w:val="21"/>
              </w:rPr>
              <w:t>，针对企业能源管理粗放、存在用能监测黑箱问题、</w:t>
            </w:r>
            <w:r>
              <w:rPr>
                <w:rFonts w:hint="eastAsia"/>
                <w:color w:val="auto"/>
                <w:szCs w:val="21"/>
              </w:rPr>
              <w:t>能耗高、</w:t>
            </w:r>
            <w:r>
              <w:rPr>
                <w:color w:val="auto"/>
                <w:szCs w:val="21"/>
              </w:rPr>
              <w:t>设备寿命低、问题点查找困难等，基于对整个车间的</w:t>
            </w:r>
            <w:r>
              <w:rPr>
                <w:rFonts w:hint="eastAsia"/>
                <w:color w:val="auto"/>
                <w:szCs w:val="21"/>
              </w:rPr>
              <w:t>通用生产</w:t>
            </w:r>
            <w:r>
              <w:rPr>
                <w:color w:val="auto"/>
                <w:szCs w:val="21"/>
              </w:rPr>
              <w:t>设备及传感器的实时数据采集</w:t>
            </w:r>
            <w:r>
              <w:rPr>
                <w:rFonts w:hint="eastAsia"/>
                <w:color w:val="auto"/>
                <w:szCs w:val="21"/>
              </w:rPr>
              <w:t>，利用边缘计算和云服务器实现对车间设备运行参数的智能优化控制，</w:t>
            </w:r>
            <w:r>
              <w:rPr>
                <w:color w:val="auto"/>
                <w:szCs w:val="21"/>
              </w:rPr>
              <w:t>提高企业的能源利用水平和用能安全水平，降低能耗。</w:t>
            </w:r>
          </w:p>
        </w:tc>
        <w:tc>
          <w:tcPr>
            <w:tcW w:w="3708" w:type="dxa"/>
            <w:tcBorders>
              <w:tl2br w:val="nil"/>
              <w:tr2bl w:val="nil"/>
            </w:tcBorders>
            <w:noWrap w:val="0"/>
            <w:vAlign w:val="center"/>
          </w:tcPr>
          <w:p>
            <w:pPr>
              <w:pStyle w:val="2"/>
              <w:rPr>
                <w:color w:val="auto"/>
                <w:szCs w:val="21"/>
              </w:rPr>
            </w:pPr>
            <w:r>
              <w:rPr>
                <w:rFonts w:hint="eastAsia" w:ascii="宋体" w:hAnsi="宋体" w:cs="宋体"/>
                <w:bCs/>
                <w:color w:val="auto"/>
                <w:szCs w:val="21"/>
              </w:rPr>
              <w:t>具备设备能效统计和分析、节能空间量化分析、用能问题点精准定位分析等关键功能；</w:t>
            </w:r>
            <w:r>
              <w:rPr>
                <w:color w:val="auto"/>
                <w:szCs w:val="21"/>
              </w:rPr>
              <w:t>具有能耗管理、告警管理、分析报告管理、系统管理等实用功能模块</w:t>
            </w:r>
            <w:r>
              <w:rPr>
                <w:rFonts w:hint="eastAsia"/>
                <w:color w:val="auto"/>
                <w:szCs w:val="21"/>
              </w:rPr>
              <w:t>；</w:t>
            </w:r>
            <w:r>
              <w:rPr>
                <w:rFonts w:hint="eastAsia"/>
                <w:color w:val="auto"/>
                <w:sz w:val="22"/>
              </w:rPr>
              <w:t>实现实时监测、车间数字化看板、报表分析与展示、历史数据分析、异常工况检测、故障诊断、单耗评估等，部分可实现反向智能控制功能。</w:t>
            </w:r>
          </w:p>
        </w:tc>
        <w:tc>
          <w:tcPr>
            <w:tcW w:w="993" w:type="dxa"/>
            <w:tcBorders>
              <w:tl2br w:val="nil"/>
              <w:tr2bl w:val="nil"/>
            </w:tcBorders>
            <w:noWrap w:val="0"/>
            <w:vAlign w:val="center"/>
          </w:tcPr>
          <w:p>
            <w:pPr>
              <w:pStyle w:val="2"/>
              <w:jc w:val="center"/>
              <w:rPr>
                <w:color w:val="auto"/>
                <w:szCs w:val="21"/>
              </w:rPr>
            </w:pPr>
            <w:r>
              <w:rPr>
                <w:rFonts w:hint="eastAsia"/>
                <w:color w:val="auto"/>
                <w:szCs w:val="21"/>
              </w:rPr>
              <w:t>2</w:t>
            </w:r>
            <w:r>
              <w:rPr>
                <w:color w:val="auto"/>
                <w:szCs w:val="21"/>
              </w:rPr>
              <w:t>0万元</w:t>
            </w:r>
          </w:p>
        </w:tc>
        <w:tc>
          <w:tcPr>
            <w:tcW w:w="1166" w:type="dxa"/>
            <w:tcBorders>
              <w:tl2br w:val="nil"/>
              <w:tr2bl w:val="nil"/>
            </w:tcBorders>
            <w:noWrap w:val="0"/>
            <w:vAlign w:val="center"/>
          </w:tcPr>
          <w:p>
            <w:pPr>
              <w:pStyle w:val="2"/>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6" w:hRule="atLeast"/>
          <w:tblHeader/>
        </w:trPr>
        <w:tc>
          <w:tcPr>
            <w:tcW w:w="636" w:type="dxa"/>
            <w:tcBorders>
              <w:tl2br w:val="nil"/>
              <w:tr2bl w:val="nil"/>
            </w:tcBorders>
            <w:noWrap w:val="0"/>
            <w:vAlign w:val="center"/>
          </w:tcPr>
          <w:p>
            <w:pPr>
              <w:pStyle w:val="2"/>
              <w:jc w:val="center"/>
              <w:rPr>
                <w:color w:val="auto"/>
                <w:szCs w:val="21"/>
              </w:rPr>
            </w:pPr>
            <w:r>
              <w:rPr>
                <w:color w:val="auto"/>
                <w:szCs w:val="21"/>
              </w:rPr>
              <w:t>1</w:t>
            </w:r>
            <w:r>
              <w:rPr>
                <w:rFonts w:hint="eastAsia"/>
                <w:color w:val="auto"/>
                <w:szCs w:val="21"/>
              </w:rPr>
              <w:t>6</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能源管理（高耗能工艺设备）</w:t>
            </w:r>
          </w:p>
        </w:tc>
        <w:tc>
          <w:tcPr>
            <w:tcW w:w="5065" w:type="dxa"/>
            <w:tcBorders>
              <w:tl2br w:val="nil"/>
              <w:tr2bl w:val="nil"/>
            </w:tcBorders>
            <w:noWrap w:val="0"/>
            <w:vAlign w:val="center"/>
          </w:tcPr>
          <w:p>
            <w:pPr>
              <w:pStyle w:val="2"/>
              <w:rPr>
                <w:color w:val="auto"/>
                <w:szCs w:val="21"/>
              </w:rPr>
            </w:pPr>
            <w:r>
              <w:rPr>
                <w:color w:val="auto"/>
                <w:szCs w:val="21"/>
              </w:rPr>
              <w:t>面向非金属制品、金属冶炼、化工、造纸等高耗能流程型行业企业，针对企业高耗能工艺设备能源管理粗放、存在用能监测黑箱问题、工艺设备寿命低、问题点查找困难等，通过对重点高耗能工艺设备的用能监控为核心的企业综合能源管理，提高企业的能源利用水平和用能安全水平，减少用能污染的排放。</w:t>
            </w:r>
          </w:p>
        </w:tc>
        <w:tc>
          <w:tcPr>
            <w:tcW w:w="3708" w:type="dxa"/>
            <w:tcBorders>
              <w:tl2br w:val="nil"/>
              <w:tr2bl w:val="nil"/>
            </w:tcBorders>
            <w:noWrap w:val="0"/>
            <w:vAlign w:val="center"/>
          </w:tcPr>
          <w:p>
            <w:pPr>
              <w:pStyle w:val="2"/>
              <w:rPr>
                <w:color w:val="auto"/>
                <w:szCs w:val="21"/>
              </w:rPr>
            </w:pPr>
            <w:r>
              <w:rPr>
                <w:color w:val="auto"/>
                <w:szCs w:val="21"/>
              </w:rPr>
              <w:t>具有能耗管理、重点耗能工艺设备管理、告警管理、人员管理、能效分析等实用功能模块，实现能效多维度分析；实现高耗能工艺设备的用能和与能耗相关工艺参数的在线监测；兼容电、气、水、热、新能源等能源数据以及环保、排放数据接入，实现高耗能工艺设备重点能源种类的数据采集和在线监测，与DCS、ERP等其它系统对接集成；实现数据汇总分析功能，自动生成重点高耗能工艺设备的分析报告（能耗分析、运行状态分析、能源平衡图、能源成本量化绩效等），能自动生成能源管理相关报表和绩效分析报告，针对性给出建议和解决方案。</w:t>
            </w:r>
          </w:p>
          <w:p>
            <w:pPr>
              <w:pStyle w:val="2"/>
              <w:rPr>
                <w:color w:val="auto"/>
                <w:szCs w:val="21"/>
              </w:rPr>
            </w:pPr>
            <w:r>
              <w:rPr>
                <w:rFonts w:hint="eastAsia"/>
                <w:color w:val="auto"/>
                <w:szCs w:val="21"/>
              </w:rPr>
              <w:t>选项功能：</w:t>
            </w:r>
            <w:r>
              <w:rPr>
                <w:color w:val="auto"/>
                <w:szCs w:val="21"/>
              </w:rPr>
              <w:t>部分可实现高耗能工艺设备用能模型搭建及分析，可实现企业综合能源控制使用目标管理（包括碳排放、污染物排放、节能目标、单耗等）；可实现多种能源直接成本和间接成本的统一核算，结合能源使用总成本，给出最优化能源使用方案。</w:t>
            </w:r>
          </w:p>
        </w:tc>
        <w:tc>
          <w:tcPr>
            <w:tcW w:w="993" w:type="dxa"/>
            <w:tcBorders>
              <w:tl2br w:val="nil"/>
              <w:tr2bl w:val="nil"/>
            </w:tcBorders>
            <w:noWrap w:val="0"/>
            <w:vAlign w:val="center"/>
          </w:tcPr>
          <w:p>
            <w:pPr>
              <w:pStyle w:val="2"/>
              <w:jc w:val="center"/>
              <w:rPr>
                <w:color w:val="auto"/>
                <w:szCs w:val="21"/>
              </w:rPr>
            </w:pPr>
            <w:r>
              <w:rPr>
                <w:color w:val="auto"/>
                <w:szCs w:val="21"/>
              </w:rPr>
              <w:t>2</w:t>
            </w:r>
            <w:r>
              <w:rPr>
                <w:rFonts w:hint="eastAsia"/>
                <w:color w:val="auto"/>
                <w:szCs w:val="21"/>
                <w:lang w:val="en-US" w:eastAsia="zh-CN"/>
              </w:rPr>
              <w:t>0</w:t>
            </w:r>
            <w:r>
              <w:rPr>
                <w:color w:val="auto"/>
                <w:szCs w:val="21"/>
              </w:rPr>
              <w:t>万元</w:t>
            </w:r>
          </w:p>
        </w:tc>
        <w:tc>
          <w:tcPr>
            <w:tcW w:w="1166" w:type="dxa"/>
            <w:tcBorders>
              <w:tl2br w:val="nil"/>
              <w:tr2bl w:val="nil"/>
            </w:tcBorders>
            <w:noWrap w:val="0"/>
            <w:vAlign w:val="center"/>
          </w:tcPr>
          <w:p>
            <w:pPr>
              <w:pStyle w:val="2"/>
              <w:rPr>
                <w:color w:val="auto"/>
                <w:szCs w:val="21"/>
              </w:rPr>
            </w:pPr>
            <w:r>
              <w:rPr>
                <w:rFonts w:hint="eastAsia"/>
                <w:color w:val="auto"/>
                <w:szCs w:val="21"/>
              </w:rPr>
              <w:t>选项功能不作为奖补强制要求。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4"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17</w:t>
            </w:r>
          </w:p>
        </w:tc>
        <w:tc>
          <w:tcPr>
            <w:tcW w:w="776" w:type="dxa"/>
            <w:vMerge w:val="restart"/>
            <w:tcBorders>
              <w:tl2br w:val="nil"/>
              <w:tr2bl w:val="nil"/>
            </w:tcBorders>
            <w:noWrap w:val="0"/>
            <w:vAlign w:val="center"/>
          </w:tcPr>
          <w:p>
            <w:pPr>
              <w:pStyle w:val="2"/>
              <w:jc w:val="center"/>
              <w:rPr>
                <w:color w:val="auto"/>
                <w:szCs w:val="21"/>
              </w:rPr>
            </w:pPr>
            <w:r>
              <w:rPr>
                <w:color w:val="auto"/>
                <w:szCs w:val="21"/>
              </w:rPr>
              <w:t>生产管控</w:t>
            </w:r>
          </w:p>
        </w:tc>
        <w:tc>
          <w:tcPr>
            <w:tcW w:w="1722"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视觉检测</w:t>
            </w:r>
          </w:p>
        </w:tc>
        <w:tc>
          <w:tcPr>
            <w:tcW w:w="5065" w:type="dxa"/>
            <w:tcBorders>
              <w:tl2br w:val="nil"/>
              <w:tr2bl w:val="nil"/>
            </w:tcBorders>
            <w:noWrap w:val="0"/>
            <w:vAlign w:val="center"/>
          </w:tcPr>
          <w:p>
            <w:pPr>
              <w:keepNext w:val="0"/>
              <w:keepLines w:val="0"/>
              <w:widowControl/>
              <w:suppressLineNumbers w:val="0"/>
              <w:jc w:val="left"/>
              <w:rPr>
                <w:color w:val="auto"/>
                <w:szCs w:val="21"/>
              </w:rPr>
            </w:pPr>
            <w:r>
              <w:rPr>
                <w:rFonts w:asciiTheme="minorHAnsi" w:hAnsiTheme="minorHAnsi" w:eastAsiaTheme="minorEastAsia" w:cstheme="minorBidi"/>
                <w:color w:val="auto"/>
                <w:kern w:val="2"/>
                <w:sz w:val="21"/>
                <w:szCs w:val="21"/>
                <w:lang w:val="en-US" w:eastAsia="zh-CN" w:bidi="ar-SA"/>
              </w:rPr>
              <w:t>面向生产质量要求较高但人工检测准确率过低、效率过低等问题，或其生产工作环境不适宜人工作业的场景，运用机器视觉系统替代人工进行检测。鼓励运用AI 技术，实现云端协同的智能视觉检测功能。</w:t>
            </w:r>
          </w:p>
        </w:tc>
        <w:tc>
          <w:tcPr>
            <w:tcW w:w="3708" w:type="dxa"/>
            <w:tcBorders>
              <w:tl2br w:val="nil"/>
              <w:tr2bl w:val="nil"/>
            </w:tcBorders>
            <w:noWrap w:val="0"/>
            <w:vAlign w:val="center"/>
          </w:tcPr>
          <w:p>
            <w:pPr>
              <w:keepNext w:val="0"/>
              <w:keepLines w:val="0"/>
              <w:widowControl/>
              <w:suppressLineNumbers w:val="0"/>
              <w:jc w:val="left"/>
              <w:rPr>
                <w:color w:val="auto"/>
                <w:szCs w:val="21"/>
              </w:rPr>
            </w:pPr>
            <w:r>
              <w:rPr>
                <w:rFonts w:hint="eastAsia" w:asciiTheme="minorHAnsi" w:hAnsiTheme="minorHAnsi" w:eastAsiaTheme="minorEastAsia" w:cstheme="minorBidi"/>
                <w:color w:val="auto"/>
                <w:kern w:val="2"/>
                <w:sz w:val="21"/>
                <w:szCs w:val="21"/>
                <w:lang w:val="en-US" w:eastAsia="zh-CN" w:bidi="ar-SA"/>
              </w:rPr>
              <w:t>一般包括实时图像或声音数据采集设备（摄像头、录音设备等功能模块）；实时网络传输模块（4G、5G、NB-IOT、LoRa、有线网络等方式）；云计算基础设施（云服务器、云存储等）；机器学习引擎（机器学习、视觉模型、语音模型等）；应用软件（设备健康管理、智能质检、3D 分拣、参数性能优化等产业或服务），通过模型算法分析并应用，实现质检、健康管理等功能。</w:t>
            </w:r>
          </w:p>
        </w:tc>
        <w:tc>
          <w:tcPr>
            <w:tcW w:w="993"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20万元</w:t>
            </w:r>
          </w:p>
        </w:tc>
        <w:tc>
          <w:tcPr>
            <w:tcW w:w="1166" w:type="dxa"/>
            <w:tcBorders>
              <w:tl2br w:val="nil"/>
              <w:tr2bl w:val="nil"/>
            </w:tcBorders>
            <w:noWrap w:val="0"/>
            <w:vAlign w:val="center"/>
          </w:tcPr>
          <w:p>
            <w:pPr>
              <w:pStyle w:val="2"/>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4"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18</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rFonts w:asciiTheme="minorHAnsi" w:hAnsiTheme="minorHAnsi" w:eastAsiaTheme="minorEastAsia" w:cstheme="minorBidi"/>
                <w:color w:val="auto"/>
                <w:kern w:val="2"/>
                <w:sz w:val="21"/>
                <w:szCs w:val="21"/>
                <w:lang w:val="en-US" w:eastAsia="zh-CN" w:bidi="ar-SA"/>
              </w:rPr>
            </w:pPr>
            <w:r>
              <w:rPr>
                <w:color w:val="auto"/>
                <w:szCs w:val="21"/>
              </w:rPr>
              <w:t>AI</w:t>
            </w:r>
            <w:r>
              <w:rPr>
                <w:rFonts w:hint="eastAsia"/>
                <w:color w:val="auto"/>
                <w:szCs w:val="21"/>
              </w:rPr>
              <w:t>合规监测</w:t>
            </w:r>
          </w:p>
        </w:tc>
        <w:tc>
          <w:tcPr>
            <w:tcW w:w="5065" w:type="dxa"/>
            <w:tcBorders>
              <w:tl2br w:val="nil"/>
              <w:tr2bl w:val="nil"/>
            </w:tcBorders>
            <w:noWrap w:val="0"/>
            <w:vAlign w:val="center"/>
          </w:tcPr>
          <w:p>
            <w:pPr>
              <w:widowControl/>
              <w:jc w:val="left"/>
              <w:rPr>
                <w:rFonts w:asciiTheme="minorHAnsi" w:hAnsiTheme="minorHAnsi" w:eastAsiaTheme="minorEastAsia" w:cstheme="minorBidi"/>
                <w:color w:val="auto"/>
                <w:kern w:val="2"/>
                <w:sz w:val="21"/>
                <w:szCs w:val="21"/>
                <w:lang w:val="en-US" w:eastAsia="zh-CN" w:bidi="ar-SA"/>
              </w:rPr>
            </w:pPr>
            <w:r>
              <w:rPr>
                <w:rFonts w:hint="eastAsia" w:ascii="宋体" w:hAnsi="宋体" w:cs="宋体"/>
                <w:bCs/>
                <w:color w:val="auto"/>
                <w:szCs w:val="21"/>
              </w:rPr>
              <w:t>基于通讯网络的支持，实现AI的图片影像采集，实现多路视频流的实时解码和各类智能分析，含实时解码、算法调度、设备管理、参数配置和结果呈现等功能，提升行业监管的合理化、规范化、智能化水平，解决产品质量要求高的企业客户所面临的因操作人员不规范操作导致产品质量及人员安全管理难等问题，实现工艺行为识别、安全防护监控、产品数量监测。</w:t>
            </w:r>
          </w:p>
        </w:tc>
        <w:tc>
          <w:tcPr>
            <w:tcW w:w="3708" w:type="dxa"/>
            <w:tcBorders>
              <w:tl2br w:val="nil"/>
              <w:tr2bl w:val="nil"/>
            </w:tcBorders>
            <w:noWrap w:val="0"/>
            <w:vAlign w:val="center"/>
          </w:tcPr>
          <w:p>
            <w:pPr>
              <w:widowControl/>
              <w:jc w:val="left"/>
              <w:rPr>
                <w:rFonts w:asciiTheme="minorHAnsi" w:hAnsiTheme="minorHAnsi" w:eastAsiaTheme="minorEastAsia" w:cstheme="minorBidi"/>
                <w:color w:val="auto"/>
                <w:kern w:val="2"/>
                <w:sz w:val="21"/>
                <w:szCs w:val="21"/>
                <w:lang w:val="en-US" w:eastAsia="zh-CN" w:bidi="ar-SA"/>
              </w:rPr>
            </w:pPr>
            <w:r>
              <w:rPr>
                <w:rFonts w:hint="eastAsia" w:ascii="宋体" w:hAnsi="宋体" w:cs="宋体"/>
                <w:bCs/>
                <w:color w:val="auto"/>
                <w:szCs w:val="21"/>
              </w:rPr>
              <w:t>基于人体/物体识别等AI能力，构建多行业的人员合规监测功能，包括但不限于穿戴合规、操作合规、行为合规、计数合规等；对人脸的重点管控、异常行为识别、线下工艺行为识别等。</w:t>
            </w:r>
          </w:p>
        </w:tc>
        <w:tc>
          <w:tcPr>
            <w:tcW w:w="993" w:type="dxa"/>
            <w:tcBorders>
              <w:tl2br w:val="nil"/>
              <w:tr2bl w:val="nil"/>
            </w:tcBorders>
            <w:noWrap w:val="0"/>
            <w:vAlign w:val="center"/>
          </w:tcPr>
          <w:p>
            <w:pPr>
              <w:pStyle w:val="2"/>
              <w:jc w:val="center"/>
              <w:rPr>
                <w:rFonts w:asciiTheme="minorHAnsi" w:hAnsiTheme="minorHAnsi" w:eastAsiaTheme="minorEastAsia" w:cstheme="minorBidi"/>
                <w:color w:val="auto"/>
                <w:kern w:val="2"/>
                <w:sz w:val="21"/>
                <w:szCs w:val="21"/>
                <w:lang w:val="en-US" w:eastAsia="zh-CN" w:bidi="ar-SA"/>
              </w:rPr>
            </w:pPr>
            <w:r>
              <w:rPr>
                <w:rFonts w:hint="eastAsia"/>
                <w:bCs/>
                <w:color w:val="auto"/>
                <w:szCs w:val="21"/>
                <w:lang w:val="en-US" w:eastAsia="zh-CN"/>
              </w:rPr>
              <w:t>15</w:t>
            </w:r>
            <w:r>
              <w:rPr>
                <w:rFonts w:hint="eastAsia"/>
                <w:bCs/>
                <w:color w:val="auto"/>
                <w:szCs w:val="21"/>
              </w:rPr>
              <w:t>万元</w:t>
            </w:r>
          </w:p>
        </w:tc>
        <w:tc>
          <w:tcPr>
            <w:tcW w:w="1166" w:type="dxa"/>
            <w:tcBorders>
              <w:tl2br w:val="nil"/>
              <w:tr2bl w:val="nil"/>
            </w:tcBorders>
            <w:noWrap w:val="0"/>
            <w:vAlign w:val="center"/>
          </w:tcPr>
          <w:p>
            <w:pPr>
              <w:pStyle w:val="2"/>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4"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19</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rFonts w:asciiTheme="minorHAnsi" w:hAnsiTheme="minorHAnsi" w:eastAsiaTheme="minorEastAsia" w:cstheme="minorBidi"/>
                <w:color w:val="auto"/>
                <w:kern w:val="2"/>
                <w:sz w:val="21"/>
                <w:szCs w:val="21"/>
                <w:lang w:val="en-US" w:eastAsia="zh-CN" w:bidi="ar-SA"/>
              </w:rPr>
            </w:pPr>
            <w:r>
              <w:rPr>
                <w:rFonts w:hint="eastAsia"/>
                <w:color w:val="auto"/>
                <w:szCs w:val="21"/>
              </w:rPr>
              <w:t>安全生产</w:t>
            </w:r>
          </w:p>
        </w:tc>
        <w:tc>
          <w:tcPr>
            <w:tcW w:w="5065" w:type="dxa"/>
            <w:tcBorders>
              <w:tl2br w:val="nil"/>
              <w:tr2bl w:val="nil"/>
            </w:tcBorders>
            <w:noWrap w:val="0"/>
            <w:vAlign w:val="center"/>
          </w:tcPr>
          <w:p>
            <w:pPr>
              <w:widowControl/>
              <w:jc w:val="left"/>
              <w:rPr>
                <w:rFonts w:asciiTheme="minorHAnsi" w:hAnsiTheme="minorHAnsi" w:eastAsiaTheme="minorEastAsia" w:cstheme="minorBidi"/>
                <w:color w:val="auto"/>
                <w:kern w:val="2"/>
                <w:sz w:val="21"/>
                <w:szCs w:val="21"/>
                <w:lang w:val="en-US" w:eastAsia="zh-CN" w:bidi="ar-SA"/>
              </w:rPr>
            </w:pPr>
            <w:r>
              <w:rPr>
                <w:rFonts w:hint="eastAsia"/>
                <w:color w:val="auto"/>
                <w:szCs w:val="21"/>
              </w:rPr>
              <w:t>实现关键生产环节及工厂环境保障的安全可靠；实现工厂消防、用电安全、生产危险源、重点工艺设备、仓储及环境安全等提供智能物联管理，解决传统人防技能的不足，实现传统安全管理的静态、单防、人防向动态、联防、技防等进行数字化升级，采用网络通讯或终端，</w:t>
            </w:r>
            <w:r>
              <w:rPr>
                <w:color w:val="auto"/>
                <w:szCs w:val="21"/>
              </w:rPr>
              <w:t>7*24h</w:t>
            </w:r>
            <w:r>
              <w:rPr>
                <w:rFonts w:hint="eastAsia"/>
                <w:color w:val="auto"/>
                <w:szCs w:val="21"/>
              </w:rPr>
              <w:t>把控“工业互联网+安全生产”的过程指标，秒级预警风险，提升巡检及管理效率，从风险识别、风险监管到风险处置进行闭环，降低工厂整体安全风险及事故损失。</w:t>
            </w:r>
          </w:p>
        </w:tc>
        <w:tc>
          <w:tcPr>
            <w:tcW w:w="3708" w:type="dxa"/>
            <w:tcBorders>
              <w:tl2br w:val="nil"/>
              <w:tr2bl w:val="nil"/>
            </w:tcBorders>
            <w:noWrap w:val="0"/>
            <w:vAlign w:val="center"/>
          </w:tcPr>
          <w:p>
            <w:pPr>
              <w:widowControl/>
              <w:jc w:val="left"/>
              <w:rPr>
                <w:rFonts w:asciiTheme="minorHAnsi" w:hAnsiTheme="minorHAnsi" w:eastAsiaTheme="minorEastAsia" w:cstheme="minorBidi"/>
                <w:color w:val="auto"/>
                <w:kern w:val="2"/>
                <w:sz w:val="21"/>
                <w:szCs w:val="21"/>
                <w:lang w:val="en-US" w:eastAsia="zh-CN" w:bidi="ar-SA"/>
              </w:rPr>
            </w:pPr>
            <w:r>
              <w:rPr>
                <w:rFonts w:hint="eastAsia"/>
                <w:color w:val="auto"/>
                <w:szCs w:val="21"/>
              </w:rPr>
              <w:t>消防安全联网管理；用电安全实时监控；易燃易爆气体、有毒有害气体等危险源监控；加热加温生产设备、大电流设备、仓储环境高温动态监控；异常趋势分析、联动秒级告警推送、移动运维管理等。</w:t>
            </w:r>
          </w:p>
        </w:tc>
        <w:tc>
          <w:tcPr>
            <w:tcW w:w="993" w:type="dxa"/>
            <w:tcBorders>
              <w:tl2br w:val="nil"/>
              <w:tr2bl w:val="nil"/>
            </w:tcBorders>
            <w:noWrap w:val="0"/>
            <w:vAlign w:val="center"/>
          </w:tcPr>
          <w:p>
            <w:pPr>
              <w:pStyle w:val="2"/>
              <w:jc w:val="center"/>
              <w:rPr>
                <w:rFonts w:asciiTheme="minorHAnsi" w:hAnsiTheme="minorHAnsi" w:eastAsiaTheme="minorEastAsia" w:cstheme="minorBidi"/>
                <w:color w:val="auto"/>
                <w:kern w:val="2"/>
                <w:sz w:val="21"/>
                <w:szCs w:val="21"/>
                <w:lang w:val="en-US" w:eastAsia="zh-CN" w:bidi="ar-SA"/>
              </w:rPr>
            </w:pPr>
            <w:r>
              <w:rPr>
                <w:rFonts w:hint="eastAsia"/>
                <w:color w:val="auto"/>
                <w:szCs w:val="21"/>
                <w:lang w:val="en-US" w:eastAsia="zh-CN"/>
              </w:rPr>
              <w:t>20</w:t>
            </w:r>
            <w:r>
              <w:rPr>
                <w:rFonts w:hint="eastAsia"/>
                <w:color w:val="auto"/>
                <w:szCs w:val="21"/>
              </w:rPr>
              <w:t>万元</w:t>
            </w:r>
          </w:p>
        </w:tc>
        <w:tc>
          <w:tcPr>
            <w:tcW w:w="1166" w:type="dxa"/>
            <w:tcBorders>
              <w:tl2br w:val="nil"/>
              <w:tr2bl w:val="nil"/>
            </w:tcBorders>
            <w:noWrap w:val="0"/>
            <w:vAlign w:val="center"/>
          </w:tcPr>
          <w:p>
            <w:pPr>
              <w:pStyle w:val="2"/>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4"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20</w:t>
            </w:r>
          </w:p>
        </w:tc>
        <w:tc>
          <w:tcPr>
            <w:tcW w:w="776" w:type="dxa"/>
            <w:vMerge w:val="restart"/>
            <w:tcBorders>
              <w:tl2br w:val="nil"/>
              <w:tr2bl w:val="nil"/>
            </w:tcBorders>
            <w:noWrap w:val="0"/>
            <w:vAlign w:val="center"/>
          </w:tcPr>
          <w:p>
            <w:pPr>
              <w:pStyle w:val="2"/>
              <w:jc w:val="center"/>
              <w:rPr>
                <w:color w:val="auto"/>
                <w:szCs w:val="21"/>
              </w:rPr>
            </w:pPr>
            <w:r>
              <w:rPr>
                <w:color w:val="auto"/>
                <w:szCs w:val="21"/>
              </w:rPr>
              <w:t>经营管理</w:t>
            </w:r>
          </w:p>
        </w:tc>
        <w:tc>
          <w:tcPr>
            <w:tcW w:w="1722" w:type="dxa"/>
            <w:tcBorders>
              <w:tl2br w:val="nil"/>
              <w:tr2bl w:val="nil"/>
            </w:tcBorders>
            <w:noWrap w:val="0"/>
            <w:vAlign w:val="center"/>
          </w:tcPr>
          <w:p>
            <w:pPr>
              <w:pStyle w:val="2"/>
              <w:jc w:val="center"/>
              <w:rPr>
                <w:color w:val="auto"/>
                <w:szCs w:val="21"/>
              </w:rPr>
            </w:pPr>
            <w:r>
              <w:rPr>
                <w:color w:val="auto"/>
                <w:szCs w:val="21"/>
              </w:rPr>
              <w:t>供应链协同</w:t>
            </w:r>
          </w:p>
        </w:tc>
        <w:tc>
          <w:tcPr>
            <w:tcW w:w="5065" w:type="dxa"/>
            <w:tcBorders>
              <w:tl2br w:val="nil"/>
              <w:tr2bl w:val="nil"/>
            </w:tcBorders>
            <w:noWrap w:val="0"/>
            <w:vAlign w:val="center"/>
          </w:tcPr>
          <w:p>
            <w:pPr>
              <w:pStyle w:val="2"/>
              <w:rPr>
                <w:color w:val="auto"/>
                <w:szCs w:val="21"/>
              </w:rPr>
            </w:pPr>
            <w:r>
              <w:rPr>
                <w:color w:val="auto"/>
                <w:szCs w:val="21"/>
              </w:rPr>
              <w:t>面向生产制造企业，在传统采购管理的基础上，延伸到完整的供应链协同，提升供应商管理效率、降低供应商管理成本、提高供应链协作效率。包括：让企业与供应商间订单信息、物流信息、财务对账信息同步在线协同、实时跟进，异常提前预警，自动计算供应商绩效，帮助采购企业精准优化供应商能力，让采购企业实时掌握每笔物料的供应协同状况，供应商物料配套更及时、准确。</w:t>
            </w:r>
          </w:p>
        </w:tc>
        <w:tc>
          <w:tcPr>
            <w:tcW w:w="3708" w:type="dxa"/>
            <w:tcBorders>
              <w:tl2br w:val="nil"/>
              <w:tr2bl w:val="nil"/>
            </w:tcBorders>
            <w:noWrap w:val="0"/>
            <w:vAlign w:val="center"/>
          </w:tcPr>
          <w:p>
            <w:pPr>
              <w:pStyle w:val="2"/>
              <w:rPr>
                <w:color w:val="auto"/>
                <w:szCs w:val="21"/>
              </w:rPr>
            </w:pPr>
            <w:r>
              <w:rPr>
                <w:color w:val="auto"/>
                <w:szCs w:val="21"/>
              </w:rPr>
              <w:t>供应商管理、潜在供应商管理、采购订单自动发放与在线跟进、采购变更协同、供货计划协同、物流交货协同、质量信息协同、供应商对账与发票管理、询价招标、竞价平台、供应链实时数据分析，以及供应链金融、供应链大数据等创新增值服务。</w:t>
            </w:r>
          </w:p>
        </w:tc>
        <w:tc>
          <w:tcPr>
            <w:tcW w:w="993" w:type="dxa"/>
            <w:tcBorders>
              <w:tl2br w:val="nil"/>
              <w:tr2bl w:val="nil"/>
            </w:tcBorders>
            <w:noWrap w:val="0"/>
            <w:vAlign w:val="center"/>
          </w:tcPr>
          <w:p>
            <w:pPr>
              <w:pStyle w:val="2"/>
              <w:jc w:val="center"/>
              <w:rPr>
                <w:rFonts w:hint="eastAsia"/>
                <w:color w:val="auto"/>
                <w:szCs w:val="21"/>
              </w:rPr>
            </w:pPr>
            <w:r>
              <w:rPr>
                <w:color w:val="auto"/>
                <w:szCs w:val="21"/>
              </w:rPr>
              <w:t>3万元</w:t>
            </w:r>
          </w:p>
        </w:tc>
        <w:tc>
          <w:tcPr>
            <w:tcW w:w="1166" w:type="dxa"/>
            <w:tcBorders>
              <w:tl2br w:val="nil"/>
              <w:tr2bl w:val="nil"/>
            </w:tcBorders>
            <w:noWrap w:val="0"/>
            <w:vAlign w:val="center"/>
          </w:tcPr>
          <w:p>
            <w:pPr>
              <w:pStyle w:val="2"/>
              <w:rPr>
                <w:color w:val="auto"/>
                <w:szCs w:val="21"/>
              </w:rPr>
            </w:pPr>
            <w:r>
              <w:rPr>
                <w:color w:val="auto"/>
                <w:szCs w:val="21"/>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62"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21</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仓储管理</w:t>
            </w:r>
          </w:p>
        </w:tc>
        <w:tc>
          <w:tcPr>
            <w:tcW w:w="5065" w:type="dxa"/>
            <w:tcBorders>
              <w:tl2br w:val="nil"/>
              <w:tr2bl w:val="nil"/>
            </w:tcBorders>
            <w:noWrap w:val="0"/>
            <w:vAlign w:val="center"/>
          </w:tcPr>
          <w:p>
            <w:pPr>
              <w:pStyle w:val="2"/>
              <w:rPr>
                <w:color w:val="auto"/>
                <w:szCs w:val="21"/>
              </w:rPr>
            </w:pPr>
            <w:r>
              <w:rPr>
                <w:color w:val="auto"/>
                <w:szCs w:val="21"/>
              </w:rPr>
              <w:t>面向中小工业企业的材料及成品仓库管理，通过全条码化管理、精细化库位、绩效管理、策略管理等物流技术应用，解决仓储管理中的作业方式原始，过度依赖人，效率低下，容易出错以及先进先出难实现、人员难管等典型问题。</w:t>
            </w:r>
          </w:p>
        </w:tc>
        <w:tc>
          <w:tcPr>
            <w:tcW w:w="3708" w:type="dxa"/>
            <w:tcBorders>
              <w:tl2br w:val="nil"/>
              <w:tr2bl w:val="nil"/>
            </w:tcBorders>
            <w:noWrap w:val="0"/>
            <w:vAlign w:val="center"/>
          </w:tcPr>
          <w:p>
            <w:pPr>
              <w:pStyle w:val="2"/>
              <w:rPr>
                <w:color w:val="auto"/>
                <w:szCs w:val="21"/>
              </w:rPr>
            </w:pPr>
            <w:r>
              <w:rPr>
                <w:color w:val="auto"/>
                <w:szCs w:val="21"/>
              </w:rPr>
              <w:t>基础资料、入库业务、库内业务、出库业务、库位管理、条码管理、绩效管理、批次管理、报表管理、系统管理、策略管理、RF操作端。</w:t>
            </w:r>
          </w:p>
        </w:tc>
        <w:tc>
          <w:tcPr>
            <w:tcW w:w="993" w:type="dxa"/>
            <w:tcBorders>
              <w:tl2br w:val="nil"/>
              <w:tr2bl w:val="nil"/>
            </w:tcBorders>
            <w:noWrap w:val="0"/>
            <w:vAlign w:val="center"/>
          </w:tcPr>
          <w:p>
            <w:pPr>
              <w:pStyle w:val="2"/>
              <w:jc w:val="center"/>
              <w:rPr>
                <w:color w:val="auto"/>
                <w:szCs w:val="21"/>
              </w:rPr>
            </w:pPr>
            <w:r>
              <w:rPr>
                <w:color w:val="auto"/>
                <w:szCs w:val="21"/>
              </w:rPr>
              <w:t>5万元</w:t>
            </w:r>
          </w:p>
        </w:tc>
        <w:tc>
          <w:tcPr>
            <w:tcW w:w="1166" w:type="dxa"/>
            <w:tcBorders>
              <w:tl2br w:val="nil"/>
              <w:tr2bl w:val="nil"/>
            </w:tcBorders>
            <w:noWrap w:val="0"/>
            <w:vAlign w:val="center"/>
          </w:tcPr>
          <w:p>
            <w:pPr>
              <w:pStyle w:val="2"/>
              <w:rPr>
                <w:rFonts w:hint="eastAsia"/>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31"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22</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资源计划</w:t>
            </w:r>
            <w:r>
              <w:rPr>
                <w:rFonts w:hint="eastAsia"/>
                <w:color w:val="auto"/>
                <w:szCs w:val="21"/>
              </w:rPr>
              <w:t xml:space="preserve"> </w:t>
            </w:r>
            <w:r>
              <w:rPr>
                <w:color w:val="auto"/>
                <w:szCs w:val="21"/>
              </w:rPr>
              <w:t>I</w:t>
            </w:r>
          </w:p>
        </w:tc>
        <w:tc>
          <w:tcPr>
            <w:tcW w:w="5065" w:type="dxa"/>
            <w:tcBorders>
              <w:tl2br w:val="nil"/>
              <w:tr2bl w:val="nil"/>
            </w:tcBorders>
            <w:noWrap w:val="0"/>
            <w:vAlign w:val="center"/>
          </w:tcPr>
          <w:p>
            <w:pPr>
              <w:pStyle w:val="2"/>
              <w:rPr>
                <w:color w:val="auto"/>
                <w:szCs w:val="21"/>
              </w:rPr>
            </w:pPr>
            <w:r>
              <w:rPr>
                <w:color w:val="auto"/>
                <w:szCs w:val="21"/>
              </w:rPr>
              <w:t>面向</w:t>
            </w:r>
            <w:r>
              <w:rPr>
                <w:rFonts w:hint="eastAsia"/>
                <w:color w:val="auto"/>
                <w:szCs w:val="21"/>
              </w:rPr>
              <w:t>中小</w:t>
            </w:r>
            <w:r>
              <w:rPr>
                <w:color w:val="auto"/>
                <w:szCs w:val="21"/>
              </w:rPr>
              <w:t>工业企业的资源计划管理，实现进销存、财务等企业经营管理，有效提升企业运营管理能力，主要目标是解决工业企业基础性资源计划管理需求，并能够为第三方信息系统提供开放数据接口。</w:t>
            </w:r>
          </w:p>
        </w:tc>
        <w:tc>
          <w:tcPr>
            <w:tcW w:w="3708" w:type="dxa"/>
            <w:tcBorders>
              <w:tl2br w:val="nil"/>
              <w:tr2bl w:val="nil"/>
            </w:tcBorders>
            <w:noWrap w:val="0"/>
            <w:vAlign w:val="center"/>
          </w:tcPr>
          <w:p>
            <w:pPr>
              <w:pStyle w:val="2"/>
              <w:rPr>
                <w:color w:val="auto"/>
                <w:szCs w:val="21"/>
              </w:rPr>
            </w:pPr>
            <w:r>
              <w:rPr>
                <w:rFonts w:hint="eastAsia"/>
                <w:color w:val="auto"/>
                <w:szCs w:val="21"/>
              </w:rPr>
              <w:t>总账管理、财务报表、固定资产、出纳管理、应收款管理、应付款管理、采购管理、销售管理、库存管理、存货管理、存货核算</w:t>
            </w:r>
            <w:r>
              <w:rPr>
                <w:color w:val="auto"/>
                <w:szCs w:val="21"/>
              </w:rPr>
              <w:t>。</w:t>
            </w:r>
          </w:p>
        </w:tc>
        <w:tc>
          <w:tcPr>
            <w:tcW w:w="993" w:type="dxa"/>
            <w:tcBorders>
              <w:tl2br w:val="nil"/>
              <w:tr2bl w:val="nil"/>
            </w:tcBorders>
            <w:noWrap w:val="0"/>
            <w:vAlign w:val="center"/>
          </w:tcPr>
          <w:p>
            <w:pPr>
              <w:pStyle w:val="2"/>
              <w:jc w:val="center"/>
              <w:rPr>
                <w:color w:val="auto"/>
                <w:szCs w:val="21"/>
              </w:rPr>
            </w:pPr>
            <w:r>
              <w:rPr>
                <w:color w:val="auto"/>
                <w:szCs w:val="21"/>
              </w:rPr>
              <w:t>3万元</w:t>
            </w:r>
          </w:p>
        </w:tc>
        <w:tc>
          <w:tcPr>
            <w:tcW w:w="1166" w:type="dxa"/>
            <w:tcBorders>
              <w:tl2br w:val="nil"/>
              <w:tr2bl w:val="nil"/>
            </w:tcBorders>
            <w:noWrap w:val="0"/>
            <w:vAlign w:val="center"/>
          </w:tcPr>
          <w:p>
            <w:pPr>
              <w:pStyle w:val="2"/>
              <w:rPr>
                <w:rFonts w:hint="eastAsia"/>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23</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资源计划</w:t>
            </w:r>
            <w:r>
              <w:rPr>
                <w:rFonts w:hint="eastAsia"/>
                <w:color w:val="auto"/>
                <w:szCs w:val="21"/>
              </w:rPr>
              <w:t xml:space="preserve"> </w:t>
            </w:r>
            <w:r>
              <w:rPr>
                <w:color w:val="auto"/>
                <w:szCs w:val="21"/>
              </w:rPr>
              <w:t>Ⅱ</w:t>
            </w:r>
          </w:p>
        </w:tc>
        <w:tc>
          <w:tcPr>
            <w:tcW w:w="5065" w:type="dxa"/>
            <w:tcBorders>
              <w:tl2br w:val="nil"/>
              <w:tr2bl w:val="nil"/>
            </w:tcBorders>
            <w:noWrap w:val="0"/>
            <w:vAlign w:val="center"/>
          </w:tcPr>
          <w:p>
            <w:pPr>
              <w:pStyle w:val="2"/>
              <w:rPr>
                <w:color w:val="auto"/>
                <w:szCs w:val="21"/>
              </w:rPr>
            </w:pPr>
            <w:r>
              <w:rPr>
                <w:color w:val="auto"/>
                <w:szCs w:val="21"/>
              </w:rPr>
              <w:t>面向库存式或订单式生产的制造企业，实现进销存、生产制造、财务等全面的企业经营管理，有效提升企业运营管理能力。包括：从销售接单，到生产计划、物料采购、仓库进出料管理、质量管理、财务与成本核算，让企业在管理和组织上采取更加灵活的方式，实施、敏捷的面对供需变动，在掌握准确、及时、完整信息的基础上，作出正确决策，采取准确管理的措施。</w:t>
            </w:r>
          </w:p>
        </w:tc>
        <w:tc>
          <w:tcPr>
            <w:tcW w:w="3708" w:type="dxa"/>
            <w:tcBorders>
              <w:tl2br w:val="nil"/>
              <w:tr2bl w:val="nil"/>
            </w:tcBorders>
            <w:noWrap w:val="0"/>
            <w:vAlign w:val="center"/>
          </w:tcPr>
          <w:p>
            <w:pPr>
              <w:pStyle w:val="2"/>
              <w:rPr>
                <w:rFonts w:hint="eastAsia"/>
                <w:color w:val="auto"/>
                <w:szCs w:val="21"/>
              </w:rPr>
            </w:pPr>
            <w:r>
              <w:rPr>
                <w:color w:val="auto"/>
                <w:szCs w:val="21"/>
              </w:rPr>
              <w:t>销售管理、产品结构管理、MRP、采购管理、库存管理、质量管理、应收应付管理、总账管理、成本管理，以及相关统计分析报表。</w:t>
            </w:r>
          </w:p>
        </w:tc>
        <w:tc>
          <w:tcPr>
            <w:tcW w:w="993" w:type="dxa"/>
            <w:tcBorders>
              <w:tl2br w:val="nil"/>
              <w:tr2bl w:val="nil"/>
            </w:tcBorders>
            <w:noWrap w:val="0"/>
            <w:vAlign w:val="center"/>
          </w:tcPr>
          <w:p>
            <w:pPr>
              <w:pStyle w:val="2"/>
              <w:jc w:val="center"/>
              <w:rPr>
                <w:color w:val="auto"/>
                <w:szCs w:val="21"/>
              </w:rPr>
            </w:pPr>
            <w:r>
              <w:rPr>
                <w:color w:val="auto"/>
                <w:szCs w:val="21"/>
              </w:rPr>
              <w:t>5万元</w:t>
            </w:r>
          </w:p>
        </w:tc>
        <w:tc>
          <w:tcPr>
            <w:tcW w:w="1166" w:type="dxa"/>
            <w:tcBorders>
              <w:tl2br w:val="nil"/>
              <w:tr2bl w:val="nil"/>
            </w:tcBorders>
            <w:noWrap w:val="0"/>
            <w:vAlign w:val="center"/>
          </w:tcPr>
          <w:p>
            <w:pPr>
              <w:pStyle w:val="2"/>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67"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24</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color w:val="auto"/>
                <w:szCs w:val="21"/>
              </w:rPr>
              <w:t>数据管理，BI</w:t>
            </w:r>
          </w:p>
        </w:tc>
        <w:tc>
          <w:tcPr>
            <w:tcW w:w="5065" w:type="dxa"/>
            <w:tcBorders>
              <w:tl2br w:val="nil"/>
              <w:tr2bl w:val="nil"/>
            </w:tcBorders>
            <w:noWrap w:val="0"/>
            <w:vAlign w:val="center"/>
          </w:tcPr>
          <w:p>
            <w:pPr>
              <w:pStyle w:val="2"/>
              <w:rPr>
                <w:color w:val="auto"/>
                <w:szCs w:val="21"/>
              </w:rPr>
            </w:pPr>
            <w:r>
              <w:rPr>
                <w:color w:val="auto"/>
                <w:szCs w:val="21"/>
              </w:rPr>
              <w:t>面向具备较好信息化和数据基础的企业，打通企业内信息孤岛，解决运营数据量大、格式杂乱、缺乏管理利用手段、手工报表效率低、数据既无法抽象也无法还原、缺乏穿透式查询分析能力等问题，让高层管理者随时随地以直观易懂的方式查看数据，及时把握企业运营状况并做出合适决策，有效提升企业运营效率，提高决策准确度与及时性。</w:t>
            </w:r>
          </w:p>
        </w:tc>
        <w:tc>
          <w:tcPr>
            <w:tcW w:w="3708" w:type="dxa"/>
            <w:tcBorders>
              <w:tl2br w:val="nil"/>
              <w:tr2bl w:val="nil"/>
            </w:tcBorders>
            <w:noWrap w:val="0"/>
            <w:vAlign w:val="center"/>
          </w:tcPr>
          <w:p>
            <w:pPr>
              <w:pStyle w:val="2"/>
              <w:rPr>
                <w:color w:val="auto"/>
                <w:szCs w:val="21"/>
              </w:rPr>
            </w:pPr>
            <w:r>
              <w:rPr>
                <w:color w:val="auto"/>
                <w:szCs w:val="21"/>
              </w:rPr>
              <w:t>数据集成、数据补录、数据处理聚合、数据建模、图表设计、看板设计、异常预警、趋势预测、智能分析辅助决策等，实现制造业全价值链数据可视化和穿透式分析，可追踪、可上卷下钻。</w:t>
            </w:r>
          </w:p>
        </w:tc>
        <w:tc>
          <w:tcPr>
            <w:tcW w:w="993" w:type="dxa"/>
            <w:tcBorders>
              <w:tl2br w:val="nil"/>
              <w:tr2bl w:val="nil"/>
            </w:tcBorders>
            <w:noWrap w:val="0"/>
            <w:vAlign w:val="center"/>
          </w:tcPr>
          <w:p>
            <w:pPr>
              <w:pStyle w:val="2"/>
              <w:jc w:val="center"/>
              <w:rPr>
                <w:color w:val="auto"/>
                <w:szCs w:val="21"/>
              </w:rPr>
            </w:pPr>
            <w:r>
              <w:rPr>
                <w:rFonts w:hint="eastAsia"/>
                <w:color w:val="auto"/>
                <w:szCs w:val="21"/>
              </w:rPr>
              <w:t>5</w:t>
            </w:r>
            <w:r>
              <w:rPr>
                <w:color w:val="auto"/>
                <w:szCs w:val="21"/>
              </w:rPr>
              <w:t>万元</w:t>
            </w:r>
          </w:p>
        </w:tc>
        <w:tc>
          <w:tcPr>
            <w:tcW w:w="1166" w:type="dxa"/>
            <w:tcBorders>
              <w:tl2br w:val="nil"/>
              <w:tr2bl w:val="nil"/>
            </w:tcBorders>
            <w:noWrap w:val="0"/>
            <w:vAlign w:val="center"/>
          </w:tcPr>
          <w:p>
            <w:pPr>
              <w:pStyle w:val="2"/>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1"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25</w:t>
            </w:r>
          </w:p>
        </w:tc>
        <w:tc>
          <w:tcPr>
            <w:tcW w:w="776" w:type="dxa"/>
            <w:tcBorders>
              <w:tl2br w:val="nil"/>
              <w:tr2bl w:val="nil"/>
            </w:tcBorders>
            <w:noWrap w:val="0"/>
            <w:vAlign w:val="center"/>
          </w:tcPr>
          <w:p>
            <w:pPr>
              <w:pStyle w:val="2"/>
              <w:jc w:val="center"/>
              <w:rPr>
                <w:rFonts w:hint="eastAsia"/>
                <w:color w:val="auto"/>
                <w:szCs w:val="21"/>
              </w:rPr>
            </w:pPr>
          </w:p>
        </w:tc>
        <w:tc>
          <w:tcPr>
            <w:tcW w:w="1722"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客户关系管理</w:t>
            </w:r>
          </w:p>
        </w:tc>
        <w:tc>
          <w:tcPr>
            <w:tcW w:w="5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color w:val="auto"/>
                <w:sz w:val="16"/>
                <w:szCs w:val="16"/>
              </w:rPr>
            </w:pPr>
            <w:r>
              <w:rPr>
                <w:rFonts w:hint="eastAsia" w:ascii="宋体" w:hAnsi="宋体" w:eastAsia="宋体" w:cs="宋体"/>
                <w:b w:val="0"/>
                <w:i w:val="0"/>
                <w:color w:val="auto"/>
                <w:kern w:val="0"/>
                <w:sz w:val="16"/>
                <w:szCs w:val="16"/>
                <w:lang w:val="en-US" w:eastAsia="zh-CN" w:bidi="ar"/>
              </w:rPr>
              <w:t>面向企业营销、销售、售后服务环节，帮助企业解决业务全流程管理中业绩预测与分析困难、客户资源利用率低、商机转化效率低、订单管理效率低、资源投入大、合同及应收款管理缺失、客户跟踪及服务质量差等问题。</w:t>
            </w:r>
          </w:p>
          <w:p>
            <w:pPr>
              <w:pStyle w:val="2"/>
              <w:keepNext w:val="0"/>
              <w:keepLines w:val="0"/>
              <w:pageBreakBefore w:val="0"/>
              <w:kinsoku/>
              <w:wordWrap/>
              <w:overflowPunct/>
              <w:topLinePunct w:val="0"/>
              <w:autoSpaceDE/>
              <w:autoSpaceDN/>
              <w:bidi w:val="0"/>
              <w:adjustRightInd/>
              <w:snapToGrid/>
              <w:spacing w:line="260" w:lineRule="exact"/>
              <w:textAlignment w:val="auto"/>
              <w:rPr>
                <w:color w:val="auto"/>
                <w:sz w:val="16"/>
                <w:szCs w:val="16"/>
              </w:rPr>
            </w:pPr>
          </w:p>
        </w:tc>
        <w:tc>
          <w:tcPr>
            <w:tcW w:w="370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auto"/>
              <w:rPr>
                <w:color w:val="auto"/>
                <w:sz w:val="16"/>
                <w:szCs w:val="16"/>
              </w:rPr>
            </w:pPr>
            <w:r>
              <w:rPr>
                <w:rFonts w:hint="eastAsia" w:ascii="宋体" w:hAnsi="宋体" w:eastAsia="宋体" w:cs="宋体"/>
                <w:b w:val="0"/>
                <w:i w:val="0"/>
                <w:color w:val="auto"/>
                <w:kern w:val="0"/>
                <w:sz w:val="16"/>
                <w:szCs w:val="16"/>
                <w:lang w:val="en-US" w:eastAsia="zh-CN" w:bidi="ar"/>
              </w:rPr>
              <w:t>一般包括营销管理（如内容营销、客户画像、销售线索、市场活动、ROI 分析等）、商机管理（潜客管理、商机跟进、商机转化）、销售管理（销售目标、销售过程管理、销售预测、客户管理、报价管理、合同管理、订单管理、发货管理、回款管理、销售统计等）、服务管理（如客户反馈、解决方案、工单调度、满意度调查等）。部分带有办公管理、行政管理、进销存管理等功能。</w:t>
            </w:r>
          </w:p>
        </w:tc>
        <w:tc>
          <w:tcPr>
            <w:tcW w:w="993"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3万元</w:t>
            </w:r>
          </w:p>
        </w:tc>
        <w:tc>
          <w:tcPr>
            <w:tcW w:w="1166" w:type="dxa"/>
            <w:tcBorders>
              <w:tl2br w:val="nil"/>
              <w:tr2bl w:val="nil"/>
            </w:tcBorders>
            <w:noWrap w:val="0"/>
            <w:vAlign w:val="center"/>
          </w:tcPr>
          <w:p>
            <w:pPr>
              <w:pStyle w:val="2"/>
              <w:rPr>
                <w:rFonts w:hint="eastAsia"/>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61"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26</w:t>
            </w:r>
          </w:p>
        </w:tc>
        <w:tc>
          <w:tcPr>
            <w:tcW w:w="776" w:type="dxa"/>
            <w:vMerge w:val="restart"/>
            <w:tcBorders>
              <w:tl2br w:val="nil"/>
              <w:tr2bl w:val="nil"/>
            </w:tcBorders>
            <w:noWrap w:val="0"/>
            <w:vAlign w:val="center"/>
          </w:tcPr>
          <w:p>
            <w:pPr>
              <w:pStyle w:val="2"/>
              <w:jc w:val="center"/>
              <w:rPr>
                <w:rFonts w:hint="eastAsia"/>
                <w:color w:val="auto"/>
                <w:szCs w:val="21"/>
              </w:rPr>
            </w:pPr>
            <w:r>
              <w:rPr>
                <w:rFonts w:hint="eastAsia"/>
                <w:color w:val="auto"/>
                <w:szCs w:val="21"/>
              </w:rPr>
              <w:t>工业</w:t>
            </w:r>
            <w:r>
              <w:rPr>
                <w:color w:val="auto"/>
                <w:szCs w:val="21"/>
              </w:rPr>
              <w:t>设备服务</w:t>
            </w:r>
          </w:p>
        </w:tc>
        <w:tc>
          <w:tcPr>
            <w:tcW w:w="1722" w:type="dxa"/>
            <w:tcBorders>
              <w:tl2br w:val="nil"/>
              <w:tr2bl w:val="nil"/>
            </w:tcBorders>
            <w:noWrap w:val="0"/>
            <w:vAlign w:val="center"/>
          </w:tcPr>
          <w:p>
            <w:pPr>
              <w:pStyle w:val="2"/>
              <w:jc w:val="center"/>
              <w:rPr>
                <w:color w:val="auto"/>
                <w:szCs w:val="21"/>
              </w:rPr>
            </w:pPr>
            <w:r>
              <w:rPr>
                <w:color w:val="auto"/>
                <w:szCs w:val="21"/>
              </w:rPr>
              <w:t>工业设备</w:t>
            </w:r>
            <w:r>
              <w:rPr>
                <w:color w:val="auto"/>
                <w:szCs w:val="21"/>
              </w:rPr>
              <w:br w:type="textWrapping"/>
            </w:r>
            <w:r>
              <w:rPr>
                <w:color w:val="auto"/>
                <w:szCs w:val="21"/>
              </w:rPr>
              <w:t>后市场服务</w:t>
            </w:r>
          </w:p>
        </w:tc>
        <w:tc>
          <w:tcPr>
            <w:tcW w:w="5065" w:type="dxa"/>
            <w:tcBorders>
              <w:tl2br w:val="nil"/>
              <w:tr2bl w:val="nil"/>
            </w:tcBorders>
            <w:noWrap w:val="0"/>
            <w:vAlign w:val="center"/>
          </w:tcPr>
          <w:p>
            <w:pPr>
              <w:pStyle w:val="2"/>
              <w:rPr>
                <w:color w:val="auto"/>
                <w:szCs w:val="21"/>
              </w:rPr>
            </w:pPr>
            <w:r>
              <w:rPr>
                <w:color w:val="auto"/>
                <w:szCs w:val="21"/>
              </w:rPr>
              <w:t>面向终端工厂对于设备非计划停机或者故障容忍度低等场景，推动工业装备企业服务化转型，有效解决传统被动式售后服务综合成本高、难以精准把握和诊断问题点、售后服务流程不规范不可控回溯性差等，支撑设备全生命周期的专业化管理，实现工业装备售后服务流程化与信息化，提升工业装备后市场业务（易损件更换、备件、保养、维修服务等），为终端用户提供在线、远程和现场的全方位服务支持，</w:t>
            </w:r>
          </w:p>
        </w:tc>
        <w:tc>
          <w:tcPr>
            <w:tcW w:w="3708"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60" w:lineRule="exact"/>
              <w:textAlignment w:val="auto"/>
              <w:rPr>
                <w:color w:val="auto"/>
                <w:sz w:val="18"/>
                <w:szCs w:val="18"/>
              </w:rPr>
            </w:pPr>
            <w:r>
              <w:rPr>
                <w:color w:val="auto"/>
                <w:sz w:val="16"/>
                <w:szCs w:val="16"/>
              </w:rPr>
              <w:t>实现对售后工业装备的远程监控和远程运维，构建工业装备制造商、配件供应商、主机代理商/渠道商和终端客户的微生态圈；</w:t>
            </w:r>
            <w:r>
              <w:rPr>
                <w:color w:val="auto"/>
                <w:sz w:val="16"/>
                <w:szCs w:val="16"/>
              </w:rPr>
              <w:br w:type="textWrapping"/>
            </w:r>
            <w:r>
              <w:rPr>
                <w:color w:val="auto"/>
                <w:sz w:val="16"/>
                <w:szCs w:val="16"/>
              </w:rPr>
              <w:t>自动生成故障告警并可通过邮件、短信、APP、微信方式及时通知；远程监控与工作流驱动整个售后服务过程，支持三种以上场景下触发与创建工单，可实现服务工单流转电子化；实施装备全生命周期信息化管理和售后服务关键环节信息自动归档，管控环节包括需求受理、制定方案、创建工单、派工、现场服务、客户回访等，传递和记录结构化数据和非结构化数据（图片、视频），支持多维度数据统计分析，提供行业知识库和售后服务典型案例库。</w:t>
            </w:r>
            <w:r>
              <w:rPr>
                <w:color w:val="auto"/>
                <w:sz w:val="16"/>
                <w:szCs w:val="16"/>
              </w:rPr>
              <w:br w:type="textWrapping"/>
            </w:r>
            <w:r>
              <w:rPr>
                <w:rFonts w:hint="eastAsia"/>
                <w:color w:val="auto"/>
                <w:sz w:val="16"/>
                <w:szCs w:val="16"/>
              </w:rPr>
              <w:t>选项功能：</w:t>
            </w:r>
            <w:r>
              <w:rPr>
                <w:color w:val="auto"/>
                <w:sz w:val="16"/>
                <w:szCs w:val="16"/>
              </w:rPr>
              <w:t>系统扩展性强，可实现设备历史数据的可查看、可统计、可分析，可基于数据挖掘和大数据建模分析，实现故障预测、易损件更换提醒、运维方案智能推荐等；可与电子商务系统、智能制造管控系统无缝集成，可快速识别、购买配件和设备。</w:t>
            </w:r>
          </w:p>
        </w:tc>
        <w:tc>
          <w:tcPr>
            <w:tcW w:w="993" w:type="dxa"/>
            <w:tcBorders>
              <w:tl2br w:val="nil"/>
              <w:tr2bl w:val="nil"/>
            </w:tcBorders>
            <w:noWrap w:val="0"/>
            <w:vAlign w:val="center"/>
          </w:tcPr>
          <w:p>
            <w:pPr>
              <w:pStyle w:val="2"/>
              <w:jc w:val="center"/>
              <w:rPr>
                <w:rFonts w:hint="eastAsia"/>
                <w:color w:val="auto"/>
                <w:szCs w:val="21"/>
              </w:rPr>
            </w:pPr>
            <w:r>
              <w:rPr>
                <w:rFonts w:hint="eastAsia"/>
                <w:color w:val="auto"/>
                <w:szCs w:val="21"/>
              </w:rPr>
              <w:t>2</w:t>
            </w:r>
            <w:r>
              <w:rPr>
                <w:rFonts w:hint="eastAsia"/>
                <w:color w:val="auto"/>
                <w:szCs w:val="21"/>
                <w:lang w:val="en-US" w:eastAsia="zh-CN"/>
              </w:rPr>
              <w:t>0</w:t>
            </w:r>
            <w:r>
              <w:rPr>
                <w:rFonts w:hint="eastAsia"/>
                <w:color w:val="auto"/>
                <w:szCs w:val="21"/>
              </w:rPr>
              <w:t>万元</w:t>
            </w:r>
          </w:p>
        </w:tc>
        <w:tc>
          <w:tcPr>
            <w:tcW w:w="1166" w:type="dxa"/>
            <w:tcBorders>
              <w:tl2br w:val="nil"/>
              <w:tr2bl w:val="nil"/>
            </w:tcBorders>
            <w:noWrap w:val="0"/>
            <w:vAlign w:val="center"/>
          </w:tcPr>
          <w:p>
            <w:pPr>
              <w:pStyle w:val="2"/>
              <w:rPr>
                <w:rFonts w:hint="eastAsia"/>
                <w:color w:val="auto"/>
                <w:szCs w:val="21"/>
              </w:rPr>
            </w:pPr>
            <w:r>
              <w:rPr>
                <w:rFonts w:hint="eastAsia"/>
                <w:color w:val="auto"/>
                <w:szCs w:val="21"/>
              </w:rPr>
              <w:t>每台设备奖补</w:t>
            </w:r>
            <w:r>
              <w:rPr>
                <w:color w:val="auto"/>
                <w:szCs w:val="21"/>
              </w:rPr>
              <w:t>1</w:t>
            </w:r>
            <w:r>
              <w:rPr>
                <w:rFonts w:hint="eastAsia"/>
                <w:color w:val="auto"/>
                <w:szCs w:val="21"/>
              </w:rPr>
              <w:t>500元。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6"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27</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color w:val="auto"/>
                <w:szCs w:val="21"/>
              </w:rPr>
            </w:pPr>
            <w:r>
              <w:rPr>
                <w:rFonts w:hint="eastAsia"/>
                <w:color w:val="auto"/>
                <w:szCs w:val="21"/>
              </w:rPr>
              <w:t>工业设备</w:t>
            </w:r>
          </w:p>
          <w:p>
            <w:pPr>
              <w:pStyle w:val="2"/>
              <w:jc w:val="center"/>
              <w:rPr>
                <w:color w:val="auto"/>
                <w:szCs w:val="21"/>
                <w:u w:val="single"/>
              </w:rPr>
            </w:pPr>
            <w:r>
              <w:rPr>
                <w:color w:val="auto"/>
                <w:szCs w:val="21"/>
              </w:rPr>
              <w:t>租赁管理</w:t>
            </w:r>
          </w:p>
        </w:tc>
        <w:tc>
          <w:tcPr>
            <w:tcW w:w="5065"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sz w:val="18"/>
                <w:szCs w:val="18"/>
              </w:rPr>
            </w:pPr>
            <w:r>
              <w:rPr>
                <w:rFonts w:hint="eastAsia"/>
                <w:color w:val="auto"/>
                <w:sz w:val="18"/>
                <w:szCs w:val="18"/>
              </w:rPr>
              <w:t>为租赁出租人提供租赁设备的使用情况，实时掌握设备的位置、运行状态、健康度、告警信息等租赁过程中的详细信息，通过数据分析对设备租赁进行精细化管理；通过故障预警、诊断、远程维护等降低租赁设备运维成本，提升设备租赁服务体验，延长设备服役期，提高出租人和承租人收益；通过租赁设备生命周期管理，对设备进行资产管理与残值评估，为租赁设备进入二手市场交易，提供准确、合理的设备估值，提高企业资产保值率。</w:t>
            </w:r>
          </w:p>
        </w:tc>
        <w:tc>
          <w:tcPr>
            <w:tcW w:w="3708"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sz w:val="18"/>
                <w:szCs w:val="18"/>
              </w:rPr>
            </w:pPr>
            <w:r>
              <w:rPr>
                <w:rFonts w:hint="eastAsia"/>
                <w:color w:val="auto"/>
                <w:sz w:val="18"/>
                <w:szCs w:val="18"/>
              </w:rPr>
              <w:t>客户管理、设备定位、租赁合同管理、回款管理、设备管理（设备维保、巡检、盘点理等）。租赁市场需求预测，通过对租赁设备特性、使用情况、客户行为等信息的收集和分析，辅助企业了解市场现状、预测市场趋势，按时间、区域、设备种类针对性的调整租赁策略和铺货策略，聚焦于高附加值的核心业务，实现高效运营。</w:t>
            </w:r>
          </w:p>
        </w:tc>
        <w:tc>
          <w:tcPr>
            <w:tcW w:w="993"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sz w:val="18"/>
                <w:szCs w:val="18"/>
              </w:rPr>
            </w:pPr>
            <w:r>
              <w:rPr>
                <w:rFonts w:hint="eastAsia"/>
                <w:color w:val="auto"/>
                <w:sz w:val="18"/>
                <w:szCs w:val="18"/>
              </w:rPr>
              <w:t>10万元</w:t>
            </w:r>
          </w:p>
        </w:tc>
        <w:tc>
          <w:tcPr>
            <w:tcW w:w="1166"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sz w:val="18"/>
                <w:szCs w:val="18"/>
              </w:rPr>
            </w:pPr>
            <w:r>
              <w:rPr>
                <w:rFonts w:hint="eastAsia"/>
                <w:color w:val="auto"/>
                <w:sz w:val="18"/>
                <w:szCs w:val="18"/>
              </w:rPr>
              <w:t>每台设备奖补800元。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9"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r>
              <w:rPr>
                <w:rFonts w:hint="eastAsia"/>
                <w:color w:val="auto"/>
                <w:szCs w:val="21"/>
                <w:lang w:val="en-US" w:eastAsia="zh-CN"/>
              </w:rPr>
              <w:t>28</w:t>
            </w:r>
          </w:p>
        </w:tc>
        <w:tc>
          <w:tcPr>
            <w:tcW w:w="776" w:type="dxa"/>
            <w:vMerge w:val="restart"/>
            <w:tcBorders>
              <w:tl2br w:val="nil"/>
              <w:tr2bl w:val="nil"/>
            </w:tcBorders>
            <w:noWrap w:val="0"/>
            <w:vAlign w:val="center"/>
          </w:tcPr>
          <w:p>
            <w:pPr>
              <w:pStyle w:val="2"/>
              <w:jc w:val="center"/>
              <w:rPr>
                <w:color w:val="auto"/>
                <w:szCs w:val="21"/>
              </w:rPr>
            </w:pPr>
            <w:r>
              <w:rPr>
                <w:rFonts w:hint="eastAsia"/>
                <w:color w:val="auto"/>
                <w:szCs w:val="21"/>
              </w:rPr>
              <w:t>中台集成</w:t>
            </w:r>
          </w:p>
        </w:tc>
        <w:tc>
          <w:tcPr>
            <w:tcW w:w="1722" w:type="dxa"/>
            <w:tcBorders>
              <w:tl2br w:val="nil"/>
              <w:tr2bl w:val="nil"/>
            </w:tcBorders>
            <w:noWrap w:val="0"/>
            <w:vAlign w:val="center"/>
          </w:tcPr>
          <w:p>
            <w:pPr>
              <w:pStyle w:val="2"/>
              <w:jc w:val="center"/>
              <w:rPr>
                <w:rFonts w:hint="eastAsia"/>
                <w:color w:val="auto"/>
                <w:szCs w:val="21"/>
              </w:rPr>
            </w:pPr>
            <w:r>
              <w:rPr>
                <w:rFonts w:hint="eastAsia"/>
                <w:color w:val="auto"/>
                <w:szCs w:val="21"/>
              </w:rPr>
              <w:t>智造中台</w:t>
            </w:r>
          </w:p>
        </w:tc>
        <w:tc>
          <w:tcPr>
            <w:tcW w:w="5065"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60" w:lineRule="exact"/>
              <w:textAlignment w:val="auto"/>
              <w:rPr>
                <w:color w:val="auto"/>
                <w:sz w:val="18"/>
                <w:szCs w:val="18"/>
              </w:rPr>
            </w:pPr>
            <w:r>
              <w:rPr>
                <w:rFonts w:hint="eastAsia"/>
                <w:color w:val="auto"/>
                <w:sz w:val="18"/>
                <w:szCs w:val="18"/>
              </w:rPr>
              <w:t>面向工厂用户，提供通过统一的系统平台、统一门户入口、统一权限管理和统一的数据模型服务,通过开放架构来集成制造企业从产品研发、生产、销售、物流到售后整个价值链过程中需要的所有应用服务。具备工业互联网平台的基础技术能力输出，具备开丰富的数据服务接口和应用开发工具，提供边缘侧系统与第三方SaaS系统的集成能力。服务商可在平台基础上进行二次开发、托管、部署、运维，企业用户可通过数据服务接入平台快速实现稳定可靠的工厂数字化运营管理。</w:t>
            </w:r>
          </w:p>
        </w:tc>
        <w:tc>
          <w:tcPr>
            <w:tcW w:w="3708"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60" w:lineRule="exact"/>
              <w:textAlignment w:val="auto"/>
              <w:rPr>
                <w:color w:val="auto"/>
                <w:sz w:val="18"/>
                <w:szCs w:val="18"/>
              </w:rPr>
            </w:pPr>
            <w:r>
              <w:rPr>
                <w:rFonts w:hint="eastAsia"/>
                <w:color w:val="auto"/>
                <w:sz w:val="18"/>
                <w:szCs w:val="18"/>
              </w:rPr>
              <w:t>设备物联IoT Hub，物模型配置管理，规则引擎；物联网关管理，SIM卡管理，租户管理，设备接入管理；设备可视化云组态组件与数据分析工具；具备移动APP的应用开发工具。支持工厂运营中心建设能力,可设置的安全规则或者安全策略，控制企业人员可以访问而且只能访问自己被授权的功能和页面；提供组织定义、账号定义、角色授权等基础配置管理功能。通过数据中台汇总各类SaaS应用数据，构建以资产为中心的统一属性、编码、维护、安全、组织等方面的数据标准，不同应用通过统一的API接访问统一的数据；设备数据API接口平台；开发者中心（应用开发，应用部署，应用运维，应用交易）；可根据主数据提供企业不同角色的对业务数据管理功能，并提供给多方应用采用标准统一的方式使用主数据。提供接入工厂统一的报警、消息的中心以推送方式给指定的人员,经营驾驶舱为数字工厂提供统一的经营管理指标定义、计算、统计及展示分析应用。</w:t>
            </w:r>
          </w:p>
        </w:tc>
        <w:tc>
          <w:tcPr>
            <w:tcW w:w="993" w:type="dxa"/>
            <w:tcBorders>
              <w:tl2br w:val="nil"/>
              <w:tr2bl w:val="nil"/>
            </w:tcBorders>
            <w:noWrap w:val="0"/>
            <w:vAlign w:val="center"/>
          </w:tcPr>
          <w:p>
            <w:pPr>
              <w:pStyle w:val="2"/>
              <w:jc w:val="center"/>
              <w:rPr>
                <w:color w:val="auto"/>
                <w:szCs w:val="21"/>
              </w:rPr>
            </w:pPr>
            <w:r>
              <w:rPr>
                <w:rFonts w:hint="eastAsia"/>
                <w:color w:val="auto"/>
                <w:szCs w:val="21"/>
                <w:lang w:val="en-US" w:eastAsia="zh-CN"/>
              </w:rPr>
              <w:t>2</w:t>
            </w:r>
            <w:r>
              <w:rPr>
                <w:color w:val="auto"/>
                <w:szCs w:val="21"/>
              </w:rPr>
              <w:t>0</w:t>
            </w:r>
            <w:r>
              <w:rPr>
                <w:rFonts w:hint="eastAsia"/>
                <w:color w:val="auto"/>
                <w:szCs w:val="21"/>
              </w:rPr>
              <w:t>万元</w:t>
            </w:r>
          </w:p>
        </w:tc>
        <w:tc>
          <w:tcPr>
            <w:tcW w:w="1166"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sz w:val="18"/>
                <w:szCs w:val="18"/>
              </w:rPr>
            </w:pPr>
            <w:r>
              <w:rPr>
                <w:rFonts w:hint="eastAsia"/>
                <w:color w:val="auto"/>
                <w:sz w:val="16"/>
                <w:szCs w:val="16"/>
              </w:rPr>
              <w:t>不强制要求包含全部功能模块，实现帮助工业企业建立数字化转型的智造中台，对下提供统一的设备接入平台和统一大数据管理，对上提供丰富的标准API和可视化组件，支持灵活集成和定制开发，同时提供基础的产线数字化管理应用作验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64" w:hRule="atLeast"/>
          <w:tblHeader/>
        </w:trPr>
        <w:tc>
          <w:tcPr>
            <w:tcW w:w="636" w:type="dxa"/>
            <w:tcBorders>
              <w:tl2br w:val="nil"/>
              <w:tr2bl w:val="nil"/>
            </w:tcBorders>
            <w:noWrap w:val="0"/>
            <w:vAlign w:val="center"/>
          </w:tcPr>
          <w:p>
            <w:pPr>
              <w:pStyle w:val="2"/>
              <w:jc w:val="center"/>
              <w:rPr>
                <w:rFonts w:hint="default" w:eastAsiaTheme="minorEastAsia"/>
                <w:color w:val="auto"/>
                <w:szCs w:val="21"/>
                <w:lang w:val="en-US" w:eastAsia="zh-CN"/>
              </w:rPr>
            </w:pPr>
            <w:bookmarkStart w:id="0" w:name="_Hlk14933035"/>
            <w:r>
              <w:rPr>
                <w:rFonts w:hint="eastAsia"/>
                <w:color w:val="auto"/>
                <w:szCs w:val="21"/>
                <w:lang w:val="en-US" w:eastAsia="zh-CN"/>
              </w:rPr>
              <w:t>29</w:t>
            </w:r>
          </w:p>
        </w:tc>
        <w:tc>
          <w:tcPr>
            <w:tcW w:w="776" w:type="dxa"/>
            <w:vMerge w:val="continue"/>
            <w:tcBorders>
              <w:tl2br w:val="nil"/>
              <w:tr2bl w:val="nil"/>
            </w:tcBorders>
            <w:noWrap w:val="0"/>
            <w:vAlign w:val="center"/>
          </w:tcPr>
          <w:p>
            <w:pPr>
              <w:pStyle w:val="2"/>
              <w:jc w:val="center"/>
              <w:rPr>
                <w:color w:val="auto"/>
                <w:szCs w:val="21"/>
              </w:rPr>
            </w:pPr>
          </w:p>
        </w:tc>
        <w:tc>
          <w:tcPr>
            <w:tcW w:w="1722" w:type="dxa"/>
            <w:tcBorders>
              <w:tl2br w:val="nil"/>
              <w:tr2bl w:val="nil"/>
            </w:tcBorders>
            <w:noWrap w:val="0"/>
            <w:vAlign w:val="center"/>
          </w:tcPr>
          <w:p>
            <w:pPr>
              <w:pStyle w:val="2"/>
              <w:jc w:val="center"/>
              <w:rPr>
                <w:rFonts w:hint="eastAsia"/>
                <w:color w:val="auto"/>
                <w:szCs w:val="21"/>
              </w:rPr>
            </w:pPr>
            <w:r>
              <w:rPr>
                <w:rFonts w:hint="eastAsia"/>
                <w:color w:val="auto"/>
                <w:szCs w:val="21"/>
              </w:rPr>
              <w:t>工厂应用集成</w:t>
            </w:r>
          </w:p>
        </w:tc>
        <w:tc>
          <w:tcPr>
            <w:tcW w:w="5065"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60" w:lineRule="exact"/>
              <w:textAlignment w:val="auto"/>
              <w:rPr>
                <w:bCs/>
                <w:color w:val="auto"/>
                <w:sz w:val="18"/>
                <w:szCs w:val="18"/>
              </w:rPr>
            </w:pPr>
            <w:r>
              <w:rPr>
                <w:rFonts w:hint="eastAsia" w:ascii="宋体" w:hAnsi="宋体" w:cs="宋体"/>
                <w:bCs/>
                <w:color w:val="auto"/>
                <w:sz w:val="18"/>
                <w:szCs w:val="18"/>
              </w:rPr>
              <w:t>以打破系统信息孤岛、实现系统互联互通为目标，重</w:t>
            </w:r>
            <w:r>
              <w:rPr>
                <w:bCs/>
                <w:color w:val="auto"/>
                <w:sz w:val="18"/>
                <w:szCs w:val="18"/>
              </w:rPr>
              <w:t>点面向试点示范标杆用户的“一站式”服务需求,具备2家以上服务商之间基于云平台的应用改造投入</w:t>
            </w:r>
            <w:r>
              <w:rPr>
                <w:rFonts w:hint="eastAsia"/>
                <w:bCs/>
                <w:color w:val="auto"/>
                <w:sz w:val="18"/>
                <w:szCs w:val="18"/>
              </w:rPr>
              <w:t>，</w:t>
            </w:r>
            <w:r>
              <w:rPr>
                <w:bCs/>
                <w:color w:val="auto"/>
                <w:sz w:val="18"/>
                <w:szCs w:val="18"/>
              </w:rPr>
              <w:t>通过一个统一</w:t>
            </w:r>
            <w:r>
              <w:rPr>
                <w:rFonts w:hint="eastAsia" w:ascii="宋体" w:hAnsi="宋体" w:cs="宋体"/>
                <w:bCs/>
                <w:color w:val="auto"/>
                <w:sz w:val="18"/>
                <w:szCs w:val="18"/>
              </w:rPr>
              <w:t>的平台入口实现不同应用之间的数据、服务、帐号体系、权限、应用界面的改造集成，推动实现企业内部协同与外部互联。</w:t>
            </w:r>
          </w:p>
        </w:tc>
        <w:tc>
          <w:tcPr>
            <w:tcW w:w="3708"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Cs/>
                <w:color w:val="auto"/>
                <w:sz w:val="18"/>
                <w:szCs w:val="18"/>
              </w:rPr>
            </w:pPr>
            <w:r>
              <w:rPr>
                <w:rFonts w:hint="eastAsia" w:ascii="宋体" w:hAnsi="宋体" w:cs="宋体"/>
                <w:bCs/>
                <w:color w:val="auto"/>
                <w:sz w:val="18"/>
                <w:szCs w:val="18"/>
              </w:rPr>
              <w:t>可委托具有集成能力的服务商或第三方平台进行互联与融合、托管、部署、运维,支持开源中间件,支持应用接口改造,根据企业需求实现多类型应用的组合配置。在企业用户的授权下进行不同应用的集成，实现统一的授权体系，包括统一登陆入口和帐号体系，统一配置操作权限，打通数据接口进行数据融合，达到统一平台入口进行所有服务调用的目标。</w:t>
            </w:r>
          </w:p>
        </w:tc>
        <w:tc>
          <w:tcPr>
            <w:tcW w:w="993" w:type="dxa"/>
            <w:tcBorders>
              <w:tl2br w:val="nil"/>
              <w:tr2bl w:val="nil"/>
            </w:tcBorders>
            <w:noWrap w:val="0"/>
            <w:vAlign w:val="center"/>
          </w:tcPr>
          <w:p>
            <w:pPr>
              <w:pStyle w:val="2"/>
              <w:jc w:val="center"/>
              <w:rPr>
                <w:bCs/>
                <w:color w:val="auto"/>
                <w:szCs w:val="21"/>
              </w:rPr>
            </w:pPr>
            <w:r>
              <w:rPr>
                <w:rFonts w:hint="eastAsia"/>
                <w:bCs/>
                <w:color w:val="auto"/>
                <w:szCs w:val="21"/>
                <w:lang w:val="en-US" w:eastAsia="zh-CN"/>
              </w:rPr>
              <w:t>2</w:t>
            </w:r>
            <w:r>
              <w:rPr>
                <w:rFonts w:hint="eastAsia"/>
                <w:bCs/>
                <w:color w:val="auto"/>
                <w:szCs w:val="21"/>
              </w:rPr>
              <w:t>0万元</w:t>
            </w:r>
          </w:p>
        </w:tc>
        <w:tc>
          <w:tcPr>
            <w:tcW w:w="1166" w:type="dxa"/>
            <w:tcBorders>
              <w:tl2br w:val="nil"/>
              <w:tr2bl w:val="nil"/>
            </w:tcBorders>
            <w:noWrap w:val="0"/>
            <w:vAlign w:val="center"/>
          </w:tcPr>
          <w:p>
            <w:pPr>
              <w:pStyle w:val="2"/>
              <w:rPr>
                <w:rFonts w:hint="eastAsia"/>
                <w:color w:val="auto"/>
                <w:szCs w:val="21"/>
              </w:rPr>
            </w:pPr>
            <w:r>
              <w:rPr>
                <w:rFonts w:hint="eastAsia"/>
                <w:color w:val="auto"/>
                <w:szCs w:val="21"/>
              </w:rPr>
              <w:t>适用于产业集群试点示范。</w:t>
            </w:r>
          </w:p>
        </w:tc>
      </w:tr>
      <w:bookmarkEnd w:id="0"/>
    </w:tbl>
    <w:p>
      <w:pPr>
        <w:pStyle w:val="2"/>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cs="宋体"/>
          <w:color w:val="auto"/>
          <w:szCs w:val="21"/>
        </w:rPr>
      </w:pPr>
    </w:p>
    <w:p>
      <w:pPr>
        <w:pStyle w:val="2"/>
        <w:keepNext w:val="0"/>
        <w:keepLines w:val="0"/>
        <w:pageBreakBefore w:val="0"/>
        <w:widowControl w:val="0"/>
        <w:kinsoku/>
        <w:wordWrap/>
        <w:overflowPunct/>
        <w:topLinePunct w:val="0"/>
        <w:autoSpaceDE/>
        <w:autoSpaceDN/>
        <w:bidi w:val="0"/>
        <w:adjustRightInd/>
        <w:snapToGrid/>
        <w:spacing w:after="0" w:line="240" w:lineRule="exact"/>
        <w:textAlignment w:val="auto"/>
        <w:rPr>
          <w:rFonts w:hint="default" w:ascii="宋体" w:hAnsi="宋体" w:cs="宋体"/>
          <w:color w:val="auto"/>
          <w:szCs w:val="21"/>
          <w:lang w:eastAsia="zh-CN"/>
        </w:rPr>
      </w:pPr>
      <w:r>
        <w:rPr>
          <w:rFonts w:hint="eastAsia" w:ascii="宋体" w:hAnsi="宋体" w:cs="宋体"/>
          <w:color w:val="auto"/>
          <w:szCs w:val="21"/>
        </w:rPr>
        <w:t>说明：1.</w:t>
      </w:r>
      <w:r>
        <w:rPr>
          <w:rFonts w:hint="eastAsia" w:ascii="宋体" w:hAnsi="宋体" w:cs="宋体"/>
          <w:color w:val="auto"/>
          <w:szCs w:val="21"/>
          <w:lang w:val="en-US" w:eastAsia="zh-CN"/>
        </w:rPr>
        <w:t>本</w:t>
      </w:r>
      <w:r>
        <w:rPr>
          <w:rFonts w:hint="eastAsia" w:ascii="宋体" w:hAnsi="宋体" w:cs="宋体"/>
          <w:color w:val="auto"/>
          <w:szCs w:val="21"/>
        </w:rPr>
        <w:t>目录</w:t>
      </w:r>
      <w:r>
        <w:rPr>
          <w:rFonts w:hint="default" w:ascii="宋体" w:hAnsi="宋体" w:cs="宋体"/>
          <w:color w:val="auto"/>
          <w:szCs w:val="21"/>
          <w:lang w:val="en-US" w:eastAsia="zh-CN"/>
        </w:rPr>
        <w:t>参照</w:t>
      </w:r>
      <w:r>
        <w:rPr>
          <w:rFonts w:hint="eastAsia" w:ascii="宋体" w:hAnsi="宋体" w:cs="宋体"/>
          <w:color w:val="auto"/>
          <w:szCs w:val="21"/>
          <w:lang w:eastAsia="zh-CN"/>
        </w:rPr>
        <w:t>惠州市工业和信息化局</w:t>
      </w:r>
      <w:r>
        <w:rPr>
          <w:rFonts w:hint="default" w:ascii="宋体" w:hAnsi="宋体" w:cs="宋体"/>
          <w:color w:val="auto"/>
          <w:szCs w:val="21"/>
          <w:lang w:eastAsia="zh-CN"/>
        </w:rPr>
        <w:t>发布</w:t>
      </w:r>
      <w:r>
        <w:rPr>
          <w:rFonts w:hint="default" w:ascii="宋体" w:hAnsi="宋体" w:cs="宋体"/>
          <w:color w:val="auto"/>
          <w:szCs w:val="21"/>
          <w:lang w:val="en-US" w:eastAsia="zh-CN"/>
        </w:rPr>
        <w:t>的</w:t>
      </w:r>
      <w:r>
        <w:rPr>
          <w:rFonts w:hint="default" w:ascii="宋体" w:hAnsi="宋体" w:cs="宋体"/>
          <w:color w:val="auto"/>
          <w:szCs w:val="21"/>
          <w:lang w:eastAsia="zh-CN"/>
        </w:rPr>
        <w:t>“</w:t>
      </w:r>
      <w:r>
        <w:rPr>
          <w:rFonts w:hint="eastAsia" w:ascii="宋体" w:hAnsi="宋体" w:cs="宋体"/>
          <w:color w:val="auto"/>
          <w:szCs w:val="21"/>
          <w:lang w:eastAsia="zh-CN"/>
        </w:rPr>
        <w:t>惠州市</w:t>
      </w:r>
      <w:r>
        <w:rPr>
          <w:rFonts w:hint="default" w:ascii="宋体" w:hAnsi="宋体" w:cs="宋体"/>
          <w:color w:val="auto"/>
          <w:szCs w:val="21"/>
          <w:lang w:eastAsia="zh-CN"/>
        </w:rPr>
        <w:t>工业企业上云上平台应用产品目录</w:t>
      </w:r>
      <w:r>
        <w:rPr>
          <w:rFonts w:hint="eastAsia" w:ascii="宋体" w:hAnsi="宋体" w:cs="宋体"/>
          <w:color w:val="auto"/>
          <w:szCs w:val="21"/>
          <w:lang w:eastAsia="zh-CN"/>
        </w:rPr>
        <w:t>（</w:t>
      </w:r>
      <w:r>
        <w:rPr>
          <w:rFonts w:hint="eastAsia" w:ascii="宋体" w:hAnsi="宋体" w:cs="宋体"/>
          <w:color w:val="auto"/>
          <w:szCs w:val="21"/>
          <w:lang w:val="en-US" w:eastAsia="zh-CN"/>
        </w:rPr>
        <w:t>2020版</w:t>
      </w:r>
      <w:r>
        <w:rPr>
          <w:rFonts w:hint="eastAsia" w:ascii="宋体" w:hAnsi="宋体" w:cs="宋体"/>
          <w:color w:val="auto"/>
          <w:szCs w:val="21"/>
          <w:lang w:eastAsia="zh-CN"/>
        </w:rPr>
        <w:t>）</w:t>
      </w:r>
      <w:r>
        <w:rPr>
          <w:rFonts w:hint="default" w:ascii="宋体" w:hAnsi="宋体" w:cs="宋体"/>
          <w:color w:val="auto"/>
          <w:szCs w:val="21"/>
          <w:lang w:eastAsia="zh-CN"/>
        </w:rPr>
        <w:t>”，</w:t>
      </w:r>
      <w:r>
        <w:rPr>
          <w:rFonts w:hint="default" w:ascii="宋体" w:hAnsi="宋体" w:cs="宋体"/>
          <w:color w:val="auto"/>
          <w:szCs w:val="21"/>
          <w:lang w:val="en-US" w:eastAsia="zh-CN"/>
        </w:rPr>
        <w:t>并与</w:t>
      </w:r>
      <w:r>
        <w:rPr>
          <w:rFonts w:hint="eastAsia" w:ascii="宋体" w:hAnsi="宋体" w:cs="宋体"/>
          <w:color w:val="auto"/>
          <w:szCs w:val="21"/>
          <w:lang w:val="en-US" w:eastAsia="zh-CN"/>
        </w:rPr>
        <w:t>市工信局</w:t>
      </w:r>
      <w:r>
        <w:rPr>
          <w:rFonts w:hint="default" w:ascii="宋体" w:hAnsi="宋体" w:cs="宋体"/>
          <w:color w:val="auto"/>
          <w:szCs w:val="21"/>
          <w:lang w:val="en-US" w:eastAsia="zh-CN"/>
        </w:rPr>
        <w:t>同步</w:t>
      </w:r>
      <w:r>
        <w:rPr>
          <w:rFonts w:hint="default" w:ascii="宋体" w:hAnsi="宋体" w:cs="宋体"/>
          <w:color w:val="auto"/>
          <w:szCs w:val="21"/>
          <w:lang w:eastAsia="zh-CN"/>
        </w:rPr>
        <w:t>迭代更新。</w:t>
      </w:r>
    </w:p>
    <w:p>
      <w:pPr>
        <w:pStyle w:val="2"/>
        <w:keepNext w:val="0"/>
        <w:keepLines w:val="0"/>
        <w:pageBreakBefore w:val="0"/>
        <w:widowControl w:val="0"/>
        <w:kinsoku/>
        <w:wordWrap/>
        <w:overflowPunct/>
        <w:topLinePunct w:val="0"/>
        <w:autoSpaceDE/>
        <w:autoSpaceDN/>
        <w:bidi w:val="0"/>
        <w:adjustRightInd/>
        <w:snapToGrid/>
        <w:spacing w:after="0" w:line="240" w:lineRule="exact"/>
        <w:ind w:firstLine="630" w:firstLineChars="300"/>
        <w:textAlignment w:val="auto"/>
        <w:rPr>
          <w:rFonts w:hint="default" w:ascii="宋体" w:hAnsi="宋体" w:cs="宋体"/>
          <w:color w:val="auto"/>
          <w:szCs w:val="21"/>
          <w:lang w:val="en-US" w:eastAsia="zh-CN"/>
        </w:rPr>
      </w:pPr>
      <w:r>
        <w:rPr>
          <w:rFonts w:hint="eastAsia" w:ascii="宋体" w:hAnsi="宋体" w:cs="宋体"/>
          <w:color w:val="auto"/>
          <w:szCs w:val="21"/>
          <w:lang w:val="en-US" w:eastAsia="zh-CN"/>
        </w:rPr>
        <w:t>2.</w:t>
      </w:r>
      <w:r>
        <w:rPr>
          <w:rFonts w:hint="eastAsia" w:ascii="宋体" w:hAnsi="宋体" w:cs="宋体"/>
          <w:color w:val="auto"/>
          <w:szCs w:val="21"/>
        </w:rPr>
        <w:t>备注中规定了单台设备补贴金额的，在申请时，实际接入设备数应大于或等于</w:t>
      </w:r>
      <w:r>
        <w:rPr>
          <w:rFonts w:hint="eastAsia" w:ascii="宋体" w:hAnsi="宋体" w:cs="宋体"/>
          <w:color w:val="auto"/>
          <w:szCs w:val="21"/>
          <w:lang w:eastAsia="zh-CN"/>
        </w:rPr>
        <w:t>（</w:t>
      </w:r>
      <w:r>
        <w:rPr>
          <w:rFonts w:hint="eastAsia" w:ascii="宋体" w:hAnsi="宋体" w:cs="宋体"/>
          <w:color w:val="auto"/>
          <w:szCs w:val="21"/>
          <w:lang w:val="en-US" w:eastAsia="zh-CN"/>
        </w:rPr>
        <w:t>奖补</w:t>
      </w:r>
      <w:r>
        <w:rPr>
          <w:rFonts w:hint="eastAsia" w:ascii="宋体" w:hAnsi="宋体" w:cs="宋体"/>
          <w:color w:val="auto"/>
          <w:szCs w:val="21"/>
        </w:rPr>
        <w:t>金额除以单台设备补贴金额）；</w:t>
      </w:r>
    </w:p>
    <w:p>
      <w:pPr>
        <w:pStyle w:val="2"/>
        <w:keepNext w:val="0"/>
        <w:keepLines w:val="0"/>
        <w:pageBreakBefore w:val="0"/>
        <w:widowControl w:val="0"/>
        <w:kinsoku/>
        <w:wordWrap/>
        <w:overflowPunct/>
        <w:topLinePunct w:val="0"/>
        <w:autoSpaceDE/>
        <w:autoSpaceDN/>
        <w:bidi w:val="0"/>
        <w:adjustRightInd/>
        <w:snapToGrid/>
        <w:spacing w:after="0" w:line="240" w:lineRule="exact"/>
        <w:ind w:firstLine="630" w:firstLineChars="300"/>
        <w:textAlignment w:val="auto"/>
        <w:rPr>
          <w:rFonts w:hint="default" w:ascii="宋体" w:hAnsi="宋体" w:cs="宋体"/>
          <w:color w:val="auto"/>
          <w:szCs w:val="21"/>
          <w:lang w:val="en-US" w:eastAsia="zh-CN"/>
        </w:rPr>
      </w:pPr>
      <w:r>
        <w:rPr>
          <w:rFonts w:hint="eastAsia" w:ascii="宋体" w:hAnsi="宋体" w:cs="宋体"/>
          <w:color w:val="auto"/>
          <w:szCs w:val="21"/>
          <w:lang w:val="en-US" w:eastAsia="zh-CN"/>
        </w:rPr>
        <w:t>3.同一企业同一项目不重复享受市、县财政等资金奖补，若同时符合市、县同类政策扶持条件的，如先获得县级奖补资金，同一企业同一项目又获得市级奖补资格后，需及时退回足额县级财政性资金。</w:t>
      </w:r>
      <w:r>
        <w:rPr>
          <w:rFonts w:hint="default" w:ascii="宋体" w:hAnsi="宋体" w:cs="宋体"/>
          <w:color w:val="auto"/>
          <w:szCs w:val="21"/>
          <w:lang w:val="en-US" w:eastAsia="zh-CN"/>
        </w:rPr>
        <w:t>同一“二级目录”产品不得重复申领；已</w:t>
      </w:r>
      <w:r>
        <w:rPr>
          <w:rFonts w:hint="eastAsia" w:ascii="宋体" w:hAnsi="宋体" w:cs="宋体"/>
          <w:color w:val="auto"/>
          <w:szCs w:val="21"/>
          <w:lang w:val="en-US" w:eastAsia="zh-CN"/>
        </w:rPr>
        <w:t>申领过</w:t>
      </w:r>
      <w:r>
        <w:rPr>
          <w:rFonts w:hint="default" w:ascii="宋体" w:hAnsi="宋体" w:cs="宋体"/>
          <w:color w:val="auto"/>
          <w:szCs w:val="21"/>
          <w:lang w:val="en-US" w:eastAsia="zh-CN"/>
        </w:rPr>
        <w:t>“生产协同”（含Ⅰ、Ⅱ、III）中任意一项，不得再申领“生产协同”</w:t>
      </w:r>
      <w:r>
        <w:rPr>
          <w:rFonts w:hint="eastAsia" w:ascii="宋体" w:hAnsi="宋体" w:cs="宋体"/>
          <w:color w:val="auto"/>
          <w:szCs w:val="21"/>
          <w:lang w:val="en-US" w:eastAsia="zh-CN"/>
        </w:rPr>
        <w:t>产品</w:t>
      </w:r>
      <w:r>
        <w:rPr>
          <w:rFonts w:hint="default" w:ascii="宋体" w:hAnsi="宋体" w:cs="宋体"/>
          <w:color w:val="auto"/>
          <w:szCs w:val="21"/>
          <w:lang w:val="en-US" w:eastAsia="zh-CN"/>
        </w:rPr>
        <w:t>；已</w:t>
      </w:r>
      <w:r>
        <w:rPr>
          <w:rFonts w:hint="eastAsia" w:ascii="宋体" w:hAnsi="宋体" w:cs="宋体"/>
          <w:color w:val="auto"/>
          <w:szCs w:val="21"/>
          <w:lang w:val="en-US" w:eastAsia="zh-CN"/>
        </w:rPr>
        <w:t>申领过</w:t>
      </w:r>
      <w:r>
        <w:rPr>
          <w:rFonts w:hint="default" w:ascii="宋体" w:hAnsi="宋体" w:cs="宋体"/>
          <w:color w:val="auto"/>
          <w:szCs w:val="21"/>
          <w:lang w:val="en-US" w:eastAsia="zh-CN"/>
        </w:rPr>
        <w:t>“能源管理”（含通用配电设备、通用生产设备、高耗能工艺设备）中任意一项，不得再申领“能源管理”</w:t>
      </w:r>
      <w:r>
        <w:rPr>
          <w:rFonts w:hint="eastAsia" w:ascii="宋体" w:hAnsi="宋体" w:cs="宋体"/>
          <w:color w:val="auto"/>
          <w:szCs w:val="21"/>
          <w:lang w:val="en-US" w:eastAsia="zh-CN"/>
        </w:rPr>
        <w:t>产品</w:t>
      </w:r>
      <w:r>
        <w:rPr>
          <w:rFonts w:hint="default" w:ascii="宋体" w:hAnsi="宋体" w:cs="宋体"/>
          <w:color w:val="auto"/>
          <w:szCs w:val="21"/>
          <w:lang w:val="en-US" w:eastAsia="zh-CN"/>
        </w:rPr>
        <w:t>；已</w:t>
      </w:r>
      <w:r>
        <w:rPr>
          <w:rFonts w:hint="eastAsia" w:ascii="宋体" w:hAnsi="宋体" w:cs="宋体"/>
          <w:color w:val="auto"/>
          <w:szCs w:val="21"/>
          <w:lang w:val="en-US" w:eastAsia="zh-CN"/>
        </w:rPr>
        <w:t>申领过</w:t>
      </w:r>
      <w:r>
        <w:rPr>
          <w:rFonts w:hint="default" w:ascii="宋体" w:hAnsi="宋体" w:cs="宋体"/>
          <w:color w:val="auto"/>
          <w:szCs w:val="21"/>
          <w:lang w:val="en-US" w:eastAsia="zh-CN"/>
        </w:rPr>
        <w:t>“资源计划”（含Ⅰ、Ⅱ）中任意一项，不得再申领“资源计划”</w:t>
      </w:r>
      <w:r>
        <w:rPr>
          <w:rFonts w:hint="eastAsia" w:ascii="宋体" w:hAnsi="宋体" w:cs="宋体"/>
          <w:color w:val="auto"/>
          <w:szCs w:val="21"/>
          <w:lang w:val="en-US" w:eastAsia="zh-CN"/>
        </w:rPr>
        <w:t>产品</w:t>
      </w:r>
      <w:r>
        <w:rPr>
          <w:rFonts w:hint="default" w:ascii="宋体" w:hAnsi="宋体" w:cs="宋体"/>
          <w:color w:val="auto"/>
          <w:szCs w:val="21"/>
          <w:lang w:val="en-US" w:eastAsia="zh-CN"/>
        </w:rPr>
        <w:t>；已</w:t>
      </w:r>
      <w:r>
        <w:rPr>
          <w:rFonts w:hint="eastAsia" w:ascii="宋体" w:hAnsi="宋体" w:cs="宋体"/>
          <w:color w:val="auto"/>
          <w:szCs w:val="21"/>
          <w:lang w:val="en-US" w:eastAsia="zh-CN"/>
        </w:rPr>
        <w:t>申领过</w:t>
      </w:r>
      <w:r>
        <w:rPr>
          <w:rFonts w:hint="default" w:ascii="宋体" w:hAnsi="宋体" w:cs="宋体"/>
          <w:color w:val="auto"/>
          <w:szCs w:val="21"/>
          <w:lang w:val="en-US" w:eastAsia="zh-CN"/>
        </w:rPr>
        <w:t>“设备物联、设备管理、设备智能”中任意一项，不得再申领“设备物联、设备管理、设备智能”</w:t>
      </w:r>
      <w:r>
        <w:rPr>
          <w:rFonts w:hint="eastAsia" w:ascii="宋体" w:hAnsi="宋体" w:cs="宋体"/>
          <w:color w:val="auto"/>
          <w:szCs w:val="21"/>
          <w:lang w:val="en-US" w:eastAsia="zh-CN"/>
        </w:rPr>
        <w:t>产品。</w:t>
      </w:r>
      <w:r>
        <w:rPr>
          <w:rFonts w:hint="default" w:ascii="宋体" w:hAnsi="宋体" w:cs="宋体"/>
          <w:color w:val="auto"/>
          <w:szCs w:val="21"/>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after="0" w:line="240" w:lineRule="exact"/>
        <w:ind w:firstLine="630" w:firstLineChars="300"/>
        <w:textAlignment w:val="auto"/>
        <w:rPr>
          <w:rFonts w:hint="default" w:ascii="Times New Roman" w:hAnsi="Times New Roman" w:eastAsia="方正仿宋_GBK" w:cs="Times New Roman"/>
          <w:color w:val="auto"/>
          <w:kern w:val="0"/>
          <w:sz w:val="32"/>
          <w:szCs w:val="32"/>
        </w:rPr>
      </w:pPr>
      <w:r>
        <w:rPr>
          <w:rFonts w:hint="eastAsia" w:ascii="宋体" w:hAnsi="宋体" w:cs="宋体"/>
          <w:color w:val="auto"/>
          <w:szCs w:val="21"/>
          <w:lang w:val="en-US" w:eastAsia="zh-CN"/>
        </w:rPr>
        <w:t>4</w:t>
      </w:r>
      <w:r>
        <w:rPr>
          <w:rFonts w:hint="eastAsia" w:ascii="宋体" w:hAnsi="宋体" w:cs="宋体"/>
          <w:color w:val="auto"/>
          <w:szCs w:val="21"/>
        </w:rPr>
        <w:t>.单</w:t>
      </w:r>
      <w:r>
        <w:rPr>
          <w:rFonts w:hint="eastAsia" w:ascii="宋体" w:hAnsi="宋体" w:cs="宋体"/>
          <w:color w:val="auto"/>
          <w:szCs w:val="21"/>
          <w:lang w:val="en-US" w:eastAsia="zh-CN"/>
        </w:rPr>
        <w:t>个</w:t>
      </w:r>
      <w:r>
        <w:rPr>
          <w:rFonts w:hint="eastAsia" w:ascii="宋体" w:hAnsi="宋体" w:cs="宋体"/>
          <w:color w:val="auto"/>
          <w:szCs w:val="21"/>
        </w:rPr>
        <w:t>企业</w:t>
      </w:r>
      <w:r>
        <w:rPr>
          <w:rFonts w:hint="eastAsia" w:ascii="宋体" w:hAnsi="宋体" w:cs="宋体"/>
          <w:color w:val="auto"/>
          <w:szCs w:val="21"/>
          <w:lang w:val="en-US" w:eastAsia="zh-CN"/>
        </w:rPr>
        <w:t>年度</w:t>
      </w:r>
      <w:r>
        <w:rPr>
          <w:rFonts w:hint="eastAsia" w:ascii="宋体" w:hAnsi="宋体" w:cs="宋体"/>
          <w:color w:val="auto"/>
          <w:szCs w:val="21"/>
        </w:rPr>
        <w:t>奖补总额上限为</w:t>
      </w:r>
      <w:r>
        <w:rPr>
          <w:rFonts w:hint="eastAsia" w:ascii="宋体" w:hAnsi="宋体" w:cs="宋体"/>
          <w:color w:val="auto"/>
          <w:szCs w:val="21"/>
          <w:lang w:val="en-US" w:eastAsia="zh-CN"/>
        </w:rPr>
        <w:t>2</w:t>
      </w:r>
      <w:r>
        <w:rPr>
          <w:rFonts w:hint="eastAsia" w:ascii="宋体" w:hAnsi="宋体" w:cs="宋体"/>
          <w:color w:val="auto"/>
          <w:szCs w:val="21"/>
        </w:rPr>
        <w:t>0万元。</w:t>
      </w:r>
    </w:p>
    <w:p>
      <w:pPr>
        <w:pStyle w:val="2"/>
        <w:rPr>
          <w:rFonts w:hint="default"/>
          <w:color w:val="auto"/>
          <w:lang w:val="en-US" w:eastAsia="zh-CN"/>
        </w:rPr>
      </w:pPr>
    </w:p>
    <w:p>
      <w:pPr>
        <w:pStyle w:val="2"/>
        <w:rPr>
          <w:rFonts w:hint="eastAsia"/>
          <w:color w:val="auto"/>
          <w:lang w:val="en-US" w:eastAsia="zh-CN"/>
        </w:rPr>
      </w:pP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1" w:csb1="00000000"/>
  </w:font>
  <w:font w:name="方正楷体_GBK">
    <w:altName w:val="微软雅黑"/>
    <w:panose1 w:val="00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简标宋">
    <w:altName w:val="宋体"/>
    <w:panose1 w:val="00000000000000000000"/>
    <w:charset w:val="00"/>
    <w:family w:val="auto"/>
    <w:pitch w:val="default"/>
    <w:sig w:usb0="00000000" w:usb1="00000000" w:usb2="00000000" w:usb3="00000000" w:csb0="00040001" w:csb1="00000000"/>
  </w:font>
  <w:font w:name="方正小标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21A4FF"/>
    <w:multiLevelType w:val="singleLevel"/>
    <w:tmpl w:val="4D21A4FF"/>
    <w:lvl w:ilvl="0" w:tentative="0">
      <w:start w:val="2"/>
      <w:numFmt w:val="decimal"/>
      <w:lvlText w:val="%1."/>
      <w:lvlJc w:val="left"/>
      <w:pPr>
        <w:tabs>
          <w:tab w:val="left" w:pos="312"/>
        </w:tabs>
      </w:pPr>
    </w:lvl>
  </w:abstractNum>
  <w:abstractNum w:abstractNumId="1">
    <w:nsid w:val="5BE00F05"/>
    <w:multiLevelType w:val="singleLevel"/>
    <w:tmpl w:val="5BE00F05"/>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347744"/>
    <w:rsid w:val="017240D3"/>
    <w:rsid w:val="02D37036"/>
    <w:rsid w:val="02EA4C03"/>
    <w:rsid w:val="034905D1"/>
    <w:rsid w:val="070A5F2F"/>
    <w:rsid w:val="078D490C"/>
    <w:rsid w:val="08F47B63"/>
    <w:rsid w:val="09265987"/>
    <w:rsid w:val="094B52A5"/>
    <w:rsid w:val="0A7C3E1F"/>
    <w:rsid w:val="0B054685"/>
    <w:rsid w:val="0B686F74"/>
    <w:rsid w:val="0B842A3D"/>
    <w:rsid w:val="0C38382A"/>
    <w:rsid w:val="0C4B5C38"/>
    <w:rsid w:val="0C6B29F4"/>
    <w:rsid w:val="0C9277A7"/>
    <w:rsid w:val="0D644972"/>
    <w:rsid w:val="0E941D0A"/>
    <w:rsid w:val="0EA44652"/>
    <w:rsid w:val="0ED26A19"/>
    <w:rsid w:val="0F1D42CB"/>
    <w:rsid w:val="0F9B2E2B"/>
    <w:rsid w:val="10CA1568"/>
    <w:rsid w:val="13084900"/>
    <w:rsid w:val="13206733"/>
    <w:rsid w:val="132D7A15"/>
    <w:rsid w:val="13E72F8B"/>
    <w:rsid w:val="14252870"/>
    <w:rsid w:val="14C6345E"/>
    <w:rsid w:val="14E77F6D"/>
    <w:rsid w:val="160E75A1"/>
    <w:rsid w:val="166E6CDC"/>
    <w:rsid w:val="16810121"/>
    <w:rsid w:val="169772A4"/>
    <w:rsid w:val="16CA2F68"/>
    <w:rsid w:val="180A6852"/>
    <w:rsid w:val="18814059"/>
    <w:rsid w:val="18D9540E"/>
    <w:rsid w:val="19814427"/>
    <w:rsid w:val="1A2E3881"/>
    <w:rsid w:val="1B733C43"/>
    <w:rsid w:val="1C0D59CD"/>
    <w:rsid w:val="1C395CC1"/>
    <w:rsid w:val="1EE83C18"/>
    <w:rsid w:val="203E55D3"/>
    <w:rsid w:val="215C225D"/>
    <w:rsid w:val="21D8761D"/>
    <w:rsid w:val="23D005FF"/>
    <w:rsid w:val="23D95F1C"/>
    <w:rsid w:val="245D34BE"/>
    <w:rsid w:val="24FA7D12"/>
    <w:rsid w:val="26175F19"/>
    <w:rsid w:val="26B527D4"/>
    <w:rsid w:val="26EE2D8F"/>
    <w:rsid w:val="27A85CF9"/>
    <w:rsid w:val="28897344"/>
    <w:rsid w:val="290E2B95"/>
    <w:rsid w:val="2C044886"/>
    <w:rsid w:val="2C3F1185"/>
    <w:rsid w:val="2C9054C7"/>
    <w:rsid w:val="2D6B723C"/>
    <w:rsid w:val="2E700FF6"/>
    <w:rsid w:val="2FAF1E7A"/>
    <w:rsid w:val="2FC80D26"/>
    <w:rsid w:val="3002543D"/>
    <w:rsid w:val="302B3D8D"/>
    <w:rsid w:val="30572FAE"/>
    <w:rsid w:val="319A7E1E"/>
    <w:rsid w:val="31D07109"/>
    <w:rsid w:val="32366E54"/>
    <w:rsid w:val="323D5E9F"/>
    <w:rsid w:val="324A6F46"/>
    <w:rsid w:val="32F5191B"/>
    <w:rsid w:val="33145983"/>
    <w:rsid w:val="33FE1AA9"/>
    <w:rsid w:val="34F938B7"/>
    <w:rsid w:val="37AA6E53"/>
    <w:rsid w:val="384B4739"/>
    <w:rsid w:val="38D922BD"/>
    <w:rsid w:val="3E853A51"/>
    <w:rsid w:val="3F894ECA"/>
    <w:rsid w:val="3FF51E10"/>
    <w:rsid w:val="4031206B"/>
    <w:rsid w:val="41A83BFB"/>
    <w:rsid w:val="41C73514"/>
    <w:rsid w:val="41DE1808"/>
    <w:rsid w:val="42882CD2"/>
    <w:rsid w:val="43655B67"/>
    <w:rsid w:val="437379BF"/>
    <w:rsid w:val="45066381"/>
    <w:rsid w:val="452A78EA"/>
    <w:rsid w:val="47E34799"/>
    <w:rsid w:val="484513DA"/>
    <w:rsid w:val="48935D6E"/>
    <w:rsid w:val="48B51F42"/>
    <w:rsid w:val="48BC6613"/>
    <w:rsid w:val="49582A0B"/>
    <w:rsid w:val="4A1A4C2C"/>
    <w:rsid w:val="4AE22A90"/>
    <w:rsid w:val="4B9F745D"/>
    <w:rsid w:val="4BDC0643"/>
    <w:rsid w:val="4C917D0C"/>
    <w:rsid w:val="4CAF5F51"/>
    <w:rsid w:val="4CEF6853"/>
    <w:rsid w:val="4D11271C"/>
    <w:rsid w:val="4EF7460A"/>
    <w:rsid w:val="50AD6304"/>
    <w:rsid w:val="514D0AC7"/>
    <w:rsid w:val="51C357B4"/>
    <w:rsid w:val="52271A26"/>
    <w:rsid w:val="561D56B9"/>
    <w:rsid w:val="565B40A3"/>
    <w:rsid w:val="567C6747"/>
    <w:rsid w:val="573C48D5"/>
    <w:rsid w:val="5820073B"/>
    <w:rsid w:val="58C418D8"/>
    <w:rsid w:val="595C118E"/>
    <w:rsid w:val="5A5A5314"/>
    <w:rsid w:val="5AC47201"/>
    <w:rsid w:val="5C4B10F7"/>
    <w:rsid w:val="5C9506D6"/>
    <w:rsid w:val="5EAB48F2"/>
    <w:rsid w:val="60553CB8"/>
    <w:rsid w:val="608B6E4B"/>
    <w:rsid w:val="611303EF"/>
    <w:rsid w:val="618C745E"/>
    <w:rsid w:val="61AE1A8D"/>
    <w:rsid w:val="61FE16FB"/>
    <w:rsid w:val="633747C7"/>
    <w:rsid w:val="63AF32E7"/>
    <w:rsid w:val="63C24B08"/>
    <w:rsid w:val="642E75D6"/>
    <w:rsid w:val="651526B0"/>
    <w:rsid w:val="65D41441"/>
    <w:rsid w:val="66F2029C"/>
    <w:rsid w:val="67C417B1"/>
    <w:rsid w:val="67C8615E"/>
    <w:rsid w:val="67EA5B00"/>
    <w:rsid w:val="683E095E"/>
    <w:rsid w:val="68F74707"/>
    <w:rsid w:val="693E4169"/>
    <w:rsid w:val="6A6872CD"/>
    <w:rsid w:val="6A917DB9"/>
    <w:rsid w:val="6C3E7434"/>
    <w:rsid w:val="6C7A1C72"/>
    <w:rsid w:val="6C9507E5"/>
    <w:rsid w:val="6D347744"/>
    <w:rsid w:val="6DD118D8"/>
    <w:rsid w:val="6DE85F2B"/>
    <w:rsid w:val="6E092691"/>
    <w:rsid w:val="6E58321B"/>
    <w:rsid w:val="6EFE5BE1"/>
    <w:rsid w:val="702656D1"/>
    <w:rsid w:val="7080272D"/>
    <w:rsid w:val="70D5059D"/>
    <w:rsid w:val="727B66F9"/>
    <w:rsid w:val="73E3460A"/>
    <w:rsid w:val="75F41FF5"/>
    <w:rsid w:val="78014DF8"/>
    <w:rsid w:val="788E7C3A"/>
    <w:rsid w:val="78B64EEF"/>
    <w:rsid w:val="78FC5400"/>
    <w:rsid w:val="793E0DFB"/>
    <w:rsid w:val="798F539D"/>
    <w:rsid w:val="7A7E7302"/>
    <w:rsid w:val="7C5E5F5A"/>
    <w:rsid w:val="7DA34E66"/>
    <w:rsid w:val="7FD873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tabs>
        <w:tab w:val="left" w:pos="562"/>
        <w:tab w:val="left" w:pos="3372"/>
        <w:tab w:val="left" w:pos="3653"/>
      </w:tabs>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paragraph" w:styleId="9">
    <w:name w:val="List Paragraph"/>
    <w:basedOn w:val="1"/>
    <w:qFormat/>
    <w:uiPriority w:val="34"/>
    <w:pPr>
      <w:ind w:firstLine="420" w:firstLineChars="200"/>
    </w:pPr>
  </w:style>
  <w:style w:type="paragraph" w:customStyle="1" w:styleId="10">
    <w:name w:val="正文 New New"/>
    <w:qFormat/>
    <w:uiPriority w:val="0"/>
    <w:pPr>
      <w:widowControl w:val="0"/>
      <w:jc w:val="both"/>
    </w:pPr>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6</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2022-05-19T03:11:00Z</dcterms:created>
  <dc:creator>曾小明</dc:creator>
  <cp:lastModifiedBy>曾小明</cp:lastModifiedBy>
  <cp:lastPrinted>2022-05-25T09:54:00Z</cp:lastPrinted>
  <dcterms:modified xsi:type="dcterms:W3CDTF">2022-06-02T02:40:00Z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