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cs="Times New Roman (正文 CS 字体)"/>
          <w:b/>
          <w:bCs/>
          <w:sz w:val="36"/>
          <w:szCs w:val="36"/>
        </w:rPr>
        <w:id w:val="377592450"/>
      </w:sdtPr>
      <w:sdtEndPr>
        <w:rPr>
          <w:rFonts w:cs="Times New Roman (正文 CS 字体)"/>
          <w:b/>
          <w:bCs/>
          <w:sz w:val="36"/>
          <w:szCs w:val="36"/>
        </w:rPr>
      </w:sdtEndPr>
      <w:sdtContent>
        <w:p>
          <w:pPr>
            <w:adjustRightInd w:val="0"/>
            <w:snapToGrid w:val="0"/>
            <w:ind w:firstLine="0" w:firstLineChars="0"/>
            <w:jc w:val="center"/>
            <w:rPr>
              <w:rFonts w:cs="Times New Roman (正文 CS 字体)"/>
              <w:b/>
              <w:bCs/>
              <w:sz w:val="36"/>
              <w:szCs w:val="36"/>
            </w:rPr>
          </w:pPr>
        </w:p>
        <w:p>
          <w:pPr>
            <w:adjustRightInd w:val="0"/>
            <w:snapToGrid w:val="0"/>
            <w:ind w:firstLine="0" w:firstLineChars="0"/>
            <w:jc w:val="center"/>
            <w:rPr>
              <w:rFonts w:cs="Times New Roman (正文 CS 字体)"/>
              <w:b/>
              <w:bCs/>
              <w:sz w:val="36"/>
              <w:szCs w:val="36"/>
            </w:rPr>
          </w:pPr>
        </w:p>
        <w:p>
          <w:pPr>
            <w:adjustRightInd w:val="0"/>
            <w:snapToGrid w:val="0"/>
            <w:ind w:firstLine="0" w:firstLineChars="0"/>
            <w:jc w:val="center"/>
            <w:rPr>
              <w:rFonts w:cs="Times New Roman (正文 CS 字体)"/>
              <w:b/>
              <w:bCs/>
              <w:sz w:val="36"/>
              <w:szCs w:val="36"/>
            </w:rPr>
          </w:pPr>
        </w:p>
        <w:p>
          <w:pPr>
            <w:adjustRightInd w:val="0"/>
            <w:snapToGrid w:val="0"/>
            <w:spacing w:line="480" w:lineRule="auto"/>
            <w:ind w:firstLine="0" w:firstLineChars="0"/>
            <w:jc w:val="center"/>
            <w:rPr>
              <w:rFonts w:cs="Times New Roman (正文 CS 字体)"/>
              <w:b/>
              <w:bCs/>
              <w:sz w:val="48"/>
              <w:szCs w:val="48"/>
            </w:rPr>
          </w:pPr>
          <w:r>
            <w:rPr>
              <w:rFonts w:hint="eastAsia" w:cs="Times New Roman (正文 CS 字体)"/>
              <w:b/>
              <w:bCs/>
              <w:sz w:val="48"/>
              <w:szCs w:val="48"/>
            </w:rPr>
            <w:t>博罗县农业农村现代化</w:t>
          </w:r>
        </w:p>
        <w:p>
          <w:pPr>
            <w:adjustRightInd w:val="0"/>
            <w:snapToGrid w:val="0"/>
            <w:spacing w:line="480" w:lineRule="auto"/>
            <w:ind w:firstLine="0" w:firstLineChars="0"/>
            <w:jc w:val="center"/>
            <w:rPr>
              <w:rFonts w:cs="Times New Roman (正文 CS 字体)"/>
              <w:b/>
              <w:bCs/>
              <w:sz w:val="48"/>
              <w:szCs w:val="48"/>
            </w:rPr>
          </w:pPr>
          <w:r>
            <w:rPr>
              <w:rFonts w:hint="eastAsia" w:cs="Times New Roman (正文 CS 字体)"/>
              <w:b/>
              <w:bCs/>
              <w:sz w:val="48"/>
              <w:szCs w:val="48"/>
            </w:rPr>
            <w:t>“十四五”规划</w:t>
          </w:r>
        </w:p>
        <w:p>
          <w:pPr>
            <w:adjustRightInd w:val="0"/>
            <w:snapToGrid w:val="0"/>
            <w:ind w:firstLine="0" w:firstLineChars="0"/>
            <w:jc w:val="center"/>
            <w:rPr>
              <w:rFonts w:cs="Times New Roman (正文 CS 字体)"/>
              <w:b/>
              <w:bCs/>
              <w:sz w:val="36"/>
              <w:szCs w:val="36"/>
            </w:rPr>
          </w:pPr>
        </w:p>
        <w:p>
          <w:pPr>
            <w:adjustRightInd w:val="0"/>
            <w:snapToGrid w:val="0"/>
            <w:ind w:firstLine="0" w:firstLineChars="0"/>
            <w:jc w:val="center"/>
            <w:rPr>
              <w:rFonts w:cs="Times New Roman (正文 CS 字体)"/>
              <w:b/>
              <w:bCs/>
              <w:sz w:val="36"/>
              <w:szCs w:val="36"/>
            </w:rPr>
          </w:pPr>
        </w:p>
        <w:p>
          <w:pPr>
            <w:adjustRightInd w:val="0"/>
            <w:snapToGrid w:val="0"/>
            <w:ind w:firstLine="0" w:firstLineChars="0"/>
            <w:jc w:val="center"/>
            <w:rPr>
              <w:rFonts w:cs="Times New Roman (正文 CS 字体)"/>
              <w:b/>
              <w:bCs/>
              <w:sz w:val="36"/>
              <w:szCs w:val="36"/>
            </w:rPr>
          </w:pPr>
        </w:p>
        <w:p>
          <w:pPr>
            <w:adjustRightInd w:val="0"/>
            <w:snapToGrid w:val="0"/>
            <w:ind w:firstLine="0" w:firstLineChars="0"/>
            <w:jc w:val="center"/>
            <w:rPr>
              <w:rFonts w:cs="Times New Roman (正文 CS 字体)"/>
              <w:b/>
              <w:bCs/>
              <w:sz w:val="36"/>
              <w:szCs w:val="36"/>
            </w:rPr>
          </w:pPr>
        </w:p>
        <w:p>
          <w:pPr>
            <w:adjustRightInd w:val="0"/>
            <w:snapToGrid w:val="0"/>
            <w:ind w:firstLine="0" w:firstLineChars="0"/>
            <w:jc w:val="center"/>
            <w:rPr>
              <w:rFonts w:cs="Times New Roman (正文 CS 字体)"/>
              <w:b/>
              <w:bCs/>
              <w:sz w:val="36"/>
              <w:szCs w:val="36"/>
            </w:rPr>
          </w:pPr>
        </w:p>
        <w:p>
          <w:pPr>
            <w:adjustRightInd w:val="0"/>
            <w:snapToGrid w:val="0"/>
            <w:ind w:firstLine="0" w:firstLineChars="0"/>
            <w:jc w:val="center"/>
            <w:rPr>
              <w:rFonts w:cs="Times New Roman (正文 CS 字体)"/>
              <w:b/>
              <w:bCs/>
              <w:sz w:val="36"/>
              <w:szCs w:val="36"/>
            </w:rPr>
          </w:pPr>
        </w:p>
        <w:p>
          <w:pPr>
            <w:adjustRightInd w:val="0"/>
            <w:snapToGrid w:val="0"/>
            <w:ind w:firstLine="0" w:firstLineChars="0"/>
            <w:jc w:val="center"/>
            <w:rPr>
              <w:rFonts w:cs="Times New Roman (正文 CS 字体)"/>
              <w:b/>
              <w:bCs/>
              <w:sz w:val="36"/>
              <w:szCs w:val="36"/>
            </w:rPr>
          </w:pPr>
        </w:p>
        <w:p>
          <w:pPr>
            <w:adjustRightInd w:val="0"/>
            <w:snapToGrid w:val="0"/>
            <w:ind w:firstLine="0" w:firstLineChars="0"/>
            <w:jc w:val="center"/>
            <w:rPr>
              <w:rFonts w:cs="Times New Roman (正文 CS 字体)"/>
              <w:b/>
              <w:bCs/>
              <w:sz w:val="36"/>
              <w:szCs w:val="36"/>
            </w:rPr>
          </w:pPr>
        </w:p>
        <w:p>
          <w:pPr>
            <w:adjustRightInd w:val="0"/>
            <w:snapToGrid w:val="0"/>
            <w:ind w:firstLine="0" w:firstLineChars="0"/>
            <w:jc w:val="center"/>
            <w:rPr>
              <w:rFonts w:cs="Times New Roman (正文 CS 字体)"/>
              <w:b/>
              <w:bCs/>
              <w:sz w:val="36"/>
              <w:szCs w:val="36"/>
            </w:rPr>
          </w:pPr>
        </w:p>
        <w:p>
          <w:pPr>
            <w:adjustRightInd w:val="0"/>
            <w:snapToGrid w:val="0"/>
            <w:ind w:firstLine="0" w:firstLineChars="0"/>
            <w:jc w:val="center"/>
            <w:rPr>
              <w:rFonts w:cs="Times New Roman (正文 CS 字体)"/>
              <w:b/>
              <w:bCs/>
              <w:sz w:val="36"/>
              <w:szCs w:val="36"/>
            </w:rPr>
          </w:pPr>
        </w:p>
        <w:p>
          <w:pPr>
            <w:adjustRightInd w:val="0"/>
            <w:snapToGrid w:val="0"/>
            <w:ind w:firstLine="0" w:firstLineChars="0"/>
            <w:jc w:val="center"/>
            <w:rPr>
              <w:rFonts w:cs="Times New Roman (正文 CS 字体)"/>
              <w:b/>
              <w:bCs/>
              <w:sz w:val="30"/>
              <w:szCs w:val="30"/>
            </w:rPr>
          </w:pPr>
        </w:p>
        <w:p>
          <w:pPr>
            <w:adjustRightInd w:val="0"/>
            <w:snapToGrid w:val="0"/>
            <w:ind w:left="0" w:leftChars="0" w:firstLine="2409" w:firstLineChars="800"/>
            <w:jc w:val="both"/>
            <w:rPr>
              <w:rFonts w:cs="Times New Roman (正文 CS 字体)"/>
              <w:b/>
              <w:bCs/>
              <w:sz w:val="30"/>
              <w:szCs w:val="30"/>
            </w:rPr>
          </w:pPr>
          <w:r>
            <w:rPr>
              <w:rFonts w:hint="eastAsia" w:cs="Times New Roman (正文 CS 字体)"/>
              <w:b/>
              <w:bCs/>
              <w:sz w:val="30"/>
              <w:szCs w:val="30"/>
            </w:rPr>
            <w:t>编制单位：博罗县农业农村局</w:t>
          </w:r>
        </w:p>
        <w:p>
          <w:pPr>
            <w:adjustRightInd w:val="0"/>
            <w:snapToGrid w:val="0"/>
            <w:ind w:left="0" w:leftChars="0" w:firstLine="2409" w:firstLineChars="800"/>
            <w:jc w:val="both"/>
            <w:rPr>
              <w:rFonts w:cs="Times New Roman (正文 CS 字体)"/>
              <w:b/>
              <w:bCs/>
              <w:sz w:val="30"/>
              <w:szCs w:val="30"/>
            </w:rPr>
          </w:pPr>
          <w:r>
            <w:rPr>
              <w:rFonts w:hint="eastAsia" w:cs="Times New Roman (正文 CS 字体)"/>
              <w:b/>
              <w:bCs/>
              <w:sz w:val="30"/>
              <w:szCs w:val="30"/>
            </w:rPr>
            <w:t>编制时间：二〇二二年六月</w:t>
          </w:r>
        </w:p>
        <w:p>
          <w:pPr>
            <w:widowControl/>
            <w:spacing w:line="240" w:lineRule="auto"/>
            <w:ind w:firstLine="0" w:firstLineChars="0"/>
            <w:jc w:val="left"/>
            <w:rPr>
              <w:rFonts w:cs="Times New Roman (正文 CS 字体)"/>
              <w:b/>
              <w:bCs/>
              <w:sz w:val="36"/>
              <w:szCs w:val="36"/>
            </w:rPr>
          </w:pPr>
          <w:r>
            <w:rPr>
              <w:rFonts w:cs="Times New Roman (正文 CS 字体)"/>
              <w:b/>
              <w:bCs/>
              <w:sz w:val="36"/>
              <w:szCs w:val="36"/>
            </w:rPr>
            <w:br w:type="page"/>
          </w:r>
        </w:p>
      </w:sdtContent>
    </w:sdt>
    <w:p>
      <w:pPr>
        <w:adjustRightInd w:val="0"/>
        <w:snapToGrid w:val="0"/>
        <w:ind w:firstLine="0" w:firstLineChars="0"/>
        <w:rPr>
          <w:rFonts w:cs="Times New Roman (正文 CS 字体)"/>
          <w:b/>
          <w:bCs/>
          <w:sz w:val="36"/>
          <w:szCs w:val="36"/>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fmt="lowerRoman" w:start="0"/>
          <w:cols w:space="425" w:num="1"/>
          <w:titlePg/>
          <w:docGrid w:type="lines" w:linePitch="381" w:charSpace="0"/>
        </w:sectPr>
      </w:pPr>
    </w:p>
    <w:sdt>
      <w:sdtPr>
        <w:rPr>
          <w:rFonts w:ascii="Times New Roman" w:hAnsi="Times New Roman" w:eastAsia="仿宋" w:cstheme="minorBidi"/>
          <w:color w:val="auto"/>
          <w:kern w:val="2"/>
          <w:sz w:val="28"/>
          <w:szCs w:val="22"/>
          <w:lang w:val="zh-CN"/>
        </w:rPr>
        <w:id w:val="-802925500"/>
        <w:docPartObj>
          <w:docPartGallery w:val="Table of Contents"/>
          <w:docPartUnique/>
        </w:docPartObj>
      </w:sdtPr>
      <w:sdtEndPr>
        <w:rPr>
          <w:rFonts w:ascii="Times New Roman" w:hAnsi="Times New Roman" w:eastAsia="仿宋" w:cstheme="minorBidi"/>
          <w:b/>
          <w:bCs/>
          <w:color w:val="auto"/>
          <w:kern w:val="2"/>
          <w:sz w:val="28"/>
          <w:szCs w:val="22"/>
          <w:lang w:val="zh-CN"/>
        </w:rPr>
      </w:sdtEndPr>
      <w:sdtContent>
        <w:p>
          <w:pPr>
            <w:pStyle w:val="43"/>
            <w:jc w:val="center"/>
            <w:rPr>
              <w:rFonts w:ascii="宋体" w:hAnsi="宋体" w:eastAsia="宋体"/>
              <w:color w:val="auto"/>
            </w:rPr>
          </w:pPr>
          <w:r>
            <w:rPr>
              <w:rFonts w:ascii="宋体" w:hAnsi="宋体" w:eastAsia="宋体"/>
              <w:color w:val="auto"/>
              <w:lang w:val="zh-CN"/>
            </w:rPr>
            <w:t>目录</w:t>
          </w:r>
        </w:p>
        <w:p>
          <w:pPr>
            <w:pStyle w:val="15"/>
            <w:tabs>
              <w:tab w:val="right" w:leader="dot" w:pos="8296"/>
            </w:tabs>
            <w:ind w:firstLine="402"/>
            <w:rPr>
              <w:rFonts w:hAnsiTheme="minorHAnsi" w:eastAsiaTheme="minorEastAsia"/>
              <w:b w:val="0"/>
              <w:bCs w:val="0"/>
              <w:caps w:val="0"/>
              <w:sz w:val="21"/>
              <w:szCs w:val="22"/>
            </w:rPr>
          </w:pPr>
          <w:r>
            <w:rPr>
              <w:rFonts w:ascii="宋体" w:hAnsi="宋体" w:eastAsia="宋体"/>
            </w:rPr>
            <w:fldChar w:fldCharType="begin"/>
          </w:r>
          <w:r>
            <w:rPr>
              <w:rFonts w:ascii="宋体" w:hAnsi="宋体" w:eastAsia="宋体"/>
            </w:rPr>
            <w:instrText xml:space="preserve"> TOC \o "1-3" \h \z \u </w:instrText>
          </w:r>
          <w:r>
            <w:rPr>
              <w:rFonts w:ascii="宋体" w:hAnsi="宋体" w:eastAsia="宋体"/>
            </w:rPr>
            <w:fldChar w:fldCharType="separate"/>
          </w:r>
          <w:r>
            <w:fldChar w:fldCharType="begin"/>
          </w:r>
          <w:r>
            <w:instrText xml:space="preserve"> HYPERLINK \l "_Toc107350543" </w:instrText>
          </w:r>
          <w:r>
            <w:fldChar w:fldCharType="separate"/>
          </w:r>
          <w:r>
            <w:rPr>
              <w:rStyle w:val="27"/>
            </w:rPr>
            <w:t>第一章 “十三五”取得的成就</w:t>
          </w:r>
          <w:r>
            <w:tab/>
          </w:r>
          <w:r>
            <w:fldChar w:fldCharType="begin"/>
          </w:r>
          <w:r>
            <w:instrText xml:space="preserve"> PAGEREF _Toc107350543 \h </w:instrText>
          </w:r>
          <w:r>
            <w:fldChar w:fldCharType="separate"/>
          </w:r>
          <w:r>
            <w:t>1</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"_Toc107350544" </w:instrText>
          </w:r>
          <w:r>
            <w:fldChar w:fldCharType="separate"/>
          </w:r>
          <w:r>
            <w:rPr>
              <w:rStyle w:val="27"/>
            </w:rPr>
            <w:t>一、农业综合生产能力保持稳定</w:t>
          </w:r>
          <w:r>
            <w:tab/>
          </w:r>
          <w:r>
            <w:fldChar w:fldCharType="begin"/>
          </w:r>
          <w:r>
            <w:instrText xml:space="preserve"> PAGEREF _Toc107350544 \h </w:instrText>
          </w:r>
          <w:r>
            <w:fldChar w:fldCharType="separate"/>
          </w:r>
          <w:r>
            <w:t>1</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"_Toc107350545" </w:instrText>
          </w:r>
          <w:r>
            <w:fldChar w:fldCharType="separate"/>
          </w:r>
          <w:r>
            <w:rPr>
              <w:rStyle w:val="27"/>
            </w:rPr>
            <w:t>二、农业转型升级取得新进展</w:t>
          </w:r>
          <w:r>
            <w:tab/>
          </w:r>
          <w:r>
            <w:fldChar w:fldCharType="begin"/>
          </w:r>
          <w:r>
            <w:instrText xml:space="preserve"> PAGEREF _Toc107350545 \h </w:instrText>
          </w:r>
          <w:r>
            <w:fldChar w:fldCharType="separate"/>
          </w:r>
          <w:r>
            <w:t>1</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"_Toc107350546" </w:instrText>
          </w:r>
          <w:r>
            <w:fldChar w:fldCharType="separate"/>
          </w:r>
          <w:r>
            <w:rPr>
              <w:rStyle w:val="27"/>
            </w:rPr>
            <w:t>三、新型农业经营体系日渐成熟</w:t>
          </w:r>
          <w:r>
            <w:tab/>
          </w:r>
          <w:r>
            <w:fldChar w:fldCharType="begin"/>
          </w:r>
          <w:r>
            <w:instrText xml:space="preserve"> PAGEREF _Toc107350546 \h </w:instrText>
          </w:r>
          <w:r>
            <w:fldChar w:fldCharType="separate"/>
          </w:r>
          <w:r>
            <w:t>2</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"_Toc107350547" </w:instrText>
          </w:r>
          <w:r>
            <w:fldChar w:fldCharType="separate"/>
          </w:r>
          <w:r>
            <w:rPr>
              <w:rStyle w:val="27"/>
            </w:rPr>
            <w:t>四、绿色发展农产品品质大幅提升</w:t>
          </w:r>
          <w:r>
            <w:tab/>
          </w:r>
          <w:r>
            <w:fldChar w:fldCharType="begin"/>
          </w:r>
          <w:r>
            <w:instrText xml:space="preserve"> PAGEREF _Toc107350547 \h </w:instrText>
          </w:r>
          <w:r>
            <w:fldChar w:fldCharType="separate"/>
          </w:r>
          <w:r>
            <w:t>3</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"_Toc107350548" </w:instrText>
          </w:r>
          <w:r>
            <w:fldChar w:fldCharType="separate"/>
          </w:r>
          <w:r>
            <w:rPr>
              <w:rStyle w:val="27"/>
            </w:rPr>
            <w:t>五、生态文明建设取得良好成绩</w:t>
          </w:r>
          <w:r>
            <w:tab/>
          </w:r>
          <w:r>
            <w:fldChar w:fldCharType="begin"/>
          </w:r>
          <w:r>
            <w:instrText xml:space="preserve"> PAGEREF _Toc107350548 \h </w:instrText>
          </w:r>
          <w:r>
            <w:fldChar w:fldCharType="separate"/>
          </w:r>
          <w:r>
            <w:t>4</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"_Toc107350549" </w:instrText>
          </w:r>
          <w:r>
            <w:fldChar w:fldCharType="separate"/>
          </w:r>
          <w:r>
            <w:rPr>
              <w:rStyle w:val="27"/>
            </w:rPr>
            <w:t>六、农村集体产权制度改革卓有成效</w:t>
          </w:r>
          <w:r>
            <w:tab/>
          </w:r>
          <w:r>
            <w:fldChar w:fldCharType="begin"/>
          </w:r>
          <w:r>
            <w:instrText xml:space="preserve"> PAGEREF _Toc107350549 \h </w:instrText>
          </w:r>
          <w:r>
            <w:fldChar w:fldCharType="separate"/>
          </w:r>
          <w:r>
            <w:t>5</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"_Toc107350550" </w:instrText>
          </w:r>
          <w:r>
            <w:fldChar w:fldCharType="separate"/>
          </w:r>
          <w:r>
            <w:rPr>
              <w:rStyle w:val="27"/>
            </w:rPr>
            <w:t>七、全面完成脱贫攻坚任务</w:t>
          </w:r>
          <w:r>
            <w:tab/>
          </w:r>
          <w:r>
            <w:fldChar w:fldCharType="begin"/>
          </w:r>
          <w:r>
            <w:instrText xml:space="preserve"> PAGEREF _Toc107350550 \h </w:instrText>
          </w:r>
          <w:r>
            <w:fldChar w:fldCharType="separate"/>
          </w:r>
          <w:r>
            <w:t>5</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"_Toc107350551" </w:instrText>
          </w:r>
          <w:r>
            <w:fldChar w:fldCharType="separate"/>
          </w:r>
          <w:r>
            <w:rPr>
              <w:rStyle w:val="27"/>
            </w:rPr>
            <w:t>八、农村人居环境焕然一新</w:t>
          </w:r>
          <w:r>
            <w:tab/>
          </w:r>
          <w:r>
            <w:fldChar w:fldCharType="begin"/>
          </w:r>
          <w:r>
            <w:instrText xml:space="preserve"> PAGEREF _Toc107350551 \h </w:instrText>
          </w:r>
          <w:r>
            <w:fldChar w:fldCharType="separate"/>
          </w:r>
          <w:r>
            <w:t>6</w:t>
          </w:r>
          <w:r>
            <w:fldChar w:fldCharType="end"/>
          </w:r>
          <w:r>
            <w:fldChar w:fldCharType="end"/>
          </w:r>
        </w:p>
        <w:p>
          <w:pPr>
            <w:pStyle w:val="15"/>
            <w:tabs>
              <w:tab w:val="right" w:leader="dot" w:pos="8296"/>
            </w:tabs>
            <w:ind w:firstLine="400"/>
            <w:rPr>
              <w:rFonts w:hAnsiTheme="minorHAnsi" w:eastAsiaTheme="minorEastAsia"/>
              <w:b w:val="0"/>
              <w:bCs w:val="0"/>
              <w:caps w:val="0"/>
              <w:sz w:val="21"/>
              <w:szCs w:val="22"/>
            </w:rPr>
          </w:pPr>
          <w:r>
            <w:fldChar w:fldCharType="begin"/>
          </w:r>
          <w:r>
            <w:instrText xml:space="preserve"> HYPERLINK \l "_Toc107350552" </w:instrText>
          </w:r>
          <w:r>
            <w:fldChar w:fldCharType="separate"/>
          </w:r>
          <w:r>
            <w:rPr>
              <w:rStyle w:val="27"/>
            </w:rPr>
            <w:t>第二章 “十四五”发展环境</w:t>
          </w:r>
          <w:r>
            <w:tab/>
          </w:r>
          <w:r>
            <w:fldChar w:fldCharType="begin"/>
          </w:r>
          <w:r>
            <w:instrText xml:space="preserve"> PAGEREF _Toc107350552 \h </w:instrText>
          </w:r>
          <w:r>
            <w:fldChar w:fldCharType="separate"/>
          </w:r>
          <w:r>
            <w:t>8</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"_Toc107350553" </w:instrText>
          </w:r>
          <w:r>
            <w:fldChar w:fldCharType="separate"/>
          </w:r>
          <w:r>
            <w:rPr>
              <w:rStyle w:val="27"/>
            </w:rPr>
            <w:t>一、发展机遇</w:t>
          </w:r>
          <w:r>
            <w:tab/>
          </w:r>
          <w:r>
            <w:fldChar w:fldCharType="begin"/>
          </w:r>
          <w:r>
            <w:instrText xml:space="preserve"> PAGEREF _Toc107350553 \h </w:instrText>
          </w:r>
          <w:r>
            <w:fldChar w:fldCharType="separate"/>
          </w:r>
          <w:r>
            <w:t>8</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"_Toc107350554" </w:instrText>
          </w:r>
          <w:r>
            <w:fldChar w:fldCharType="separate"/>
          </w:r>
          <w:r>
            <w:rPr>
              <w:rStyle w:val="27"/>
              <w:i w:val="0"/>
              <w:iCs w:val="0"/>
            </w:rPr>
            <w:t>（一）中央和地方对农业农村发展的高度重视</w:t>
          </w:r>
          <w:r>
            <w:rPr>
              <w:i w:val="0"/>
              <w:iCs w:val="0"/>
            </w:rPr>
            <w:tab/>
          </w:r>
          <w:r>
            <w:rPr>
              <w:i w:val="0"/>
              <w:iCs w:val="0"/>
            </w:rPr>
            <w:fldChar w:fldCharType="begin"/>
          </w:r>
          <w:r>
            <w:rPr>
              <w:i w:val="0"/>
              <w:iCs w:val="0"/>
            </w:rPr>
            <w:instrText xml:space="preserve"> PAGEREF _Toc107350554 \h </w:instrText>
          </w:r>
          <w:r>
            <w:rPr>
              <w:i w:val="0"/>
              <w:iCs w:val="0"/>
            </w:rPr>
            <w:fldChar w:fldCharType="separate"/>
          </w:r>
          <w:r>
            <w:rPr>
              <w:i w:val="0"/>
              <w:iCs w:val="0"/>
            </w:rPr>
            <w:t>8</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"_Toc107350555" </w:instrText>
          </w:r>
          <w:r>
            <w:fldChar w:fldCharType="separate"/>
          </w:r>
          <w:r>
            <w:rPr>
              <w:rStyle w:val="27"/>
              <w:i w:val="0"/>
              <w:iCs w:val="0"/>
            </w:rPr>
            <w:t>（二）双循环驱动下国内消费市场的升级</w:t>
          </w:r>
          <w:r>
            <w:rPr>
              <w:i w:val="0"/>
              <w:iCs w:val="0"/>
            </w:rPr>
            <w:tab/>
          </w:r>
          <w:r>
            <w:rPr>
              <w:i w:val="0"/>
              <w:iCs w:val="0"/>
            </w:rPr>
            <w:fldChar w:fldCharType="begin"/>
          </w:r>
          <w:r>
            <w:rPr>
              <w:i w:val="0"/>
              <w:iCs w:val="0"/>
            </w:rPr>
            <w:instrText xml:space="preserve"> PAGEREF _Toc107350555 \h </w:instrText>
          </w:r>
          <w:r>
            <w:rPr>
              <w:i w:val="0"/>
              <w:iCs w:val="0"/>
            </w:rPr>
            <w:fldChar w:fldCharType="separate"/>
          </w:r>
          <w:r>
            <w:rPr>
              <w:i w:val="0"/>
              <w:iCs w:val="0"/>
            </w:rPr>
            <w:t>9</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"_Toc107350556" </w:instrText>
          </w:r>
          <w:r>
            <w:fldChar w:fldCharType="separate"/>
          </w:r>
          <w:r>
            <w:rPr>
              <w:rStyle w:val="27"/>
              <w:i w:val="0"/>
              <w:iCs w:val="0"/>
            </w:rPr>
            <w:t>（三）粤港澳大湾区全面深化发展的互补推力</w:t>
          </w:r>
          <w:r>
            <w:rPr>
              <w:i w:val="0"/>
              <w:iCs w:val="0"/>
            </w:rPr>
            <w:tab/>
          </w:r>
          <w:r>
            <w:rPr>
              <w:i w:val="0"/>
              <w:iCs w:val="0"/>
            </w:rPr>
            <w:fldChar w:fldCharType="begin"/>
          </w:r>
          <w:r>
            <w:rPr>
              <w:i w:val="0"/>
              <w:iCs w:val="0"/>
            </w:rPr>
            <w:instrText xml:space="preserve"> PAGEREF _Toc107350556 \h </w:instrText>
          </w:r>
          <w:r>
            <w:rPr>
              <w:i w:val="0"/>
              <w:iCs w:val="0"/>
            </w:rPr>
            <w:fldChar w:fldCharType="separate"/>
          </w:r>
          <w:r>
            <w:rPr>
              <w:i w:val="0"/>
              <w:iCs w:val="0"/>
            </w:rPr>
            <w:t>9</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"_Toc107350557" </w:instrText>
          </w:r>
          <w:r>
            <w:fldChar w:fldCharType="separate"/>
          </w:r>
          <w:r>
            <w:rPr>
              <w:rStyle w:val="27"/>
              <w:i w:val="0"/>
              <w:iCs w:val="0"/>
            </w:rPr>
            <w:t>（四）新型城镇化发展带来的经济快速增长</w:t>
          </w:r>
          <w:r>
            <w:rPr>
              <w:i w:val="0"/>
              <w:iCs w:val="0"/>
            </w:rPr>
            <w:tab/>
          </w:r>
          <w:r>
            <w:rPr>
              <w:i w:val="0"/>
              <w:iCs w:val="0"/>
            </w:rPr>
            <w:fldChar w:fldCharType="begin"/>
          </w:r>
          <w:r>
            <w:rPr>
              <w:i w:val="0"/>
              <w:iCs w:val="0"/>
            </w:rPr>
            <w:instrText xml:space="preserve"> PAGEREF _Toc107350557 \h </w:instrText>
          </w:r>
          <w:r>
            <w:rPr>
              <w:i w:val="0"/>
              <w:iCs w:val="0"/>
            </w:rPr>
            <w:fldChar w:fldCharType="separate"/>
          </w:r>
          <w:r>
            <w:rPr>
              <w:i w:val="0"/>
              <w:iCs w:val="0"/>
            </w:rPr>
            <w:t>10</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"_Toc107350558" </w:instrText>
          </w:r>
          <w:r>
            <w:fldChar w:fldCharType="separate"/>
          </w:r>
          <w:r>
            <w:rPr>
              <w:rStyle w:val="27"/>
              <w:i w:val="0"/>
              <w:iCs w:val="0"/>
            </w:rPr>
            <w:t>（五）“一村一品，一镇一业”稳健开局</w:t>
          </w:r>
          <w:r>
            <w:rPr>
              <w:i w:val="0"/>
              <w:iCs w:val="0"/>
            </w:rPr>
            <w:tab/>
          </w:r>
          <w:r>
            <w:rPr>
              <w:i w:val="0"/>
              <w:iCs w:val="0"/>
            </w:rPr>
            <w:fldChar w:fldCharType="begin"/>
          </w:r>
          <w:r>
            <w:rPr>
              <w:i w:val="0"/>
              <w:iCs w:val="0"/>
            </w:rPr>
            <w:instrText xml:space="preserve"> PAGEREF _Toc107350558 \h </w:instrText>
          </w:r>
          <w:r>
            <w:rPr>
              <w:i w:val="0"/>
              <w:iCs w:val="0"/>
            </w:rPr>
            <w:fldChar w:fldCharType="separate"/>
          </w:r>
          <w:r>
            <w:rPr>
              <w:i w:val="0"/>
              <w:iCs w:val="0"/>
            </w:rPr>
            <w:t>11</w:t>
          </w:r>
          <w:r>
            <w:rPr>
              <w:i w:val="0"/>
              <w:iCs w:val="0"/>
            </w:rPr>
            <w:fldChar w:fldCharType="end"/>
          </w:r>
          <w:r>
            <w:rPr>
              <w:i w:val="0"/>
              <w:iCs w:val="0"/>
            </w:rP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"_Toc107350559" </w:instrText>
          </w:r>
          <w:r>
            <w:fldChar w:fldCharType="separate"/>
          </w:r>
          <w:r>
            <w:rPr>
              <w:rStyle w:val="27"/>
            </w:rPr>
            <w:t>二、面对挑战</w:t>
          </w:r>
          <w:r>
            <w:tab/>
          </w:r>
          <w:r>
            <w:fldChar w:fldCharType="begin"/>
          </w:r>
          <w:r>
            <w:instrText xml:space="preserve"> PAGEREF _Toc107350559 \h </w:instrText>
          </w:r>
          <w:r>
            <w:fldChar w:fldCharType="separate"/>
          </w:r>
          <w:r>
            <w:t>11</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"_Toc107350560" </w:instrText>
          </w:r>
          <w:r>
            <w:fldChar w:fldCharType="separate"/>
          </w:r>
          <w:r>
            <w:rPr>
              <w:rStyle w:val="27"/>
              <w:i w:val="0"/>
              <w:iCs w:val="0"/>
            </w:rPr>
            <w:t>（一）土地问题对农业农村发展带来的挑战</w:t>
          </w:r>
          <w:r>
            <w:rPr>
              <w:i w:val="0"/>
              <w:iCs w:val="0"/>
            </w:rPr>
            <w:tab/>
          </w:r>
          <w:r>
            <w:rPr>
              <w:i w:val="0"/>
              <w:iCs w:val="0"/>
            </w:rPr>
            <w:fldChar w:fldCharType="begin"/>
          </w:r>
          <w:r>
            <w:rPr>
              <w:i w:val="0"/>
              <w:iCs w:val="0"/>
            </w:rPr>
            <w:instrText xml:space="preserve"> PAGEREF _Toc107350560 \h </w:instrText>
          </w:r>
          <w:r>
            <w:rPr>
              <w:i w:val="0"/>
              <w:iCs w:val="0"/>
            </w:rPr>
            <w:fldChar w:fldCharType="separate"/>
          </w:r>
          <w:r>
            <w:rPr>
              <w:i w:val="0"/>
              <w:iCs w:val="0"/>
            </w:rPr>
            <w:t>11</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"_Toc107350561" </w:instrText>
          </w:r>
          <w:r>
            <w:fldChar w:fldCharType="separate"/>
          </w:r>
          <w:r>
            <w:rPr>
              <w:rStyle w:val="27"/>
              <w:i w:val="0"/>
              <w:iCs w:val="0"/>
            </w:rPr>
            <w:t>（二）环保要求提高对农业农村发展带来的挑战</w:t>
          </w:r>
          <w:r>
            <w:rPr>
              <w:i w:val="0"/>
              <w:iCs w:val="0"/>
            </w:rPr>
            <w:tab/>
          </w:r>
          <w:r>
            <w:rPr>
              <w:i w:val="0"/>
              <w:iCs w:val="0"/>
            </w:rPr>
            <w:fldChar w:fldCharType="begin"/>
          </w:r>
          <w:r>
            <w:rPr>
              <w:i w:val="0"/>
              <w:iCs w:val="0"/>
            </w:rPr>
            <w:instrText xml:space="preserve"> PAGEREF _Toc107350561 \h </w:instrText>
          </w:r>
          <w:r>
            <w:rPr>
              <w:i w:val="0"/>
              <w:iCs w:val="0"/>
            </w:rPr>
            <w:fldChar w:fldCharType="separate"/>
          </w:r>
          <w:r>
            <w:rPr>
              <w:i w:val="0"/>
              <w:iCs w:val="0"/>
            </w:rPr>
            <w:t>12</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"_Toc107350562" </w:instrText>
          </w:r>
          <w:r>
            <w:fldChar w:fldCharType="separate"/>
          </w:r>
          <w:r>
            <w:rPr>
              <w:rStyle w:val="27"/>
              <w:i w:val="0"/>
              <w:iCs w:val="0"/>
            </w:rPr>
            <w:t>（三）农民持续增收难度较大带来的挑战</w:t>
          </w:r>
          <w:r>
            <w:rPr>
              <w:i w:val="0"/>
              <w:iCs w:val="0"/>
            </w:rPr>
            <w:tab/>
          </w:r>
          <w:r>
            <w:rPr>
              <w:i w:val="0"/>
              <w:iCs w:val="0"/>
            </w:rPr>
            <w:fldChar w:fldCharType="begin"/>
          </w:r>
          <w:r>
            <w:rPr>
              <w:i w:val="0"/>
              <w:iCs w:val="0"/>
            </w:rPr>
            <w:instrText xml:space="preserve"> PAGEREF _Toc107350562 \h </w:instrText>
          </w:r>
          <w:r>
            <w:rPr>
              <w:i w:val="0"/>
              <w:iCs w:val="0"/>
            </w:rPr>
            <w:fldChar w:fldCharType="separate"/>
          </w:r>
          <w:r>
            <w:rPr>
              <w:i w:val="0"/>
              <w:iCs w:val="0"/>
            </w:rPr>
            <w:t>12</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"_Toc107350563" </w:instrText>
          </w:r>
          <w:r>
            <w:fldChar w:fldCharType="separate"/>
          </w:r>
          <w:r>
            <w:rPr>
              <w:rStyle w:val="27"/>
              <w:i w:val="0"/>
              <w:iCs w:val="0"/>
            </w:rPr>
            <w:t>（四）科技创新和辐射带动能力仍然较弱</w:t>
          </w:r>
          <w:r>
            <w:rPr>
              <w:i w:val="0"/>
              <w:iCs w:val="0"/>
            </w:rPr>
            <w:tab/>
          </w:r>
          <w:r>
            <w:rPr>
              <w:i w:val="0"/>
              <w:iCs w:val="0"/>
            </w:rPr>
            <w:fldChar w:fldCharType="begin"/>
          </w:r>
          <w:r>
            <w:rPr>
              <w:i w:val="0"/>
              <w:iCs w:val="0"/>
            </w:rPr>
            <w:instrText xml:space="preserve"> PAGEREF _Toc107350563 \h </w:instrText>
          </w:r>
          <w:r>
            <w:rPr>
              <w:i w:val="0"/>
              <w:iCs w:val="0"/>
            </w:rPr>
            <w:fldChar w:fldCharType="separate"/>
          </w:r>
          <w:r>
            <w:rPr>
              <w:i w:val="0"/>
              <w:iCs w:val="0"/>
            </w:rPr>
            <w:t>13</w:t>
          </w:r>
          <w:r>
            <w:rPr>
              <w:i w:val="0"/>
              <w:iCs w:val="0"/>
            </w:rPr>
            <w:fldChar w:fldCharType="end"/>
          </w:r>
          <w:r>
            <w:rPr>
              <w:i w:val="0"/>
              <w:iCs w:val="0"/>
            </w:rPr>
            <w:fldChar w:fldCharType="end"/>
          </w:r>
        </w:p>
        <w:p>
          <w:pPr>
            <w:pStyle w:val="15"/>
            <w:tabs>
              <w:tab w:val="right" w:leader="dot" w:pos="8296"/>
            </w:tabs>
            <w:ind w:firstLine="400"/>
            <w:rPr>
              <w:rFonts w:hAnsiTheme="minorHAnsi" w:eastAsiaTheme="minorEastAsia"/>
              <w:b w:val="0"/>
              <w:bCs w:val="0"/>
              <w:caps w:val="0"/>
              <w:sz w:val="21"/>
              <w:szCs w:val="22"/>
            </w:rPr>
          </w:pPr>
          <w:r>
            <w:fldChar w:fldCharType="begin"/>
          </w:r>
          <w:r>
            <w:instrText xml:space="preserve"> HYPERLINK \l "_Toc107350564" </w:instrText>
          </w:r>
          <w:r>
            <w:fldChar w:fldCharType="separate"/>
          </w:r>
          <w:r>
            <w:rPr>
              <w:rStyle w:val="27"/>
            </w:rPr>
            <w:t>第三章 指导思想、发展思路、定位与空间布局</w:t>
          </w:r>
          <w:r>
            <w:tab/>
          </w:r>
          <w:r>
            <w:fldChar w:fldCharType="begin"/>
          </w:r>
          <w:r>
            <w:instrText xml:space="preserve"> PAGEREF _Toc107350564 \h </w:instrText>
          </w:r>
          <w:r>
            <w:fldChar w:fldCharType="separate"/>
          </w:r>
          <w:r>
            <w:t>14</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"_Toc107350565" </w:instrText>
          </w:r>
          <w:r>
            <w:fldChar w:fldCharType="separate"/>
          </w:r>
          <w:r>
            <w:rPr>
              <w:rStyle w:val="27"/>
            </w:rPr>
            <w:t>一、指导思想</w:t>
          </w:r>
          <w:r>
            <w:tab/>
          </w:r>
          <w:r>
            <w:fldChar w:fldCharType="begin"/>
          </w:r>
          <w:r>
            <w:instrText xml:space="preserve"> PAGEREF _Toc107350565 \h </w:instrText>
          </w:r>
          <w:r>
            <w:fldChar w:fldCharType="separate"/>
          </w:r>
          <w:r>
            <w:t>14</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"_Toc107350566" </w:instrText>
          </w:r>
          <w:r>
            <w:fldChar w:fldCharType="separate"/>
          </w:r>
          <w:r>
            <w:rPr>
              <w:rStyle w:val="27"/>
            </w:rPr>
            <w:t>二、发展原则</w:t>
          </w:r>
          <w:r>
            <w:tab/>
          </w:r>
          <w:r>
            <w:fldChar w:fldCharType="begin"/>
          </w:r>
          <w:r>
            <w:instrText xml:space="preserve"> PAGEREF _Toc107350566 \h </w:instrText>
          </w:r>
          <w:r>
            <w:fldChar w:fldCharType="separate"/>
          </w:r>
          <w:r>
            <w:t>14</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"_Toc107350567" </w:instrText>
          </w:r>
          <w:r>
            <w:fldChar w:fldCharType="separate"/>
          </w:r>
          <w:r>
            <w:rPr>
              <w:rStyle w:val="27"/>
              <w:rFonts w:cs="Times New Roman"/>
              <w:i w:val="0"/>
              <w:iCs w:val="0"/>
            </w:rPr>
            <w:t>（一）改革驱动，创新发展</w:t>
          </w:r>
          <w:r>
            <w:rPr>
              <w:i w:val="0"/>
              <w:iCs w:val="0"/>
            </w:rPr>
            <w:tab/>
          </w:r>
          <w:r>
            <w:rPr>
              <w:i w:val="0"/>
              <w:iCs w:val="0"/>
            </w:rPr>
            <w:fldChar w:fldCharType="begin"/>
          </w:r>
          <w:r>
            <w:rPr>
              <w:i w:val="0"/>
              <w:iCs w:val="0"/>
            </w:rPr>
            <w:instrText xml:space="preserve"> PAGEREF _Toc107350567 \h </w:instrText>
          </w:r>
          <w:r>
            <w:rPr>
              <w:i w:val="0"/>
              <w:iCs w:val="0"/>
            </w:rPr>
            <w:fldChar w:fldCharType="separate"/>
          </w:r>
          <w:r>
            <w:rPr>
              <w:i w:val="0"/>
              <w:iCs w:val="0"/>
            </w:rPr>
            <w:t>14</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"_Toc107350568" </w:instrText>
          </w:r>
          <w:r>
            <w:fldChar w:fldCharType="separate"/>
          </w:r>
          <w:r>
            <w:rPr>
              <w:rStyle w:val="27"/>
              <w:rFonts w:cs="Times New Roman"/>
              <w:i w:val="0"/>
              <w:iCs w:val="0"/>
            </w:rPr>
            <w:t>（二）统筹兼顾，协调发展</w:t>
          </w:r>
          <w:r>
            <w:rPr>
              <w:i w:val="0"/>
              <w:iCs w:val="0"/>
            </w:rPr>
            <w:tab/>
          </w:r>
          <w:r>
            <w:rPr>
              <w:i w:val="0"/>
              <w:iCs w:val="0"/>
            </w:rPr>
            <w:fldChar w:fldCharType="begin"/>
          </w:r>
          <w:r>
            <w:rPr>
              <w:i w:val="0"/>
              <w:iCs w:val="0"/>
            </w:rPr>
            <w:instrText xml:space="preserve"> PAGEREF _Toc107350568 \h </w:instrText>
          </w:r>
          <w:r>
            <w:rPr>
              <w:i w:val="0"/>
              <w:iCs w:val="0"/>
            </w:rPr>
            <w:fldChar w:fldCharType="separate"/>
          </w:r>
          <w:r>
            <w:rPr>
              <w:i w:val="0"/>
              <w:iCs w:val="0"/>
            </w:rPr>
            <w:t>15</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"_Toc107350569" </w:instrText>
          </w:r>
          <w:r>
            <w:fldChar w:fldCharType="separate"/>
          </w:r>
          <w:r>
            <w:rPr>
              <w:rStyle w:val="27"/>
              <w:rFonts w:cs="Times New Roman"/>
              <w:i w:val="0"/>
              <w:iCs w:val="0"/>
            </w:rPr>
            <w:t>（三）生态优先，绿色发展</w:t>
          </w:r>
          <w:r>
            <w:rPr>
              <w:i w:val="0"/>
              <w:iCs w:val="0"/>
            </w:rPr>
            <w:tab/>
          </w:r>
          <w:r>
            <w:rPr>
              <w:i w:val="0"/>
              <w:iCs w:val="0"/>
            </w:rPr>
            <w:fldChar w:fldCharType="begin"/>
          </w:r>
          <w:r>
            <w:rPr>
              <w:i w:val="0"/>
              <w:iCs w:val="0"/>
            </w:rPr>
            <w:instrText xml:space="preserve"> PAGEREF _Toc107350569 \h </w:instrText>
          </w:r>
          <w:r>
            <w:rPr>
              <w:i w:val="0"/>
              <w:iCs w:val="0"/>
            </w:rPr>
            <w:fldChar w:fldCharType="separate"/>
          </w:r>
          <w:r>
            <w:rPr>
              <w:i w:val="0"/>
              <w:iCs w:val="0"/>
            </w:rPr>
            <w:t>15</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"_Toc107350570" </w:instrText>
          </w:r>
          <w:r>
            <w:fldChar w:fldCharType="separate"/>
          </w:r>
          <w:r>
            <w:rPr>
              <w:rStyle w:val="27"/>
              <w:rFonts w:cs="Times New Roman"/>
              <w:i w:val="0"/>
              <w:iCs w:val="0"/>
            </w:rPr>
            <w:t>（四）惠农兴农，共享发展</w:t>
          </w:r>
          <w:r>
            <w:rPr>
              <w:i w:val="0"/>
              <w:iCs w:val="0"/>
            </w:rPr>
            <w:tab/>
          </w:r>
          <w:r>
            <w:rPr>
              <w:i w:val="0"/>
              <w:iCs w:val="0"/>
            </w:rPr>
            <w:fldChar w:fldCharType="begin"/>
          </w:r>
          <w:r>
            <w:rPr>
              <w:i w:val="0"/>
              <w:iCs w:val="0"/>
            </w:rPr>
            <w:instrText xml:space="preserve"> PAGEREF _Toc107350570 \h </w:instrText>
          </w:r>
          <w:r>
            <w:rPr>
              <w:i w:val="0"/>
              <w:iCs w:val="0"/>
            </w:rPr>
            <w:fldChar w:fldCharType="separate"/>
          </w:r>
          <w:r>
            <w:rPr>
              <w:i w:val="0"/>
              <w:iCs w:val="0"/>
            </w:rPr>
            <w:t>15</w:t>
          </w:r>
          <w:r>
            <w:rPr>
              <w:i w:val="0"/>
              <w:iCs w:val="0"/>
            </w:rPr>
            <w:fldChar w:fldCharType="end"/>
          </w:r>
          <w:r>
            <w:rPr>
              <w:i w:val="0"/>
              <w:iCs w:val="0"/>
            </w:rP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"_Toc107350571" </w:instrText>
          </w:r>
          <w:r>
            <w:fldChar w:fldCharType="separate"/>
          </w:r>
          <w:r>
            <w:rPr>
              <w:rStyle w:val="27"/>
            </w:rPr>
            <w:t>三、发展思路</w:t>
          </w:r>
          <w:r>
            <w:tab/>
          </w:r>
          <w:r>
            <w:fldChar w:fldCharType="begin"/>
          </w:r>
          <w:r>
            <w:instrText xml:space="preserve"> PAGEREF _Toc107350571 \h </w:instrText>
          </w:r>
          <w:r>
            <w:fldChar w:fldCharType="separate"/>
          </w:r>
          <w:r>
            <w:t>15</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"_Toc107350572" </w:instrText>
          </w:r>
          <w:r>
            <w:fldChar w:fldCharType="separate"/>
          </w:r>
          <w:r>
            <w:rPr>
              <w:rStyle w:val="27"/>
            </w:rPr>
            <w:t>四、发展定位与目标</w:t>
          </w:r>
          <w:r>
            <w:tab/>
          </w:r>
          <w:r>
            <w:fldChar w:fldCharType="begin"/>
          </w:r>
          <w:r>
            <w:instrText xml:space="preserve"> PAGEREF _Toc107350572 \h </w:instrText>
          </w:r>
          <w:r>
            <w:fldChar w:fldCharType="separate"/>
          </w:r>
          <w:r>
            <w:t>17</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"_Toc107350573" </w:instrText>
          </w:r>
          <w:r>
            <w:fldChar w:fldCharType="separate"/>
          </w:r>
          <w:r>
            <w:rPr>
              <w:rStyle w:val="27"/>
              <w:i w:val="0"/>
              <w:iCs w:val="0"/>
            </w:rPr>
            <w:t>（一）总体目标</w:t>
          </w:r>
          <w:r>
            <w:rPr>
              <w:i w:val="0"/>
              <w:iCs w:val="0"/>
            </w:rPr>
            <w:tab/>
          </w:r>
          <w:r>
            <w:rPr>
              <w:i w:val="0"/>
              <w:iCs w:val="0"/>
            </w:rPr>
            <w:fldChar w:fldCharType="begin"/>
          </w:r>
          <w:r>
            <w:rPr>
              <w:i w:val="0"/>
              <w:iCs w:val="0"/>
            </w:rPr>
            <w:instrText xml:space="preserve"> PAGEREF _Toc107350573 \h </w:instrText>
          </w:r>
          <w:r>
            <w:rPr>
              <w:i w:val="0"/>
              <w:iCs w:val="0"/>
            </w:rPr>
            <w:fldChar w:fldCharType="separate"/>
          </w:r>
          <w:r>
            <w:rPr>
              <w:i w:val="0"/>
              <w:iCs w:val="0"/>
            </w:rPr>
            <w:t>17</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"_Toc107350574" </w:instrText>
          </w:r>
          <w:r>
            <w:fldChar w:fldCharType="separate"/>
          </w:r>
          <w:r>
            <w:rPr>
              <w:rStyle w:val="27"/>
              <w:i w:val="0"/>
              <w:iCs w:val="0"/>
            </w:rPr>
            <w:t>（二）具体目标</w:t>
          </w:r>
          <w:r>
            <w:rPr>
              <w:i w:val="0"/>
              <w:iCs w:val="0"/>
            </w:rPr>
            <w:tab/>
          </w:r>
          <w:r>
            <w:rPr>
              <w:i w:val="0"/>
              <w:iCs w:val="0"/>
            </w:rPr>
            <w:fldChar w:fldCharType="begin"/>
          </w:r>
          <w:r>
            <w:rPr>
              <w:i w:val="0"/>
              <w:iCs w:val="0"/>
            </w:rPr>
            <w:instrText xml:space="preserve"> PAGEREF _Toc107350574 \h </w:instrText>
          </w:r>
          <w:r>
            <w:rPr>
              <w:i w:val="0"/>
              <w:iCs w:val="0"/>
            </w:rPr>
            <w:fldChar w:fldCharType="separate"/>
          </w:r>
          <w:r>
            <w:rPr>
              <w:i w:val="0"/>
              <w:iCs w:val="0"/>
            </w:rPr>
            <w:t>19</w:t>
          </w:r>
          <w:r>
            <w:rPr>
              <w:i w:val="0"/>
              <w:iCs w:val="0"/>
            </w:rPr>
            <w:fldChar w:fldCharType="end"/>
          </w:r>
          <w:r>
            <w:rPr>
              <w:i w:val="0"/>
              <w:iCs w:val="0"/>
            </w:rP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"_Toc107350575" </w:instrText>
          </w:r>
          <w:r>
            <w:fldChar w:fldCharType="separate"/>
          </w:r>
          <w:r>
            <w:rPr>
              <w:rStyle w:val="27"/>
            </w:rPr>
            <w:t>五、空间布局</w:t>
          </w:r>
          <w:r>
            <w:tab/>
          </w:r>
          <w:r>
            <w:fldChar w:fldCharType="begin"/>
          </w:r>
          <w:r>
            <w:instrText xml:space="preserve"> PAGEREF _Toc107350575 \h </w:instrText>
          </w:r>
          <w:r>
            <w:fldChar w:fldCharType="separate"/>
          </w:r>
          <w:r>
            <w:t>20</w:t>
          </w:r>
          <w:r>
            <w:fldChar w:fldCharType="end"/>
          </w:r>
          <w:r>
            <w:fldChar w:fldCharType="end"/>
          </w:r>
        </w:p>
        <w:p>
          <w:pPr>
            <w:pStyle w:val="15"/>
            <w:tabs>
              <w:tab w:val="right" w:leader="dot" w:pos="8296"/>
            </w:tabs>
            <w:ind w:firstLine="400"/>
            <w:rPr>
              <w:rFonts w:hAnsiTheme="minorHAnsi" w:eastAsiaTheme="minorEastAsia"/>
              <w:b w:val="0"/>
              <w:bCs w:val="0"/>
              <w:caps w:val="0"/>
              <w:sz w:val="21"/>
              <w:szCs w:val="22"/>
            </w:rPr>
          </w:pPr>
          <w:r>
            <w:fldChar w:fldCharType="begin"/>
          </w:r>
          <w:r>
            <w:instrText xml:space="preserve"> HYPERLINK \l "_Toc107350576" </w:instrText>
          </w:r>
          <w:r>
            <w:fldChar w:fldCharType="separate"/>
          </w:r>
          <w:r>
            <w:rPr>
              <w:rStyle w:val="27"/>
            </w:rPr>
            <w:t>第四章 产业发展规划</w:t>
          </w:r>
          <w:r>
            <w:tab/>
          </w:r>
          <w:r>
            <w:fldChar w:fldCharType="begin"/>
          </w:r>
          <w:r>
            <w:instrText xml:space="preserve"> PAGEREF _Toc107350576 \h </w:instrText>
          </w:r>
          <w:r>
            <w:fldChar w:fldCharType="separate"/>
          </w:r>
          <w:r>
            <w:t>24</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"_Toc107350577" </w:instrText>
          </w:r>
          <w:r>
            <w:fldChar w:fldCharType="separate"/>
          </w:r>
          <w:r>
            <w:rPr>
              <w:rStyle w:val="27"/>
            </w:rPr>
            <w:t>一、全面提升农业优势产业</w:t>
          </w:r>
          <w:r>
            <w:tab/>
          </w:r>
          <w:r>
            <w:fldChar w:fldCharType="begin"/>
          </w:r>
          <w:r>
            <w:instrText xml:space="preserve"> PAGEREF _Toc107350577 \h </w:instrText>
          </w:r>
          <w:r>
            <w:fldChar w:fldCharType="separate"/>
          </w:r>
          <w:r>
            <w:t>24</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"_Toc107350578" </w:instrText>
          </w:r>
          <w:r>
            <w:fldChar w:fldCharType="separate"/>
          </w:r>
          <w:r>
            <w:rPr>
              <w:rStyle w:val="27"/>
              <w:i w:val="0"/>
              <w:iCs w:val="0"/>
            </w:rPr>
            <w:t>（一）优质粮食</w:t>
          </w:r>
          <w:r>
            <w:rPr>
              <w:i w:val="0"/>
              <w:iCs w:val="0"/>
            </w:rPr>
            <w:tab/>
          </w:r>
          <w:r>
            <w:rPr>
              <w:i w:val="0"/>
              <w:iCs w:val="0"/>
            </w:rPr>
            <w:fldChar w:fldCharType="begin"/>
          </w:r>
          <w:r>
            <w:rPr>
              <w:i w:val="0"/>
              <w:iCs w:val="0"/>
            </w:rPr>
            <w:instrText xml:space="preserve"> PAGEREF _Toc107350578 \h </w:instrText>
          </w:r>
          <w:r>
            <w:rPr>
              <w:i w:val="0"/>
              <w:iCs w:val="0"/>
            </w:rPr>
            <w:fldChar w:fldCharType="separate"/>
          </w:r>
          <w:r>
            <w:rPr>
              <w:i w:val="0"/>
              <w:iCs w:val="0"/>
            </w:rPr>
            <w:t>24</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"_Toc107350579" </w:instrText>
          </w:r>
          <w:r>
            <w:fldChar w:fldCharType="separate"/>
          </w:r>
          <w:r>
            <w:rPr>
              <w:rStyle w:val="27"/>
              <w:i w:val="0"/>
              <w:iCs w:val="0"/>
            </w:rPr>
            <w:t>（二）生态畜牧</w:t>
          </w:r>
          <w:r>
            <w:rPr>
              <w:i w:val="0"/>
              <w:iCs w:val="0"/>
            </w:rPr>
            <w:tab/>
          </w:r>
          <w:r>
            <w:rPr>
              <w:i w:val="0"/>
              <w:iCs w:val="0"/>
            </w:rPr>
            <w:fldChar w:fldCharType="begin"/>
          </w:r>
          <w:r>
            <w:rPr>
              <w:i w:val="0"/>
              <w:iCs w:val="0"/>
            </w:rPr>
            <w:instrText xml:space="preserve"> PAGEREF _Toc107350579 \h </w:instrText>
          </w:r>
          <w:r>
            <w:rPr>
              <w:i w:val="0"/>
              <w:iCs w:val="0"/>
            </w:rPr>
            <w:fldChar w:fldCharType="separate"/>
          </w:r>
          <w:r>
            <w:rPr>
              <w:i w:val="0"/>
              <w:iCs w:val="0"/>
            </w:rPr>
            <w:t>26</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"_Toc107350580" </w:instrText>
          </w:r>
          <w:r>
            <w:fldChar w:fldCharType="separate"/>
          </w:r>
          <w:r>
            <w:rPr>
              <w:rStyle w:val="27"/>
              <w:i w:val="0"/>
              <w:iCs w:val="0"/>
            </w:rPr>
            <w:t>（三）品质果蔬</w:t>
          </w:r>
          <w:r>
            <w:rPr>
              <w:i w:val="0"/>
              <w:iCs w:val="0"/>
            </w:rPr>
            <w:tab/>
          </w:r>
          <w:r>
            <w:rPr>
              <w:i w:val="0"/>
              <w:iCs w:val="0"/>
            </w:rPr>
            <w:fldChar w:fldCharType="begin"/>
          </w:r>
          <w:r>
            <w:rPr>
              <w:i w:val="0"/>
              <w:iCs w:val="0"/>
            </w:rPr>
            <w:instrText xml:space="preserve"> PAGEREF _Toc107350580 \h </w:instrText>
          </w:r>
          <w:r>
            <w:rPr>
              <w:i w:val="0"/>
              <w:iCs w:val="0"/>
            </w:rPr>
            <w:fldChar w:fldCharType="separate"/>
          </w:r>
          <w:r>
            <w:rPr>
              <w:i w:val="0"/>
              <w:iCs w:val="0"/>
            </w:rPr>
            <w:t>28</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"_Toc107350581" </w:instrText>
          </w:r>
          <w:r>
            <w:fldChar w:fldCharType="separate"/>
          </w:r>
          <w:r>
            <w:rPr>
              <w:rStyle w:val="27"/>
              <w:i w:val="0"/>
              <w:iCs w:val="0"/>
            </w:rPr>
            <w:t>（四）特色茶叶</w:t>
          </w:r>
          <w:r>
            <w:rPr>
              <w:i w:val="0"/>
              <w:iCs w:val="0"/>
            </w:rPr>
            <w:tab/>
          </w:r>
          <w:r>
            <w:rPr>
              <w:i w:val="0"/>
              <w:iCs w:val="0"/>
            </w:rPr>
            <w:fldChar w:fldCharType="begin"/>
          </w:r>
          <w:r>
            <w:rPr>
              <w:i w:val="0"/>
              <w:iCs w:val="0"/>
            </w:rPr>
            <w:instrText xml:space="preserve"> PAGEREF _Toc107350581 \h </w:instrText>
          </w:r>
          <w:r>
            <w:rPr>
              <w:i w:val="0"/>
              <w:iCs w:val="0"/>
            </w:rPr>
            <w:fldChar w:fldCharType="separate"/>
          </w:r>
          <w:r>
            <w:rPr>
              <w:i w:val="0"/>
              <w:iCs w:val="0"/>
            </w:rPr>
            <w:t>30</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"_Toc107350582" </w:instrText>
          </w:r>
          <w:r>
            <w:fldChar w:fldCharType="separate"/>
          </w:r>
          <w:r>
            <w:rPr>
              <w:rStyle w:val="27"/>
              <w:i w:val="0"/>
              <w:iCs w:val="0"/>
            </w:rPr>
            <w:t>（五）高值花卉</w:t>
          </w:r>
          <w:r>
            <w:rPr>
              <w:i w:val="0"/>
              <w:iCs w:val="0"/>
            </w:rPr>
            <w:tab/>
          </w:r>
          <w:r>
            <w:rPr>
              <w:i w:val="0"/>
              <w:iCs w:val="0"/>
            </w:rPr>
            <w:fldChar w:fldCharType="begin"/>
          </w:r>
          <w:r>
            <w:rPr>
              <w:i w:val="0"/>
              <w:iCs w:val="0"/>
            </w:rPr>
            <w:instrText xml:space="preserve"> PAGEREF _Toc107350582 \h </w:instrText>
          </w:r>
          <w:r>
            <w:rPr>
              <w:i w:val="0"/>
              <w:iCs w:val="0"/>
            </w:rPr>
            <w:fldChar w:fldCharType="separate"/>
          </w:r>
          <w:r>
            <w:rPr>
              <w:i w:val="0"/>
              <w:iCs w:val="0"/>
            </w:rPr>
            <w:t>32</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"_Toc107350583" </w:instrText>
          </w:r>
          <w:r>
            <w:fldChar w:fldCharType="separate"/>
          </w:r>
          <w:r>
            <w:rPr>
              <w:rStyle w:val="27"/>
              <w:i w:val="0"/>
              <w:iCs w:val="0"/>
            </w:rPr>
            <w:t>（六）优质南药</w:t>
          </w:r>
          <w:r>
            <w:rPr>
              <w:i w:val="0"/>
              <w:iCs w:val="0"/>
            </w:rPr>
            <w:tab/>
          </w:r>
          <w:r>
            <w:rPr>
              <w:i w:val="0"/>
              <w:iCs w:val="0"/>
            </w:rPr>
            <w:fldChar w:fldCharType="begin"/>
          </w:r>
          <w:r>
            <w:rPr>
              <w:i w:val="0"/>
              <w:iCs w:val="0"/>
            </w:rPr>
            <w:instrText xml:space="preserve"> PAGEREF _Toc107350583 \h </w:instrText>
          </w:r>
          <w:r>
            <w:rPr>
              <w:i w:val="0"/>
              <w:iCs w:val="0"/>
            </w:rPr>
            <w:fldChar w:fldCharType="separate"/>
          </w:r>
          <w:r>
            <w:rPr>
              <w:i w:val="0"/>
              <w:iCs w:val="0"/>
            </w:rPr>
            <w:t>34</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"_Toc107350584" </w:instrText>
          </w:r>
          <w:r>
            <w:fldChar w:fldCharType="separate"/>
          </w:r>
          <w:r>
            <w:rPr>
              <w:rStyle w:val="27"/>
              <w:i w:val="0"/>
              <w:iCs w:val="0"/>
            </w:rPr>
            <w:t>（七）特色水产</w:t>
          </w:r>
          <w:r>
            <w:rPr>
              <w:i w:val="0"/>
              <w:iCs w:val="0"/>
            </w:rPr>
            <w:tab/>
          </w:r>
          <w:r>
            <w:rPr>
              <w:i w:val="0"/>
              <w:iCs w:val="0"/>
            </w:rPr>
            <w:fldChar w:fldCharType="begin"/>
          </w:r>
          <w:r>
            <w:rPr>
              <w:i w:val="0"/>
              <w:iCs w:val="0"/>
            </w:rPr>
            <w:instrText xml:space="preserve"> PAGEREF _Toc107350584 \h </w:instrText>
          </w:r>
          <w:r>
            <w:rPr>
              <w:i w:val="0"/>
              <w:iCs w:val="0"/>
            </w:rPr>
            <w:fldChar w:fldCharType="separate"/>
          </w:r>
          <w:r>
            <w:rPr>
              <w:i w:val="0"/>
              <w:iCs w:val="0"/>
            </w:rPr>
            <w:t>36</w:t>
          </w:r>
          <w:r>
            <w:rPr>
              <w:i w:val="0"/>
              <w:iCs w:val="0"/>
            </w:rPr>
            <w:fldChar w:fldCharType="end"/>
          </w:r>
          <w:r>
            <w:rPr>
              <w:i w:val="0"/>
              <w:iCs w:val="0"/>
            </w:rP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"_Toc107350585" </w:instrText>
          </w:r>
          <w:r>
            <w:fldChar w:fldCharType="separate"/>
          </w:r>
          <w:r>
            <w:rPr>
              <w:rStyle w:val="27"/>
            </w:rPr>
            <w:t>二、战略性关联产业突破发展</w:t>
          </w:r>
          <w:r>
            <w:tab/>
          </w:r>
          <w:r>
            <w:fldChar w:fldCharType="begin"/>
          </w:r>
          <w:r>
            <w:instrText xml:space="preserve"> PAGEREF _Toc107350585 \h </w:instrText>
          </w:r>
          <w:r>
            <w:fldChar w:fldCharType="separate"/>
          </w:r>
          <w:r>
            <w:t>37</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"_Toc107350586" </w:instrText>
          </w:r>
          <w:r>
            <w:fldChar w:fldCharType="separate"/>
          </w:r>
          <w:r>
            <w:rPr>
              <w:rStyle w:val="27"/>
              <w:i w:val="0"/>
              <w:iCs w:val="0"/>
            </w:rPr>
            <w:t>（一）现代农产品精深加工业</w:t>
          </w:r>
          <w:r>
            <w:rPr>
              <w:i w:val="0"/>
              <w:iCs w:val="0"/>
            </w:rPr>
            <w:tab/>
          </w:r>
          <w:r>
            <w:rPr>
              <w:i w:val="0"/>
              <w:iCs w:val="0"/>
            </w:rPr>
            <w:fldChar w:fldCharType="begin"/>
          </w:r>
          <w:r>
            <w:rPr>
              <w:i w:val="0"/>
              <w:iCs w:val="0"/>
            </w:rPr>
            <w:instrText xml:space="preserve"> PAGEREF _Toc107350586 \h </w:instrText>
          </w:r>
          <w:r>
            <w:rPr>
              <w:i w:val="0"/>
              <w:iCs w:val="0"/>
            </w:rPr>
            <w:fldChar w:fldCharType="separate"/>
          </w:r>
          <w:r>
            <w:rPr>
              <w:i w:val="0"/>
              <w:iCs w:val="0"/>
            </w:rPr>
            <w:t>37</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"_Toc107350587" </w:instrText>
          </w:r>
          <w:r>
            <w:fldChar w:fldCharType="separate"/>
          </w:r>
          <w:r>
            <w:rPr>
              <w:rStyle w:val="27"/>
              <w:i w:val="0"/>
              <w:iCs w:val="0"/>
            </w:rPr>
            <w:t>（二）农产品物流业</w:t>
          </w:r>
          <w:r>
            <w:rPr>
              <w:i w:val="0"/>
              <w:iCs w:val="0"/>
            </w:rPr>
            <w:tab/>
          </w:r>
          <w:r>
            <w:rPr>
              <w:i w:val="0"/>
              <w:iCs w:val="0"/>
            </w:rPr>
            <w:fldChar w:fldCharType="begin"/>
          </w:r>
          <w:r>
            <w:rPr>
              <w:i w:val="0"/>
              <w:iCs w:val="0"/>
            </w:rPr>
            <w:instrText xml:space="preserve"> PAGEREF _Toc107350587 \h </w:instrText>
          </w:r>
          <w:r>
            <w:rPr>
              <w:i w:val="0"/>
              <w:iCs w:val="0"/>
            </w:rPr>
            <w:fldChar w:fldCharType="separate"/>
          </w:r>
          <w:r>
            <w:rPr>
              <w:i w:val="0"/>
              <w:iCs w:val="0"/>
            </w:rPr>
            <w:t>39</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"_Toc107350588" </w:instrText>
          </w:r>
          <w:r>
            <w:fldChar w:fldCharType="separate"/>
          </w:r>
          <w:r>
            <w:rPr>
              <w:rStyle w:val="27"/>
              <w:i w:val="0"/>
              <w:iCs w:val="0"/>
            </w:rPr>
            <w:t>（三）休闲农业与乡村旅游</w:t>
          </w:r>
          <w:r>
            <w:rPr>
              <w:i w:val="0"/>
              <w:iCs w:val="0"/>
            </w:rPr>
            <w:tab/>
          </w:r>
          <w:r>
            <w:rPr>
              <w:i w:val="0"/>
              <w:iCs w:val="0"/>
            </w:rPr>
            <w:fldChar w:fldCharType="begin"/>
          </w:r>
          <w:r>
            <w:rPr>
              <w:i w:val="0"/>
              <w:iCs w:val="0"/>
            </w:rPr>
            <w:instrText xml:space="preserve"> PAGEREF _Toc107350588 \h </w:instrText>
          </w:r>
          <w:r>
            <w:rPr>
              <w:i w:val="0"/>
              <w:iCs w:val="0"/>
            </w:rPr>
            <w:fldChar w:fldCharType="separate"/>
          </w:r>
          <w:r>
            <w:rPr>
              <w:i w:val="0"/>
              <w:iCs w:val="0"/>
            </w:rPr>
            <w:t>40</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"_Toc107350589" </w:instrText>
          </w:r>
          <w:r>
            <w:fldChar w:fldCharType="separate"/>
          </w:r>
          <w:r>
            <w:rPr>
              <w:rStyle w:val="27"/>
              <w:rFonts w:ascii="仿宋" w:hAnsi="仿宋"/>
              <w:i w:val="0"/>
              <w:iCs w:val="0"/>
            </w:rPr>
            <w:t>（四）农产品电子商务</w:t>
          </w:r>
          <w:r>
            <w:rPr>
              <w:i w:val="0"/>
              <w:iCs w:val="0"/>
            </w:rPr>
            <w:tab/>
          </w:r>
          <w:r>
            <w:rPr>
              <w:i w:val="0"/>
              <w:iCs w:val="0"/>
            </w:rPr>
            <w:fldChar w:fldCharType="begin"/>
          </w:r>
          <w:r>
            <w:rPr>
              <w:i w:val="0"/>
              <w:iCs w:val="0"/>
            </w:rPr>
            <w:instrText xml:space="preserve"> PAGEREF _Toc107350589 \h </w:instrText>
          </w:r>
          <w:r>
            <w:rPr>
              <w:i w:val="0"/>
              <w:iCs w:val="0"/>
            </w:rPr>
            <w:fldChar w:fldCharType="separate"/>
          </w:r>
          <w:r>
            <w:rPr>
              <w:i w:val="0"/>
              <w:iCs w:val="0"/>
            </w:rPr>
            <w:t>42</w:t>
          </w:r>
          <w:r>
            <w:rPr>
              <w:i w:val="0"/>
              <w:iCs w:val="0"/>
            </w:rPr>
            <w:fldChar w:fldCharType="end"/>
          </w:r>
          <w:r>
            <w:rPr>
              <w:i w:val="0"/>
              <w:iCs w:val="0"/>
            </w:rPr>
            <w:fldChar w:fldCharType="end"/>
          </w:r>
        </w:p>
        <w:p>
          <w:pPr>
            <w:pStyle w:val="15"/>
            <w:tabs>
              <w:tab w:val="right" w:leader="dot" w:pos="8296"/>
            </w:tabs>
            <w:ind w:firstLine="400"/>
            <w:rPr>
              <w:rFonts w:hAnsiTheme="minorHAnsi" w:eastAsiaTheme="minorEastAsia"/>
              <w:b w:val="0"/>
              <w:bCs w:val="0"/>
              <w:caps w:val="0"/>
              <w:sz w:val="21"/>
              <w:szCs w:val="22"/>
            </w:rPr>
          </w:pPr>
          <w:r>
            <w:fldChar w:fldCharType="begin"/>
          </w:r>
          <w:r>
            <w:instrText xml:space="preserve"> HYPERLINK \l "_Toc107350590" </w:instrText>
          </w:r>
          <w:r>
            <w:fldChar w:fldCharType="separate"/>
          </w:r>
          <w:r>
            <w:rPr>
              <w:rStyle w:val="27"/>
            </w:rPr>
            <w:t>第五章 全力推动美丽乡村建设</w:t>
          </w:r>
          <w:r>
            <w:tab/>
          </w:r>
          <w:r>
            <w:fldChar w:fldCharType="begin"/>
          </w:r>
          <w:r>
            <w:instrText xml:space="preserve"> PAGEREF _Toc107350590 \h </w:instrText>
          </w:r>
          <w:r>
            <w:fldChar w:fldCharType="separate"/>
          </w:r>
          <w:r>
            <w:t>45</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"_Toc107350591" </w:instrText>
          </w:r>
          <w:r>
            <w:fldChar w:fldCharType="separate"/>
          </w:r>
          <w:r>
            <w:rPr>
              <w:rStyle w:val="27"/>
            </w:rPr>
            <w:t>一、全面推动人居环境整治提升</w:t>
          </w:r>
          <w:r>
            <w:tab/>
          </w:r>
          <w:r>
            <w:fldChar w:fldCharType="begin"/>
          </w:r>
          <w:r>
            <w:instrText xml:space="preserve"> PAGEREF _Toc107350591 \h </w:instrText>
          </w:r>
          <w:r>
            <w:fldChar w:fldCharType="separate"/>
          </w:r>
          <w:r>
            <w:t>45</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"_Toc107350592" </w:instrText>
          </w:r>
          <w:r>
            <w:fldChar w:fldCharType="separate"/>
          </w:r>
          <w:r>
            <w:rPr>
              <w:rStyle w:val="27"/>
              <w:i w:val="0"/>
              <w:iCs w:val="0"/>
            </w:rPr>
            <w:t>（一）巩固人居环境综合整治成果</w:t>
          </w:r>
          <w:r>
            <w:rPr>
              <w:i w:val="0"/>
              <w:iCs w:val="0"/>
            </w:rPr>
            <w:tab/>
          </w:r>
          <w:r>
            <w:rPr>
              <w:i w:val="0"/>
              <w:iCs w:val="0"/>
            </w:rPr>
            <w:fldChar w:fldCharType="begin"/>
          </w:r>
          <w:r>
            <w:rPr>
              <w:i w:val="0"/>
              <w:iCs w:val="0"/>
            </w:rPr>
            <w:instrText xml:space="preserve"> PAGEREF _Toc107350592 \h </w:instrText>
          </w:r>
          <w:r>
            <w:rPr>
              <w:i w:val="0"/>
              <w:iCs w:val="0"/>
            </w:rPr>
            <w:fldChar w:fldCharType="separate"/>
          </w:r>
          <w:r>
            <w:rPr>
              <w:i w:val="0"/>
              <w:iCs w:val="0"/>
            </w:rPr>
            <w:t>45</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"_Toc107350593" </w:instrText>
          </w:r>
          <w:r>
            <w:fldChar w:fldCharType="separate"/>
          </w:r>
          <w:r>
            <w:rPr>
              <w:rStyle w:val="27"/>
              <w:i w:val="0"/>
              <w:iCs w:val="0"/>
            </w:rPr>
            <w:t>（二）加快乡村振兴示范带建设</w:t>
          </w:r>
          <w:r>
            <w:rPr>
              <w:i w:val="0"/>
              <w:iCs w:val="0"/>
            </w:rPr>
            <w:tab/>
          </w:r>
          <w:r>
            <w:rPr>
              <w:i w:val="0"/>
              <w:iCs w:val="0"/>
            </w:rPr>
            <w:fldChar w:fldCharType="begin"/>
          </w:r>
          <w:r>
            <w:rPr>
              <w:i w:val="0"/>
              <w:iCs w:val="0"/>
            </w:rPr>
            <w:instrText xml:space="preserve"> PAGEREF _Toc107350593 \h </w:instrText>
          </w:r>
          <w:r>
            <w:rPr>
              <w:i w:val="0"/>
              <w:iCs w:val="0"/>
            </w:rPr>
            <w:fldChar w:fldCharType="separate"/>
          </w:r>
          <w:r>
            <w:rPr>
              <w:i w:val="0"/>
              <w:iCs w:val="0"/>
            </w:rPr>
            <w:t>46</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"_Toc107350594" </w:instrText>
          </w:r>
          <w:r>
            <w:fldChar w:fldCharType="separate"/>
          </w:r>
          <w:r>
            <w:rPr>
              <w:rStyle w:val="27"/>
              <w:i w:val="0"/>
              <w:iCs w:val="0"/>
            </w:rPr>
            <w:t>（三）促进乡村风貌管控提升</w:t>
          </w:r>
          <w:r>
            <w:rPr>
              <w:i w:val="0"/>
              <w:iCs w:val="0"/>
            </w:rPr>
            <w:tab/>
          </w:r>
          <w:r>
            <w:rPr>
              <w:i w:val="0"/>
              <w:iCs w:val="0"/>
            </w:rPr>
            <w:fldChar w:fldCharType="begin"/>
          </w:r>
          <w:r>
            <w:rPr>
              <w:i w:val="0"/>
              <w:iCs w:val="0"/>
            </w:rPr>
            <w:instrText xml:space="preserve"> PAGEREF _Toc107350594 \h </w:instrText>
          </w:r>
          <w:r>
            <w:rPr>
              <w:i w:val="0"/>
              <w:iCs w:val="0"/>
            </w:rPr>
            <w:fldChar w:fldCharType="separate"/>
          </w:r>
          <w:r>
            <w:rPr>
              <w:i w:val="0"/>
              <w:iCs w:val="0"/>
            </w:rPr>
            <w:t>46</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"_Toc107350595" </w:instrText>
          </w:r>
          <w:r>
            <w:fldChar w:fldCharType="separate"/>
          </w:r>
          <w:r>
            <w:rPr>
              <w:rStyle w:val="27"/>
              <w:i w:val="0"/>
              <w:iCs w:val="0"/>
            </w:rPr>
            <w:t>（四）强化村庄规划指导作用</w:t>
          </w:r>
          <w:r>
            <w:rPr>
              <w:i w:val="0"/>
              <w:iCs w:val="0"/>
            </w:rPr>
            <w:tab/>
          </w:r>
          <w:r>
            <w:rPr>
              <w:i w:val="0"/>
              <w:iCs w:val="0"/>
            </w:rPr>
            <w:fldChar w:fldCharType="begin"/>
          </w:r>
          <w:r>
            <w:rPr>
              <w:i w:val="0"/>
              <w:iCs w:val="0"/>
            </w:rPr>
            <w:instrText xml:space="preserve"> PAGEREF _Toc107350595 \h </w:instrText>
          </w:r>
          <w:r>
            <w:rPr>
              <w:i w:val="0"/>
              <w:iCs w:val="0"/>
            </w:rPr>
            <w:fldChar w:fldCharType="separate"/>
          </w:r>
          <w:r>
            <w:rPr>
              <w:i w:val="0"/>
              <w:iCs w:val="0"/>
            </w:rPr>
            <w:t>47</w:t>
          </w:r>
          <w:r>
            <w:rPr>
              <w:i w:val="0"/>
              <w:iCs w:val="0"/>
            </w:rPr>
            <w:fldChar w:fldCharType="end"/>
          </w:r>
          <w:r>
            <w:rPr>
              <w:i w:val="0"/>
              <w:iCs w:val="0"/>
            </w:rP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"_Toc107350596" </w:instrText>
          </w:r>
          <w:r>
            <w:fldChar w:fldCharType="separate"/>
          </w:r>
          <w:r>
            <w:rPr>
              <w:rStyle w:val="27"/>
            </w:rPr>
            <w:t>二、打造一批“一村一品”特色村</w:t>
          </w:r>
          <w:r>
            <w:tab/>
          </w:r>
          <w:r>
            <w:fldChar w:fldCharType="begin"/>
          </w:r>
          <w:r>
            <w:instrText xml:space="preserve"> PAGEREF _Toc107350596 \h </w:instrText>
          </w:r>
          <w:r>
            <w:fldChar w:fldCharType="separate"/>
          </w:r>
          <w:r>
            <w:t>47</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"_Toc107350597" </w:instrText>
          </w:r>
          <w:r>
            <w:fldChar w:fldCharType="separate"/>
          </w:r>
          <w:r>
            <w:rPr>
              <w:rStyle w:val="27"/>
              <w:i w:val="0"/>
              <w:iCs w:val="0"/>
            </w:rPr>
            <w:t>（一）抓好主导产品、新型农民和流通组织的培育</w:t>
          </w:r>
          <w:r>
            <w:rPr>
              <w:i w:val="0"/>
              <w:iCs w:val="0"/>
            </w:rPr>
            <w:tab/>
          </w:r>
          <w:r>
            <w:rPr>
              <w:i w:val="0"/>
              <w:iCs w:val="0"/>
            </w:rPr>
            <w:fldChar w:fldCharType="begin"/>
          </w:r>
          <w:r>
            <w:rPr>
              <w:i w:val="0"/>
              <w:iCs w:val="0"/>
            </w:rPr>
            <w:instrText xml:space="preserve"> PAGEREF _Toc107350597 \h </w:instrText>
          </w:r>
          <w:r>
            <w:rPr>
              <w:i w:val="0"/>
              <w:iCs w:val="0"/>
            </w:rPr>
            <w:fldChar w:fldCharType="separate"/>
          </w:r>
          <w:r>
            <w:rPr>
              <w:i w:val="0"/>
              <w:iCs w:val="0"/>
            </w:rPr>
            <w:t>47</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"_Toc107350598" </w:instrText>
          </w:r>
          <w:r>
            <w:fldChar w:fldCharType="separate"/>
          </w:r>
          <w:r>
            <w:rPr>
              <w:rStyle w:val="27"/>
              <w:i w:val="0"/>
              <w:iCs w:val="0"/>
            </w:rPr>
            <w:t>（二）坚持因地制宜、农民主体，强化引导功能</w:t>
          </w:r>
          <w:r>
            <w:rPr>
              <w:i w:val="0"/>
              <w:iCs w:val="0"/>
            </w:rPr>
            <w:tab/>
          </w:r>
          <w:r>
            <w:rPr>
              <w:i w:val="0"/>
              <w:iCs w:val="0"/>
            </w:rPr>
            <w:fldChar w:fldCharType="begin"/>
          </w:r>
          <w:r>
            <w:rPr>
              <w:i w:val="0"/>
              <w:iCs w:val="0"/>
            </w:rPr>
            <w:instrText xml:space="preserve"> PAGEREF _Toc107350598 \h </w:instrText>
          </w:r>
          <w:r>
            <w:rPr>
              <w:i w:val="0"/>
              <w:iCs w:val="0"/>
            </w:rPr>
            <w:fldChar w:fldCharType="separate"/>
          </w:r>
          <w:r>
            <w:rPr>
              <w:i w:val="0"/>
              <w:iCs w:val="0"/>
            </w:rPr>
            <w:t>48</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"_Toc107350599" </w:instrText>
          </w:r>
          <w:r>
            <w:fldChar w:fldCharType="separate"/>
          </w:r>
          <w:r>
            <w:rPr>
              <w:rStyle w:val="27"/>
              <w:i w:val="0"/>
              <w:iCs w:val="0"/>
            </w:rPr>
            <w:t>（三）从产业实际情况出发开展“一村一品”建设</w:t>
          </w:r>
          <w:r>
            <w:rPr>
              <w:i w:val="0"/>
              <w:iCs w:val="0"/>
            </w:rPr>
            <w:tab/>
          </w:r>
          <w:r>
            <w:rPr>
              <w:i w:val="0"/>
              <w:iCs w:val="0"/>
            </w:rPr>
            <w:fldChar w:fldCharType="begin"/>
          </w:r>
          <w:r>
            <w:rPr>
              <w:i w:val="0"/>
              <w:iCs w:val="0"/>
            </w:rPr>
            <w:instrText xml:space="preserve"> PAGEREF _Toc107350599 \h </w:instrText>
          </w:r>
          <w:r>
            <w:rPr>
              <w:i w:val="0"/>
              <w:iCs w:val="0"/>
            </w:rPr>
            <w:fldChar w:fldCharType="separate"/>
          </w:r>
          <w:r>
            <w:rPr>
              <w:i w:val="0"/>
              <w:iCs w:val="0"/>
            </w:rPr>
            <w:t>49</w:t>
          </w:r>
          <w:r>
            <w:rPr>
              <w:i w:val="0"/>
              <w:iCs w:val="0"/>
            </w:rPr>
            <w:fldChar w:fldCharType="end"/>
          </w:r>
          <w:r>
            <w:rPr>
              <w:i w:val="0"/>
              <w:iCs w:val="0"/>
            </w:rP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"_Toc107350600" </w:instrText>
          </w:r>
          <w:r>
            <w:fldChar w:fldCharType="separate"/>
          </w:r>
          <w:r>
            <w:rPr>
              <w:rStyle w:val="27"/>
            </w:rPr>
            <w:t>三、全面开展“百企帮百村”行动</w:t>
          </w:r>
          <w:r>
            <w:tab/>
          </w:r>
          <w:r>
            <w:fldChar w:fldCharType="begin"/>
          </w:r>
          <w:r>
            <w:instrText xml:space="preserve"> PAGEREF _Toc107350600 \h </w:instrText>
          </w:r>
          <w:r>
            <w:fldChar w:fldCharType="separate"/>
          </w:r>
          <w:r>
            <w:t>50</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"_Toc107350601" </w:instrText>
          </w:r>
          <w:r>
            <w:fldChar w:fldCharType="separate"/>
          </w:r>
          <w:r>
            <w:rPr>
              <w:rStyle w:val="27"/>
            </w:rPr>
            <w:t>四、结合自身优势探索多途径壮大集体经济</w:t>
          </w:r>
          <w:r>
            <w:tab/>
          </w:r>
          <w:r>
            <w:fldChar w:fldCharType="begin"/>
          </w:r>
          <w:r>
            <w:instrText xml:space="preserve"> PAGEREF _Toc107350601 \h </w:instrText>
          </w:r>
          <w:r>
            <w:fldChar w:fldCharType="separate"/>
          </w:r>
          <w:r>
            <w:t>50</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"_Toc107350602" </w:instrText>
          </w:r>
          <w:r>
            <w:fldChar w:fldCharType="separate"/>
          </w:r>
          <w:r>
            <w:rPr>
              <w:rStyle w:val="27"/>
              <w:rFonts w:ascii="Calibri" w:hAnsi="Calibri" w:cs="Calibri"/>
              <w:i w:val="0"/>
              <w:iCs w:val="0"/>
            </w:rPr>
            <w:t>（一）以点及面，发展壮大集体经济</w:t>
          </w:r>
          <w:r>
            <w:rPr>
              <w:i w:val="0"/>
              <w:iCs w:val="0"/>
            </w:rPr>
            <w:tab/>
          </w:r>
          <w:r>
            <w:rPr>
              <w:i w:val="0"/>
              <w:iCs w:val="0"/>
            </w:rPr>
            <w:fldChar w:fldCharType="begin"/>
          </w:r>
          <w:r>
            <w:rPr>
              <w:i w:val="0"/>
              <w:iCs w:val="0"/>
            </w:rPr>
            <w:instrText xml:space="preserve"> PAGEREF _Toc107350602 \h </w:instrText>
          </w:r>
          <w:r>
            <w:rPr>
              <w:i w:val="0"/>
              <w:iCs w:val="0"/>
            </w:rPr>
            <w:fldChar w:fldCharType="separate"/>
          </w:r>
          <w:r>
            <w:rPr>
              <w:i w:val="0"/>
              <w:iCs w:val="0"/>
            </w:rPr>
            <w:t>50</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"_Toc107350603" </w:instrText>
          </w:r>
          <w:r>
            <w:fldChar w:fldCharType="separate"/>
          </w:r>
          <w:r>
            <w:rPr>
              <w:rStyle w:val="27"/>
              <w:rFonts w:ascii="Calibri" w:hAnsi="Calibri" w:cs="Calibri"/>
              <w:i w:val="0"/>
              <w:iCs w:val="0"/>
            </w:rPr>
            <w:t>（二）鼓励多途径多模式发展集体经济</w:t>
          </w:r>
          <w:r>
            <w:rPr>
              <w:i w:val="0"/>
              <w:iCs w:val="0"/>
            </w:rPr>
            <w:tab/>
          </w:r>
          <w:r>
            <w:rPr>
              <w:i w:val="0"/>
              <w:iCs w:val="0"/>
            </w:rPr>
            <w:fldChar w:fldCharType="begin"/>
          </w:r>
          <w:r>
            <w:rPr>
              <w:i w:val="0"/>
              <w:iCs w:val="0"/>
            </w:rPr>
            <w:instrText xml:space="preserve"> PAGEREF _Toc107350603 \h </w:instrText>
          </w:r>
          <w:r>
            <w:rPr>
              <w:i w:val="0"/>
              <w:iCs w:val="0"/>
            </w:rPr>
            <w:fldChar w:fldCharType="separate"/>
          </w:r>
          <w:r>
            <w:rPr>
              <w:i w:val="0"/>
              <w:iCs w:val="0"/>
            </w:rPr>
            <w:t>50</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"_Toc107350604" </w:instrText>
          </w:r>
          <w:r>
            <w:fldChar w:fldCharType="separate"/>
          </w:r>
          <w:r>
            <w:rPr>
              <w:rStyle w:val="27"/>
              <w:rFonts w:ascii="Calibri" w:hAnsi="Calibri" w:cs="Calibri"/>
              <w:i w:val="0"/>
              <w:iCs w:val="0"/>
            </w:rPr>
            <w:t>（三）健全村集体收益分配管理机制</w:t>
          </w:r>
          <w:r>
            <w:rPr>
              <w:i w:val="0"/>
              <w:iCs w:val="0"/>
            </w:rPr>
            <w:tab/>
          </w:r>
          <w:r>
            <w:rPr>
              <w:i w:val="0"/>
              <w:iCs w:val="0"/>
            </w:rPr>
            <w:fldChar w:fldCharType="begin"/>
          </w:r>
          <w:r>
            <w:rPr>
              <w:i w:val="0"/>
              <w:iCs w:val="0"/>
            </w:rPr>
            <w:instrText xml:space="preserve"> PAGEREF _Toc107350604 \h </w:instrText>
          </w:r>
          <w:r>
            <w:rPr>
              <w:i w:val="0"/>
              <w:iCs w:val="0"/>
            </w:rPr>
            <w:fldChar w:fldCharType="separate"/>
          </w:r>
          <w:r>
            <w:rPr>
              <w:i w:val="0"/>
              <w:iCs w:val="0"/>
            </w:rPr>
            <w:t>51</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"_Toc107350605" </w:instrText>
          </w:r>
          <w:r>
            <w:fldChar w:fldCharType="separate"/>
          </w:r>
          <w:r>
            <w:rPr>
              <w:rStyle w:val="27"/>
              <w:rFonts w:ascii="Calibri" w:hAnsi="Calibri" w:cs="Calibri"/>
              <w:i w:val="0"/>
              <w:iCs w:val="0"/>
            </w:rPr>
            <w:t>（四）完善政策支撑体系</w:t>
          </w:r>
          <w:r>
            <w:rPr>
              <w:i w:val="0"/>
              <w:iCs w:val="0"/>
            </w:rPr>
            <w:tab/>
          </w:r>
          <w:r>
            <w:rPr>
              <w:i w:val="0"/>
              <w:iCs w:val="0"/>
            </w:rPr>
            <w:fldChar w:fldCharType="begin"/>
          </w:r>
          <w:r>
            <w:rPr>
              <w:i w:val="0"/>
              <w:iCs w:val="0"/>
            </w:rPr>
            <w:instrText xml:space="preserve"> PAGEREF _Toc107350605 \h </w:instrText>
          </w:r>
          <w:r>
            <w:rPr>
              <w:i w:val="0"/>
              <w:iCs w:val="0"/>
            </w:rPr>
            <w:fldChar w:fldCharType="separate"/>
          </w:r>
          <w:r>
            <w:rPr>
              <w:i w:val="0"/>
              <w:iCs w:val="0"/>
            </w:rPr>
            <w:t>52</w:t>
          </w:r>
          <w:r>
            <w:rPr>
              <w:i w:val="0"/>
              <w:iCs w:val="0"/>
            </w:rPr>
            <w:fldChar w:fldCharType="end"/>
          </w:r>
          <w:r>
            <w:rPr>
              <w:i w:val="0"/>
              <w:iCs w:val="0"/>
            </w:rPr>
            <w:fldChar w:fldCharType="end"/>
          </w:r>
        </w:p>
        <w:p>
          <w:pPr>
            <w:pStyle w:val="15"/>
            <w:tabs>
              <w:tab w:val="right" w:leader="dot" w:pos="8296"/>
            </w:tabs>
            <w:ind w:firstLine="400"/>
            <w:rPr>
              <w:rFonts w:hAnsiTheme="minorHAnsi" w:eastAsiaTheme="minorEastAsia"/>
              <w:b w:val="0"/>
              <w:bCs w:val="0"/>
              <w:caps w:val="0"/>
              <w:sz w:val="21"/>
              <w:szCs w:val="22"/>
            </w:rPr>
          </w:pPr>
          <w:r>
            <w:fldChar w:fldCharType="begin"/>
          </w:r>
          <w:r>
            <w:instrText xml:space="preserve"> HYPERLINK \l "_Toc107350606" </w:instrText>
          </w:r>
          <w:r>
            <w:fldChar w:fldCharType="separate"/>
          </w:r>
          <w:r>
            <w:rPr>
              <w:rStyle w:val="27"/>
            </w:rPr>
            <w:t>第六章 加快现代农业支撑体系建设</w:t>
          </w:r>
          <w:r>
            <w:tab/>
          </w:r>
          <w:r>
            <w:fldChar w:fldCharType="begin"/>
          </w:r>
          <w:r>
            <w:instrText xml:space="preserve"> PAGEREF _Toc107350606 \h </w:instrText>
          </w:r>
          <w:r>
            <w:fldChar w:fldCharType="separate"/>
          </w:r>
          <w:r>
            <w:t>53</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"_Toc107350607" </w:instrText>
          </w:r>
          <w:r>
            <w:fldChar w:fldCharType="separate"/>
          </w:r>
          <w:r>
            <w:rPr>
              <w:rStyle w:val="27"/>
            </w:rPr>
            <w:t>一、发展现代农业经营体系</w:t>
          </w:r>
          <w:r>
            <w:tab/>
          </w:r>
          <w:r>
            <w:fldChar w:fldCharType="begin"/>
          </w:r>
          <w:r>
            <w:instrText xml:space="preserve"> PAGEREF _Toc107350607 \h </w:instrText>
          </w:r>
          <w:r>
            <w:fldChar w:fldCharType="separate"/>
          </w:r>
          <w:r>
            <w:t>53</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"_Toc107350608" </w:instrText>
          </w:r>
          <w:r>
            <w:fldChar w:fldCharType="separate"/>
          </w:r>
          <w:r>
            <w:rPr>
              <w:rStyle w:val="27"/>
            </w:rPr>
            <w:t>二、创新现代农业科技支撑体系</w:t>
          </w:r>
          <w:r>
            <w:tab/>
          </w:r>
          <w:r>
            <w:fldChar w:fldCharType="begin"/>
          </w:r>
          <w:r>
            <w:instrText xml:space="preserve"> PAGEREF _Toc107350608 \h </w:instrText>
          </w:r>
          <w:r>
            <w:fldChar w:fldCharType="separate"/>
          </w:r>
          <w:r>
            <w:t>54</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"_Toc107350609" </w:instrText>
          </w:r>
          <w:r>
            <w:fldChar w:fldCharType="separate"/>
          </w:r>
          <w:r>
            <w:rPr>
              <w:rStyle w:val="27"/>
              <w:rFonts w:cs="Times New Roman"/>
              <w:i w:val="0"/>
              <w:iCs w:val="0"/>
            </w:rPr>
            <w:t>（一）开展校地合作，创新农业科技转化机制</w:t>
          </w:r>
          <w:r>
            <w:rPr>
              <w:i w:val="0"/>
              <w:iCs w:val="0"/>
            </w:rPr>
            <w:tab/>
          </w:r>
          <w:r>
            <w:rPr>
              <w:i w:val="0"/>
              <w:iCs w:val="0"/>
            </w:rPr>
            <w:fldChar w:fldCharType="begin"/>
          </w:r>
          <w:r>
            <w:rPr>
              <w:i w:val="0"/>
              <w:iCs w:val="0"/>
            </w:rPr>
            <w:instrText xml:space="preserve"> PAGEREF _Toc107350609 \h </w:instrText>
          </w:r>
          <w:r>
            <w:rPr>
              <w:i w:val="0"/>
              <w:iCs w:val="0"/>
            </w:rPr>
            <w:fldChar w:fldCharType="separate"/>
          </w:r>
          <w:r>
            <w:rPr>
              <w:i w:val="0"/>
              <w:iCs w:val="0"/>
            </w:rPr>
            <w:t>54</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"_Toc107350610" </w:instrText>
          </w:r>
          <w:r>
            <w:fldChar w:fldCharType="separate"/>
          </w:r>
          <w:r>
            <w:rPr>
              <w:rStyle w:val="27"/>
              <w:rFonts w:cs="Times New Roman"/>
              <w:i w:val="0"/>
              <w:iCs w:val="0"/>
            </w:rPr>
            <w:t>（二）完善农业科技推广体系</w:t>
          </w:r>
          <w:r>
            <w:rPr>
              <w:i w:val="0"/>
              <w:iCs w:val="0"/>
            </w:rPr>
            <w:tab/>
          </w:r>
          <w:r>
            <w:rPr>
              <w:i w:val="0"/>
              <w:iCs w:val="0"/>
            </w:rPr>
            <w:fldChar w:fldCharType="begin"/>
          </w:r>
          <w:r>
            <w:rPr>
              <w:i w:val="0"/>
              <w:iCs w:val="0"/>
            </w:rPr>
            <w:instrText xml:space="preserve"> PAGEREF _Toc107350610 \h </w:instrText>
          </w:r>
          <w:r>
            <w:rPr>
              <w:i w:val="0"/>
              <w:iCs w:val="0"/>
            </w:rPr>
            <w:fldChar w:fldCharType="separate"/>
          </w:r>
          <w:r>
            <w:rPr>
              <w:i w:val="0"/>
              <w:iCs w:val="0"/>
            </w:rPr>
            <w:t>55</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"_Toc107350611" </w:instrText>
          </w:r>
          <w:r>
            <w:fldChar w:fldCharType="separate"/>
          </w:r>
          <w:r>
            <w:rPr>
              <w:rStyle w:val="27"/>
              <w:rFonts w:cs="Times New Roman"/>
              <w:i w:val="0"/>
              <w:iCs w:val="0"/>
            </w:rPr>
            <w:t>（三）加强农业信息化建设，提升农业数字化水平</w:t>
          </w:r>
          <w:r>
            <w:rPr>
              <w:i w:val="0"/>
              <w:iCs w:val="0"/>
            </w:rPr>
            <w:tab/>
          </w:r>
          <w:r>
            <w:rPr>
              <w:i w:val="0"/>
              <w:iCs w:val="0"/>
            </w:rPr>
            <w:fldChar w:fldCharType="begin"/>
          </w:r>
          <w:r>
            <w:rPr>
              <w:i w:val="0"/>
              <w:iCs w:val="0"/>
            </w:rPr>
            <w:instrText xml:space="preserve"> PAGEREF _Toc107350611 \h </w:instrText>
          </w:r>
          <w:r>
            <w:rPr>
              <w:i w:val="0"/>
              <w:iCs w:val="0"/>
            </w:rPr>
            <w:fldChar w:fldCharType="separate"/>
          </w:r>
          <w:r>
            <w:rPr>
              <w:i w:val="0"/>
              <w:iCs w:val="0"/>
            </w:rPr>
            <w:t>55</w:t>
          </w:r>
          <w:r>
            <w:rPr>
              <w:i w:val="0"/>
              <w:iCs w:val="0"/>
            </w:rPr>
            <w:fldChar w:fldCharType="end"/>
          </w:r>
          <w:r>
            <w:rPr>
              <w:i w:val="0"/>
              <w:iCs w:val="0"/>
            </w:rP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"_Toc107350612" </w:instrText>
          </w:r>
          <w:r>
            <w:fldChar w:fldCharType="separate"/>
          </w:r>
          <w:r>
            <w:rPr>
              <w:rStyle w:val="27"/>
            </w:rPr>
            <w:t>三、完善农产品流通体系</w:t>
          </w:r>
          <w:r>
            <w:tab/>
          </w:r>
          <w:r>
            <w:fldChar w:fldCharType="begin"/>
          </w:r>
          <w:r>
            <w:instrText xml:space="preserve"> PAGEREF _Toc107350612 \h </w:instrText>
          </w:r>
          <w:r>
            <w:fldChar w:fldCharType="separate"/>
          </w:r>
          <w:r>
            <w:t>56</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"_Toc107350613" </w:instrText>
          </w:r>
          <w:r>
            <w:fldChar w:fldCharType="separate"/>
          </w:r>
          <w:r>
            <w:rPr>
              <w:rStyle w:val="27"/>
              <w:rFonts w:cs="Times New Roman"/>
              <w:i w:val="0"/>
              <w:iCs w:val="0"/>
            </w:rPr>
            <w:t>（一）加快完善农产品市场流通体系</w:t>
          </w:r>
          <w:r>
            <w:rPr>
              <w:i w:val="0"/>
              <w:iCs w:val="0"/>
            </w:rPr>
            <w:tab/>
          </w:r>
          <w:r>
            <w:rPr>
              <w:i w:val="0"/>
              <w:iCs w:val="0"/>
            </w:rPr>
            <w:fldChar w:fldCharType="begin"/>
          </w:r>
          <w:r>
            <w:rPr>
              <w:i w:val="0"/>
              <w:iCs w:val="0"/>
            </w:rPr>
            <w:instrText xml:space="preserve"> PAGEREF _Toc107350613 \h </w:instrText>
          </w:r>
          <w:r>
            <w:rPr>
              <w:i w:val="0"/>
              <w:iCs w:val="0"/>
            </w:rPr>
            <w:fldChar w:fldCharType="separate"/>
          </w:r>
          <w:r>
            <w:rPr>
              <w:i w:val="0"/>
              <w:iCs w:val="0"/>
            </w:rPr>
            <w:t>56</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"_Toc107350614" </w:instrText>
          </w:r>
          <w:r>
            <w:fldChar w:fldCharType="separate"/>
          </w:r>
          <w:r>
            <w:rPr>
              <w:rStyle w:val="27"/>
              <w:rFonts w:cs="Times New Roman"/>
              <w:i w:val="0"/>
              <w:iCs w:val="0"/>
            </w:rPr>
            <w:t>（二）促进农村电子商务发展</w:t>
          </w:r>
          <w:r>
            <w:rPr>
              <w:i w:val="0"/>
              <w:iCs w:val="0"/>
            </w:rPr>
            <w:tab/>
          </w:r>
          <w:r>
            <w:rPr>
              <w:i w:val="0"/>
              <w:iCs w:val="0"/>
            </w:rPr>
            <w:fldChar w:fldCharType="begin"/>
          </w:r>
          <w:r>
            <w:rPr>
              <w:i w:val="0"/>
              <w:iCs w:val="0"/>
            </w:rPr>
            <w:instrText xml:space="preserve"> PAGEREF _Toc107350614 \h </w:instrText>
          </w:r>
          <w:r>
            <w:rPr>
              <w:i w:val="0"/>
              <w:iCs w:val="0"/>
            </w:rPr>
            <w:fldChar w:fldCharType="separate"/>
          </w:r>
          <w:r>
            <w:rPr>
              <w:i w:val="0"/>
              <w:iCs w:val="0"/>
            </w:rPr>
            <w:t>56</w:t>
          </w:r>
          <w:r>
            <w:rPr>
              <w:i w:val="0"/>
              <w:iCs w:val="0"/>
            </w:rPr>
            <w:fldChar w:fldCharType="end"/>
          </w:r>
          <w:r>
            <w:rPr>
              <w:i w:val="0"/>
              <w:iCs w:val="0"/>
            </w:rP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"_Toc107350615" </w:instrText>
          </w:r>
          <w:r>
            <w:fldChar w:fldCharType="separate"/>
          </w:r>
          <w:r>
            <w:rPr>
              <w:rStyle w:val="27"/>
            </w:rPr>
            <w:t>四、构筑农产品质量安全监管体系</w:t>
          </w:r>
          <w:r>
            <w:tab/>
          </w:r>
          <w:r>
            <w:fldChar w:fldCharType="begin"/>
          </w:r>
          <w:r>
            <w:instrText xml:space="preserve"> PAGEREF _Toc107350615 \h </w:instrText>
          </w:r>
          <w:r>
            <w:fldChar w:fldCharType="separate"/>
          </w:r>
          <w:r>
            <w:t>57</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"_Toc107350616" </w:instrText>
          </w:r>
          <w:r>
            <w:fldChar w:fldCharType="separate"/>
          </w:r>
          <w:r>
            <w:rPr>
              <w:rStyle w:val="27"/>
              <w:rFonts w:cs="Times New Roman"/>
              <w:i w:val="0"/>
              <w:iCs w:val="0"/>
            </w:rPr>
            <w:t>（一）强化农产品全程监管</w:t>
          </w:r>
          <w:r>
            <w:rPr>
              <w:i w:val="0"/>
              <w:iCs w:val="0"/>
            </w:rPr>
            <w:tab/>
          </w:r>
          <w:r>
            <w:rPr>
              <w:i w:val="0"/>
              <w:iCs w:val="0"/>
            </w:rPr>
            <w:fldChar w:fldCharType="begin"/>
          </w:r>
          <w:r>
            <w:rPr>
              <w:i w:val="0"/>
              <w:iCs w:val="0"/>
            </w:rPr>
            <w:instrText xml:space="preserve"> PAGEREF _Toc107350616 \h </w:instrText>
          </w:r>
          <w:r>
            <w:rPr>
              <w:i w:val="0"/>
              <w:iCs w:val="0"/>
            </w:rPr>
            <w:fldChar w:fldCharType="separate"/>
          </w:r>
          <w:r>
            <w:rPr>
              <w:i w:val="0"/>
              <w:iCs w:val="0"/>
            </w:rPr>
            <w:t>57</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"_Toc107350617" </w:instrText>
          </w:r>
          <w:r>
            <w:fldChar w:fldCharType="separate"/>
          </w:r>
          <w:r>
            <w:rPr>
              <w:rStyle w:val="27"/>
              <w:rFonts w:cs="Times New Roman"/>
              <w:i w:val="0"/>
              <w:iCs w:val="0"/>
            </w:rPr>
            <w:t>（二）加强农产品品牌建设</w:t>
          </w:r>
          <w:r>
            <w:rPr>
              <w:i w:val="0"/>
              <w:iCs w:val="0"/>
            </w:rPr>
            <w:tab/>
          </w:r>
          <w:r>
            <w:rPr>
              <w:i w:val="0"/>
              <w:iCs w:val="0"/>
            </w:rPr>
            <w:fldChar w:fldCharType="begin"/>
          </w:r>
          <w:r>
            <w:rPr>
              <w:i w:val="0"/>
              <w:iCs w:val="0"/>
            </w:rPr>
            <w:instrText xml:space="preserve"> PAGEREF _Toc107350617 \h </w:instrText>
          </w:r>
          <w:r>
            <w:rPr>
              <w:i w:val="0"/>
              <w:iCs w:val="0"/>
            </w:rPr>
            <w:fldChar w:fldCharType="separate"/>
          </w:r>
          <w:r>
            <w:rPr>
              <w:i w:val="0"/>
              <w:iCs w:val="0"/>
            </w:rPr>
            <w:t>58</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"_Toc107350618" </w:instrText>
          </w:r>
          <w:r>
            <w:fldChar w:fldCharType="separate"/>
          </w:r>
          <w:r>
            <w:rPr>
              <w:rStyle w:val="27"/>
              <w:rFonts w:cs="Times New Roman"/>
              <w:i w:val="0"/>
              <w:iCs w:val="0"/>
            </w:rPr>
            <w:t>（三）加大综合执法和专项整治</w:t>
          </w:r>
          <w:r>
            <w:rPr>
              <w:i w:val="0"/>
              <w:iCs w:val="0"/>
            </w:rPr>
            <w:tab/>
          </w:r>
          <w:r>
            <w:rPr>
              <w:i w:val="0"/>
              <w:iCs w:val="0"/>
            </w:rPr>
            <w:fldChar w:fldCharType="begin"/>
          </w:r>
          <w:r>
            <w:rPr>
              <w:i w:val="0"/>
              <w:iCs w:val="0"/>
            </w:rPr>
            <w:instrText xml:space="preserve"> PAGEREF _Toc107350618 \h </w:instrText>
          </w:r>
          <w:r>
            <w:rPr>
              <w:i w:val="0"/>
              <w:iCs w:val="0"/>
            </w:rPr>
            <w:fldChar w:fldCharType="separate"/>
          </w:r>
          <w:r>
            <w:rPr>
              <w:i w:val="0"/>
              <w:iCs w:val="0"/>
            </w:rPr>
            <w:t>58</w:t>
          </w:r>
          <w:r>
            <w:rPr>
              <w:i w:val="0"/>
              <w:iCs w:val="0"/>
            </w:rPr>
            <w:fldChar w:fldCharType="end"/>
          </w:r>
          <w:r>
            <w:rPr>
              <w:i w:val="0"/>
              <w:iCs w:val="0"/>
            </w:rPr>
            <w:fldChar w:fldCharType="end"/>
          </w:r>
        </w:p>
        <w:p>
          <w:pPr>
            <w:pStyle w:val="15"/>
            <w:tabs>
              <w:tab w:val="right" w:leader="dot" w:pos="8296"/>
            </w:tabs>
            <w:ind w:firstLine="400"/>
            <w:rPr>
              <w:rFonts w:hAnsiTheme="minorHAnsi" w:eastAsiaTheme="minorEastAsia"/>
              <w:b w:val="0"/>
              <w:bCs w:val="0"/>
              <w:caps w:val="0"/>
              <w:sz w:val="21"/>
              <w:szCs w:val="22"/>
            </w:rPr>
          </w:pPr>
          <w:r>
            <w:fldChar w:fldCharType="begin"/>
          </w:r>
          <w:r>
            <w:instrText xml:space="preserve"> HYPERLINK \l "_Toc107350619" </w:instrText>
          </w:r>
          <w:r>
            <w:fldChar w:fldCharType="separate"/>
          </w:r>
          <w:r>
            <w:rPr>
              <w:rStyle w:val="27"/>
            </w:rPr>
            <w:t>第七章 深化农村重点领域体制机制改革</w:t>
          </w:r>
          <w:r>
            <w:tab/>
          </w:r>
          <w:r>
            <w:fldChar w:fldCharType="begin"/>
          </w:r>
          <w:r>
            <w:instrText xml:space="preserve"> PAGEREF _Toc107350619 \h </w:instrText>
          </w:r>
          <w:r>
            <w:fldChar w:fldCharType="separate"/>
          </w:r>
          <w:r>
            <w:t>60</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"_Toc107350620" </w:instrText>
          </w:r>
          <w:r>
            <w:fldChar w:fldCharType="separate"/>
          </w:r>
          <w:r>
            <w:rPr>
              <w:rStyle w:val="27"/>
            </w:rPr>
            <w:t>一、深化农村土地制度改革</w:t>
          </w:r>
          <w:r>
            <w:tab/>
          </w:r>
          <w:r>
            <w:fldChar w:fldCharType="begin"/>
          </w:r>
          <w:r>
            <w:instrText xml:space="preserve"> PAGEREF _Toc107350620 \h </w:instrText>
          </w:r>
          <w:r>
            <w:fldChar w:fldCharType="separate"/>
          </w:r>
          <w:r>
            <w:t>60</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"_Toc107350621" </w:instrText>
          </w:r>
          <w:r>
            <w:fldChar w:fldCharType="separate"/>
          </w:r>
          <w:r>
            <w:rPr>
              <w:rStyle w:val="27"/>
              <w:rFonts w:ascii="Calibri" w:hAnsi="Calibri" w:cs="Calibri"/>
              <w:i w:val="0"/>
              <w:iCs w:val="0"/>
            </w:rPr>
            <w:t>（一）健全农村土地利用管理制度</w:t>
          </w:r>
          <w:r>
            <w:rPr>
              <w:i w:val="0"/>
              <w:iCs w:val="0"/>
            </w:rPr>
            <w:tab/>
          </w:r>
          <w:r>
            <w:rPr>
              <w:i w:val="0"/>
              <w:iCs w:val="0"/>
            </w:rPr>
            <w:fldChar w:fldCharType="begin"/>
          </w:r>
          <w:r>
            <w:rPr>
              <w:i w:val="0"/>
              <w:iCs w:val="0"/>
            </w:rPr>
            <w:instrText xml:space="preserve"> PAGEREF _Toc107350621 \h </w:instrText>
          </w:r>
          <w:r>
            <w:rPr>
              <w:i w:val="0"/>
              <w:iCs w:val="0"/>
            </w:rPr>
            <w:fldChar w:fldCharType="separate"/>
          </w:r>
          <w:r>
            <w:rPr>
              <w:i w:val="0"/>
              <w:iCs w:val="0"/>
            </w:rPr>
            <w:t>60</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"_Toc107350622" </w:instrText>
          </w:r>
          <w:r>
            <w:fldChar w:fldCharType="separate"/>
          </w:r>
          <w:r>
            <w:rPr>
              <w:rStyle w:val="27"/>
              <w:rFonts w:ascii="Calibri" w:hAnsi="Calibri" w:cs="Calibri"/>
              <w:i w:val="0"/>
              <w:iCs w:val="0"/>
            </w:rPr>
            <w:t>（二）完善农村用地保障机制</w:t>
          </w:r>
          <w:r>
            <w:rPr>
              <w:i w:val="0"/>
              <w:iCs w:val="0"/>
            </w:rPr>
            <w:tab/>
          </w:r>
          <w:r>
            <w:rPr>
              <w:i w:val="0"/>
              <w:iCs w:val="0"/>
            </w:rPr>
            <w:fldChar w:fldCharType="begin"/>
          </w:r>
          <w:r>
            <w:rPr>
              <w:i w:val="0"/>
              <w:iCs w:val="0"/>
            </w:rPr>
            <w:instrText xml:space="preserve"> PAGEREF _Toc107350622 \h </w:instrText>
          </w:r>
          <w:r>
            <w:rPr>
              <w:i w:val="0"/>
              <w:iCs w:val="0"/>
            </w:rPr>
            <w:fldChar w:fldCharType="separate"/>
          </w:r>
          <w:r>
            <w:rPr>
              <w:i w:val="0"/>
              <w:iCs w:val="0"/>
            </w:rPr>
            <w:t>60</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"_Toc107350623" </w:instrText>
          </w:r>
          <w:r>
            <w:fldChar w:fldCharType="separate"/>
          </w:r>
          <w:r>
            <w:rPr>
              <w:rStyle w:val="27"/>
              <w:rFonts w:ascii="Calibri" w:hAnsi="Calibri" w:cs="Calibri"/>
              <w:i w:val="0"/>
              <w:iCs w:val="0"/>
            </w:rPr>
            <w:t>（三）建立农村集体经营性建设用地入市制度</w:t>
          </w:r>
          <w:r>
            <w:rPr>
              <w:i w:val="0"/>
              <w:iCs w:val="0"/>
            </w:rPr>
            <w:tab/>
          </w:r>
          <w:r>
            <w:rPr>
              <w:i w:val="0"/>
              <w:iCs w:val="0"/>
            </w:rPr>
            <w:fldChar w:fldCharType="begin"/>
          </w:r>
          <w:r>
            <w:rPr>
              <w:i w:val="0"/>
              <w:iCs w:val="0"/>
            </w:rPr>
            <w:instrText xml:space="preserve"> PAGEREF _Toc107350623 \h </w:instrText>
          </w:r>
          <w:r>
            <w:rPr>
              <w:i w:val="0"/>
              <w:iCs w:val="0"/>
            </w:rPr>
            <w:fldChar w:fldCharType="separate"/>
          </w:r>
          <w:r>
            <w:rPr>
              <w:i w:val="0"/>
              <w:iCs w:val="0"/>
            </w:rPr>
            <w:t>60</w:t>
          </w:r>
          <w:r>
            <w:rPr>
              <w:i w:val="0"/>
              <w:iCs w:val="0"/>
            </w:rPr>
            <w:fldChar w:fldCharType="end"/>
          </w:r>
          <w:r>
            <w:rPr>
              <w:i w:val="0"/>
              <w:iCs w:val="0"/>
            </w:rP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"_Toc107350624" </w:instrText>
          </w:r>
          <w:r>
            <w:fldChar w:fldCharType="separate"/>
          </w:r>
          <w:r>
            <w:rPr>
              <w:rStyle w:val="27"/>
            </w:rPr>
            <w:t>二、深化农村集体产权制度改革</w:t>
          </w:r>
          <w:r>
            <w:tab/>
          </w:r>
          <w:r>
            <w:fldChar w:fldCharType="begin"/>
          </w:r>
          <w:r>
            <w:instrText xml:space="preserve"> PAGEREF _Toc107350624 \h </w:instrText>
          </w:r>
          <w:r>
            <w:fldChar w:fldCharType="separate"/>
          </w:r>
          <w:r>
            <w:t>61</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"_Toc107350625" </w:instrText>
          </w:r>
          <w:r>
            <w:fldChar w:fldCharType="separate"/>
          </w:r>
          <w:r>
            <w:rPr>
              <w:rStyle w:val="27"/>
              <w:rFonts w:ascii="Calibri" w:hAnsi="Calibri" w:cs="Calibri"/>
              <w:i w:val="0"/>
              <w:iCs w:val="0"/>
            </w:rPr>
            <w:t>（一）全面加强农村“三资”管理</w:t>
          </w:r>
          <w:r>
            <w:rPr>
              <w:i w:val="0"/>
              <w:iCs w:val="0"/>
            </w:rPr>
            <w:tab/>
          </w:r>
          <w:r>
            <w:rPr>
              <w:i w:val="0"/>
              <w:iCs w:val="0"/>
            </w:rPr>
            <w:fldChar w:fldCharType="begin"/>
          </w:r>
          <w:r>
            <w:rPr>
              <w:i w:val="0"/>
              <w:iCs w:val="0"/>
            </w:rPr>
            <w:instrText xml:space="preserve"> PAGEREF _Toc107350625 \h </w:instrText>
          </w:r>
          <w:r>
            <w:rPr>
              <w:i w:val="0"/>
              <w:iCs w:val="0"/>
            </w:rPr>
            <w:fldChar w:fldCharType="separate"/>
          </w:r>
          <w:r>
            <w:rPr>
              <w:i w:val="0"/>
              <w:iCs w:val="0"/>
            </w:rPr>
            <w:t>61</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"_Toc107350626" </w:instrText>
          </w:r>
          <w:r>
            <w:fldChar w:fldCharType="separate"/>
          </w:r>
          <w:r>
            <w:rPr>
              <w:rStyle w:val="27"/>
              <w:rFonts w:ascii="Calibri" w:hAnsi="Calibri" w:cs="Calibri"/>
              <w:i w:val="0"/>
              <w:iCs w:val="0"/>
            </w:rPr>
            <w:t>（二）探索建立农村“三资”信息化管理模式</w:t>
          </w:r>
          <w:r>
            <w:rPr>
              <w:i w:val="0"/>
              <w:iCs w:val="0"/>
            </w:rPr>
            <w:tab/>
          </w:r>
          <w:r>
            <w:rPr>
              <w:i w:val="0"/>
              <w:iCs w:val="0"/>
            </w:rPr>
            <w:fldChar w:fldCharType="begin"/>
          </w:r>
          <w:r>
            <w:rPr>
              <w:i w:val="0"/>
              <w:iCs w:val="0"/>
            </w:rPr>
            <w:instrText xml:space="preserve"> PAGEREF _Toc107350626 \h </w:instrText>
          </w:r>
          <w:r>
            <w:rPr>
              <w:i w:val="0"/>
              <w:iCs w:val="0"/>
            </w:rPr>
            <w:fldChar w:fldCharType="separate"/>
          </w:r>
          <w:r>
            <w:rPr>
              <w:i w:val="0"/>
              <w:iCs w:val="0"/>
            </w:rPr>
            <w:t>61</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"_Toc107350627" </w:instrText>
          </w:r>
          <w:r>
            <w:fldChar w:fldCharType="separate"/>
          </w:r>
          <w:r>
            <w:rPr>
              <w:rStyle w:val="27"/>
              <w:rFonts w:ascii="Calibri" w:hAnsi="Calibri" w:cs="Calibri"/>
              <w:i w:val="0"/>
              <w:iCs w:val="0"/>
            </w:rPr>
            <w:t>（三）由点及面推动农村集体产权制度改革</w:t>
          </w:r>
          <w:r>
            <w:rPr>
              <w:i w:val="0"/>
              <w:iCs w:val="0"/>
            </w:rPr>
            <w:tab/>
          </w:r>
          <w:r>
            <w:rPr>
              <w:i w:val="0"/>
              <w:iCs w:val="0"/>
            </w:rPr>
            <w:fldChar w:fldCharType="begin"/>
          </w:r>
          <w:r>
            <w:rPr>
              <w:i w:val="0"/>
              <w:iCs w:val="0"/>
            </w:rPr>
            <w:instrText xml:space="preserve"> PAGEREF _Toc107350627 \h </w:instrText>
          </w:r>
          <w:r>
            <w:rPr>
              <w:i w:val="0"/>
              <w:iCs w:val="0"/>
            </w:rPr>
            <w:fldChar w:fldCharType="separate"/>
          </w:r>
          <w:r>
            <w:rPr>
              <w:i w:val="0"/>
              <w:iCs w:val="0"/>
            </w:rPr>
            <w:t>62</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"_Toc107350628" </w:instrText>
          </w:r>
          <w:r>
            <w:fldChar w:fldCharType="separate"/>
          </w:r>
          <w:r>
            <w:rPr>
              <w:rStyle w:val="27"/>
              <w:rFonts w:ascii="Calibri" w:hAnsi="Calibri" w:cs="Calibri"/>
              <w:i w:val="0"/>
              <w:iCs w:val="0"/>
            </w:rPr>
            <w:t>（四）建立健全农村社区股份合作制</w:t>
          </w:r>
          <w:r>
            <w:rPr>
              <w:i w:val="0"/>
              <w:iCs w:val="0"/>
            </w:rPr>
            <w:tab/>
          </w:r>
          <w:r>
            <w:rPr>
              <w:i w:val="0"/>
              <w:iCs w:val="0"/>
            </w:rPr>
            <w:fldChar w:fldCharType="begin"/>
          </w:r>
          <w:r>
            <w:rPr>
              <w:i w:val="0"/>
              <w:iCs w:val="0"/>
            </w:rPr>
            <w:instrText xml:space="preserve"> PAGEREF _Toc107350628 \h </w:instrText>
          </w:r>
          <w:r>
            <w:rPr>
              <w:i w:val="0"/>
              <w:iCs w:val="0"/>
            </w:rPr>
            <w:fldChar w:fldCharType="separate"/>
          </w:r>
          <w:r>
            <w:rPr>
              <w:i w:val="0"/>
              <w:iCs w:val="0"/>
            </w:rPr>
            <w:t>62</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"_Toc107350629" </w:instrText>
          </w:r>
          <w:r>
            <w:fldChar w:fldCharType="separate"/>
          </w:r>
          <w:r>
            <w:rPr>
              <w:rStyle w:val="27"/>
              <w:rFonts w:ascii="Calibri" w:hAnsi="Calibri" w:cs="Calibri"/>
              <w:i w:val="0"/>
              <w:iCs w:val="0"/>
            </w:rPr>
            <w:t>（五）探索农村集体经济发展和分配新模式</w:t>
          </w:r>
          <w:r>
            <w:rPr>
              <w:i w:val="0"/>
              <w:iCs w:val="0"/>
            </w:rPr>
            <w:tab/>
          </w:r>
          <w:r>
            <w:rPr>
              <w:i w:val="0"/>
              <w:iCs w:val="0"/>
            </w:rPr>
            <w:fldChar w:fldCharType="begin"/>
          </w:r>
          <w:r>
            <w:rPr>
              <w:i w:val="0"/>
              <w:iCs w:val="0"/>
            </w:rPr>
            <w:instrText xml:space="preserve"> PAGEREF _Toc107350629 \h </w:instrText>
          </w:r>
          <w:r>
            <w:rPr>
              <w:i w:val="0"/>
              <w:iCs w:val="0"/>
            </w:rPr>
            <w:fldChar w:fldCharType="separate"/>
          </w:r>
          <w:r>
            <w:rPr>
              <w:i w:val="0"/>
              <w:iCs w:val="0"/>
            </w:rPr>
            <w:t>62</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"_Toc107350630" </w:instrText>
          </w:r>
          <w:r>
            <w:fldChar w:fldCharType="separate"/>
          </w:r>
          <w:r>
            <w:rPr>
              <w:rStyle w:val="27"/>
              <w:rFonts w:ascii="Calibri" w:hAnsi="Calibri" w:cs="Calibri"/>
              <w:i w:val="0"/>
              <w:iCs w:val="0"/>
            </w:rPr>
            <w:t>（六）优化农村财务人员队伍</w:t>
          </w:r>
          <w:r>
            <w:rPr>
              <w:i w:val="0"/>
              <w:iCs w:val="0"/>
            </w:rPr>
            <w:tab/>
          </w:r>
          <w:r>
            <w:rPr>
              <w:i w:val="0"/>
              <w:iCs w:val="0"/>
            </w:rPr>
            <w:fldChar w:fldCharType="begin"/>
          </w:r>
          <w:r>
            <w:rPr>
              <w:i w:val="0"/>
              <w:iCs w:val="0"/>
            </w:rPr>
            <w:instrText xml:space="preserve"> PAGEREF _Toc107350630 \h </w:instrText>
          </w:r>
          <w:r>
            <w:rPr>
              <w:i w:val="0"/>
              <w:iCs w:val="0"/>
            </w:rPr>
            <w:fldChar w:fldCharType="separate"/>
          </w:r>
          <w:r>
            <w:rPr>
              <w:i w:val="0"/>
              <w:iCs w:val="0"/>
            </w:rPr>
            <w:t>63</w:t>
          </w:r>
          <w:r>
            <w:rPr>
              <w:i w:val="0"/>
              <w:iCs w:val="0"/>
            </w:rPr>
            <w:fldChar w:fldCharType="end"/>
          </w:r>
          <w:r>
            <w:rPr>
              <w:i w:val="0"/>
              <w:iCs w:val="0"/>
            </w:rP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"_Toc107350631" </w:instrText>
          </w:r>
          <w:r>
            <w:fldChar w:fldCharType="separate"/>
          </w:r>
          <w:r>
            <w:rPr>
              <w:rStyle w:val="27"/>
            </w:rPr>
            <w:t>三、创新农村金融体制机制</w:t>
          </w:r>
          <w:r>
            <w:tab/>
          </w:r>
          <w:r>
            <w:fldChar w:fldCharType="begin"/>
          </w:r>
          <w:r>
            <w:instrText xml:space="preserve"> PAGEREF _Toc107350631 \h </w:instrText>
          </w:r>
          <w:r>
            <w:fldChar w:fldCharType="separate"/>
          </w:r>
          <w:r>
            <w:t>63</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"_Toc107350632" </w:instrText>
          </w:r>
          <w:r>
            <w:fldChar w:fldCharType="separate"/>
          </w:r>
          <w:r>
            <w:rPr>
              <w:rStyle w:val="27"/>
              <w:i w:val="0"/>
              <w:iCs w:val="0"/>
            </w:rPr>
            <w:t>（一）加大农村信贷投入</w:t>
          </w:r>
          <w:r>
            <w:rPr>
              <w:i w:val="0"/>
              <w:iCs w:val="0"/>
            </w:rPr>
            <w:tab/>
          </w:r>
          <w:r>
            <w:rPr>
              <w:i w:val="0"/>
              <w:iCs w:val="0"/>
            </w:rPr>
            <w:fldChar w:fldCharType="begin"/>
          </w:r>
          <w:r>
            <w:rPr>
              <w:i w:val="0"/>
              <w:iCs w:val="0"/>
            </w:rPr>
            <w:instrText xml:space="preserve"> PAGEREF _Toc107350632 \h </w:instrText>
          </w:r>
          <w:r>
            <w:rPr>
              <w:i w:val="0"/>
              <w:iCs w:val="0"/>
            </w:rPr>
            <w:fldChar w:fldCharType="separate"/>
          </w:r>
          <w:r>
            <w:rPr>
              <w:i w:val="0"/>
              <w:iCs w:val="0"/>
            </w:rPr>
            <w:t>63</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"_Toc107350633" </w:instrText>
          </w:r>
          <w:r>
            <w:fldChar w:fldCharType="separate"/>
          </w:r>
          <w:r>
            <w:rPr>
              <w:rStyle w:val="27"/>
              <w:i w:val="0"/>
              <w:iCs w:val="0"/>
            </w:rPr>
            <w:t>（二）拓展涉农保险深度</w:t>
          </w:r>
          <w:r>
            <w:rPr>
              <w:i w:val="0"/>
              <w:iCs w:val="0"/>
            </w:rPr>
            <w:tab/>
          </w:r>
          <w:r>
            <w:rPr>
              <w:i w:val="0"/>
              <w:iCs w:val="0"/>
            </w:rPr>
            <w:fldChar w:fldCharType="begin"/>
          </w:r>
          <w:r>
            <w:rPr>
              <w:i w:val="0"/>
              <w:iCs w:val="0"/>
            </w:rPr>
            <w:instrText xml:space="preserve"> PAGEREF _Toc107350633 \h </w:instrText>
          </w:r>
          <w:r>
            <w:rPr>
              <w:i w:val="0"/>
              <w:iCs w:val="0"/>
            </w:rPr>
            <w:fldChar w:fldCharType="separate"/>
          </w:r>
          <w:r>
            <w:rPr>
              <w:i w:val="0"/>
              <w:iCs w:val="0"/>
            </w:rPr>
            <w:t>63</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"_Toc107350634" </w:instrText>
          </w:r>
          <w:r>
            <w:fldChar w:fldCharType="separate"/>
          </w:r>
          <w:r>
            <w:rPr>
              <w:rStyle w:val="27"/>
              <w:i w:val="0"/>
              <w:iCs w:val="0"/>
            </w:rPr>
            <w:t>（三）优化支付服务环境</w:t>
          </w:r>
          <w:r>
            <w:rPr>
              <w:i w:val="0"/>
              <w:iCs w:val="0"/>
            </w:rPr>
            <w:tab/>
          </w:r>
          <w:r>
            <w:rPr>
              <w:i w:val="0"/>
              <w:iCs w:val="0"/>
            </w:rPr>
            <w:fldChar w:fldCharType="begin"/>
          </w:r>
          <w:r>
            <w:rPr>
              <w:i w:val="0"/>
              <w:iCs w:val="0"/>
            </w:rPr>
            <w:instrText xml:space="preserve"> PAGEREF _Toc107350634 \h </w:instrText>
          </w:r>
          <w:r>
            <w:rPr>
              <w:i w:val="0"/>
              <w:iCs w:val="0"/>
            </w:rPr>
            <w:fldChar w:fldCharType="separate"/>
          </w:r>
          <w:r>
            <w:rPr>
              <w:i w:val="0"/>
              <w:iCs w:val="0"/>
            </w:rPr>
            <w:t>63</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"_Toc107350635" </w:instrText>
          </w:r>
          <w:r>
            <w:fldChar w:fldCharType="separate"/>
          </w:r>
          <w:r>
            <w:rPr>
              <w:rStyle w:val="27"/>
              <w:i w:val="0"/>
              <w:iCs w:val="0"/>
            </w:rPr>
            <w:t>（四）拓宽支农融资渠道</w:t>
          </w:r>
          <w:r>
            <w:rPr>
              <w:i w:val="0"/>
              <w:iCs w:val="0"/>
            </w:rPr>
            <w:tab/>
          </w:r>
          <w:r>
            <w:rPr>
              <w:i w:val="0"/>
              <w:iCs w:val="0"/>
            </w:rPr>
            <w:fldChar w:fldCharType="begin"/>
          </w:r>
          <w:r>
            <w:rPr>
              <w:i w:val="0"/>
              <w:iCs w:val="0"/>
            </w:rPr>
            <w:instrText xml:space="preserve"> PAGEREF _Toc107350635 \h </w:instrText>
          </w:r>
          <w:r>
            <w:rPr>
              <w:i w:val="0"/>
              <w:iCs w:val="0"/>
            </w:rPr>
            <w:fldChar w:fldCharType="separate"/>
          </w:r>
          <w:r>
            <w:rPr>
              <w:i w:val="0"/>
              <w:iCs w:val="0"/>
            </w:rPr>
            <w:t>64</w:t>
          </w:r>
          <w:r>
            <w:rPr>
              <w:i w:val="0"/>
              <w:iCs w:val="0"/>
            </w:rPr>
            <w:fldChar w:fldCharType="end"/>
          </w:r>
          <w:r>
            <w:rPr>
              <w:i w:val="0"/>
              <w:iCs w:val="0"/>
            </w:rP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"_Toc107350636" </w:instrText>
          </w:r>
          <w:r>
            <w:fldChar w:fldCharType="separate"/>
          </w:r>
          <w:r>
            <w:rPr>
              <w:rStyle w:val="27"/>
            </w:rPr>
            <w:t>四、推动“六治”协同，构建乡村治理体系现代化</w:t>
          </w:r>
          <w:r>
            <w:tab/>
          </w:r>
          <w:r>
            <w:fldChar w:fldCharType="begin"/>
          </w:r>
          <w:r>
            <w:instrText xml:space="preserve"> PAGEREF _Toc107350636 \h </w:instrText>
          </w:r>
          <w:r>
            <w:fldChar w:fldCharType="separate"/>
          </w:r>
          <w:r>
            <w:t>64</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"_Toc107350637" </w:instrText>
          </w:r>
          <w:r>
            <w:fldChar w:fldCharType="separate"/>
          </w:r>
          <w:r>
            <w:rPr>
              <w:rStyle w:val="27"/>
              <w:i w:val="0"/>
              <w:iCs w:val="0"/>
            </w:rPr>
            <w:t>（一）突出“政治”统领作用，夯实基层党组织引领治理的基础</w:t>
          </w:r>
          <w:r>
            <w:rPr>
              <w:i w:val="0"/>
              <w:iCs w:val="0"/>
            </w:rPr>
            <w:tab/>
          </w:r>
          <w:r>
            <w:rPr>
              <w:i w:val="0"/>
              <w:iCs w:val="0"/>
            </w:rPr>
            <w:fldChar w:fldCharType="begin"/>
          </w:r>
          <w:r>
            <w:rPr>
              <w:i w:val="0"/>
              <w:iCs w:val="0"/>
            </w:rPr>
            <w:instrText xml:space="preserve"> PAGEREF _Toc107350637 \h </w:instrText>
          </w:r>
          <w:r>
            <w:rPr>
              <w:i w:val="0"/>
              <w:iCs w:val="0"/>
            </w:rPr>
            <w:fldChar w:fldCharType="separate"/>
          </w:r>
          <w:r>
            <w:rPr>
              <w:i w:val="0"/>
              <w:iCs w:val="0"/>
            </w:rPr>
            <w:t>64</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"_Toc107350638" </w:instrText>
          </w:r>
          <w:r>
            <w:fldChar w:fldCharType="separate"/>
          </w:r>
          <w:r>
            <w:rPr>
              <w:rStyle w:val="27"/>
              <w:i w:val="0"/>
              <w:iCs w:val="0"/>
            </w:rPr>
            <w:t>（二）发挥“自治”基础作用，激发基层社会活力</w:t>
          </w:r>
          <w:r>
            <w:rPr>
              <w:i w:val="0"/>
              <w:iCs w:val="0"/>
            </w:rPr>
            <w:tab/>
          </w:r>
          <w:r>
            <w:rPr>
              <w:i w:val="0"/>
              <w:iCs w:val="0"/>
            </w:rPr>
            <w:fldChar w:fldCharType="begin"/>
          </w:r>
          <w:r>
            <w:rPr>
              <w:i w:val="0"/>
              <w:iCs w:val="0"/>
            </w:rPr>
            <w:instrText xml:space="preserve"> PAGEREF _Toc107350638 \h </w:instrText>
          </w:r>
          <w:r>
            <w:rPr>
              <w:i w:val="0"/>
              <w:iCs w:val="0"/>
            </w:rPr>
            <w:fldChar w:fldCharType="separate"/>
          </w:r>
          <w:r>
            <w:rPr>
              <w:i w:val="0"/>
              <w:iCs w:val="0"/>
            </w:rPr>
            <w:t>65</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"_Toc107350639" </w:instrText>
          </w:r>
          <w:r>
            <w:fldChar w:fldCharType="separate"/>
          </w:r>
          <w:r>
            <w:rPr>
              <w:rStyle w:val="27"/>
              <w:i w:val="0"/>
              <w:iCs w:val="0"/>
            </w:rPr>
            <w:t>（三）发挥“法治”保障作用，推进基层依法治理</w:t>
          </w:r>
          <w:r>
            <w:rPr>
              <w:i w:val="0"/>
              <w:iCs w:val="0"/>
            </w:rPr>
            <w:tab/>
          </w:r>
          <w:r>
            <w:rPr>
              <w:i w:val="0"/>
              <w:iCs w:val="0"/>
            </w:rPr>
            <w:fldChar w:fldCharType="begin"/>
          </w:r>
          <w:r>
            <w:rPr>
              <w:i w:val="0"/>
              <w:iCs w:val="0"/>
            </w:rPr>
            <w:instrText xml:space="preserve"> PAGEREF _Toc107350639 \h </w:instrText>
          </w:r>
          <w:r>
            <w:rPr>
              <w:i w:val="0"/>
              <w:iCs w:val="0"/>
            </w:rPr>
            <w:fldChar w:fldCharType="separate"/>
          </w:r>
          <w:r>
            <w:rPr>
              <w:i w:val="0"/>
              <w:iCs w:val="0"/>
            </w:rPr>
            <w:t>67</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"_Toc107350640" </w:instrText>
          </w:r>
          <w:r>
            <w:fldChar w:fldCharType="separate"/>
          </w:r>
          <w:r>
            <w:rPr>
              <w:rStyle w:val="27"/>
              <w:i w:val="0"/>
              <w:iCs w:val="0"/>
            </w:rPr>
            <w:t>（四）发挥“德治”内化作用，促进基层和谐稳定</w:t>
          </w:r>
          <w:r>
            <w:rPr>
              <w:i w:val="0"/>
              <w:iCs w:val="0"/>
            </w:rPr>
            <w:tab/>
          </w:r>
          <w:r>
            <w:rPr>
              <w:i w:val="0"/>
              <w:iCs w:val="0"/>
            </w:rPr>
            <w:fldChar w:fldCharType="begin"/>
          </w:r>
          <w:r>
            <w:rPr>
              <w:i w:val="0"/>
              <w:iCs w:val="0"/>
            </w:rPr>
            <w:instrText xml:space="preserve"> PAGEREF _Toc107350640 \h </w:instrText>
          </w:r>
          <w:r>
            <w:rPr>
              <w:i w:val="0"/>
              <w:iCs w:val="0"/>
            </w:rPr>
            <w:fldChar w:fldCharType="separate"/>
          </w:r>
          <w:r>
            <w:rPr>
              <w:i w:val="0"/>
              <w:iCs w:val="0"/>
            </w:rPr>
            <w:t>67</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"_Toc107350641" </w:instrText>
          </w:r>
          <w:r>
            <w:fldChar w:fldCharType="separate"/>
          </w:r>
          <w:r>
            <w:rPr>
              <w:rStyle w:val="27"/>
              <w:i w:val="0"/>
              <w:iCs w:val="0"/>
            </w:rPr>
            <w:t>（五）发挥“智治”支撑作用，提高基层治理效率</w:t>
          </w:r>
          <w:r>
            <w:rPr>
              <w:i w:val="0"/>
              <w:iCs w:val="0"/>
            </w:rPr>
            <w:tab/>
          </w:r>
          <w:r>
            <w:rPr>
              <w:i w:val="0"/>
              <w:iCs w:val="0"/>
            </w:rPr>
            <w:fldChar w:fldCharType="begin"/>
          </w:r>
          <w:r>
            <w:rPr>
              <w:i w:val="0"/>
              <w:iCs w:val="0"/>
            </w:rPr>
            <w:instrText xml:space="preserve"> PAGEREF _Toc107350641 \h </w:instrText>
          </w:r>
          <w:r>
            <w:rPr>
              <w:i w:val="0"/>
              <w:iCs w:val="0"/>
            </w:rPr>
            <w:fldChar w:fldCharType="separate"/>
          </w:r>
          <w:r>
            <w:rPr>
              <w:i w:val="0"/>
              <w:iCs w:val="0"/>
            </w:rPr>
            <w:t>68</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"_Toc107350642" </w:instrText>
          </w:r>
          <w:r>
            <w:fldChar w:fldCharType="separate"/>
          </w:r>
          <w:r>
            <w:rPr>
              <w:rStyle w:val="27"/>
              <w:i w:val="0"/>
              <w:iCs w:val="0"/>
            </w:rPr>
            <w:t>（六）发挥“美治”提升作用，培育建设乡愁文化</w:t>
          </w:r>
          <w:r>
            <w:rPr>
              <w:i w:val="0"/>
              <w:iCs w:val="0"/>
            </w:rPr>
            <w:tab/>
          </w:r>
          <w:r>
            <w:rPr>
              <w:i w:val="0"/>
              <w:iCs w:val="0"/>
            </w:rPr>
            <w:fldChar w:fldCharType="begin"/>
          </w:r>
          <w:r>
            <w:rPr>
              <w:i w:val="0"/>
              <w:iCs w:val="0"/>
            </w:rPr>
            <w:instrText xml:space="preserve"> PAGEREF _Toc107350642 \h </w:instrText>
          </w:r>
          <w:r>
            <w:rPr>
              <w:i w:val="0"/>
              <w:iCs w:val="0"/>
            </w:rPr>
            <w:fldChar w:fldCharType="separate"/>
          </w:r>
          <w:r>
            <w:rPr>
              <w:i w:val="0"/>
              <w:iCs w:val="0"/>
            </w:rPr>
            <w:t>69</w:t>
          </w:r>
          <w:r>
            <w:rPr>
              <w:i w:val="0"/>
              <w:iCs w:val="0"/>
            </w:rPr>
            <w:fldChar w:fldCharType="end"/>
          </w:r>
          <w:r>
            <w:rPr>
              <w:i w:val="0"/>
              <w:iCs w:val="0"/>
            </w:rPr>
            <w:fldChar w:fldCharType="end"/>
          </w:r>
        </w:p>
        <w:p>
          <w:pPr>
            <w:pStyle w:val="15"/>
            <w:tabs>
              <w:tab w:val="right" w:leader="dot" w:pos="8296"/>
            </w:tabs>
            <w:ind w:firstLine="400"/>
            <w:rPr>
              <w:rFonts w:hAnsiTheme="minorHAnsi" w:eastAsiaTheme="minorEastAsia"/>
              <w:b w:val="0"/>
              <w:bCs w:val="0"/>
              <w:caps w:val="0"/>
              <w:sz w:val="21"/>
              <w:szCs w:val="22"/>
            </w:rPr>
          </w:pPr>
          <w:r>
            <w:fldChar w:fldCharType="begin"/>
          </w:r>
          <w:r>
            <w:instrText xml:space="preserve"> HYPERLINK \l "_Toc107350643" </w:instrText>
          </w:r>
          <w:r>
            <w:fldChar w:fldCharType="separate"/>
          </w:r>
          <w:r>
            <w:rPr>
              <w:rStyle w:val="27"/>
              <w:rFonts w:ascii="仿宋" w:hAnsi="仿宋"/>
            </w:rPr>
            <w:t>第八章 重点提升工程</w:t>
          </w:r>
          <w:r>
            <w:tab/>
          </w:r>
          <w:r>
            <w:fldChar w:fldCharType="begin"/>
          </w:r>
          <w:r>
            <w:instrText xml:space="preserve"> PAGEREF _Toc107350643 \h </w:instrText>
          </w:r>
          <w:r>
            <w:fldChar w:fldCharType="separate"/>
          </w:r>
          <w:r>
            <w:t>71</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"_Toc107350644" </w:instrText>
          </w:r>
          <w:r>
            <w:fldChar w:fldCharType="separate"/>
          </w:r>
          <w:r>
            <w:rPr>
              <w:rStyle w:val="27"/>
            </w:rPr>
            <w:t>一、农业基础设施与现代农业装备工程</w:t>
          </w:r>
          <w:r>
            <w:tab/>
          </w:r>
          <w:r>
            <w:fldChar w:fldCharType="begin"/>
          </w:r>
          <w:r>
            <w:instrText xml:space="preserve"> PAGEREF _Toc107350644 \h </w:instrText>
          </w:r>
          <w:r>
            <w:fldChar w:fldCharType="separate"/>
          </w:r>
          <w:r>
            <w:t>71</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"_Toc107350645" </w:instrText>
          </w:r>
          <w:r>
            <w:fldChar w:fldCharType="separate"/>
          </w:r>
          <w:r>
            <w:rPr>
              <w:rStyle w:val="27"/>
              <w:i w:val="0"/>
              <w:iCs w:val="0"/>
            </w:rPr>
            <w:t>（一）加强高标准农田建设</w:t>
          </w:r>
          <w:r>
            <w:rPr>
              <w:i w:val="0"/>
              <w:iCs w:val="0"/>
            </w:rPr>
            <w:tab/>
          </w:r>
          <w:r>
            <w:rPr>
              <w:i w:val="0"/>
              <w:iCs w:val="0"/>
            </w:rPr>
            <w:fldChar w:fldCharType="begin"/>
          </w:r>
          <w:r>
            <w:rPr>
              <w:i w:val="0"/>
              <w:iCs w:val="0"/>
            </w:rPr>
            <w:instrText xml:space="preserve"> PAGEREF _Toc107350645 \h </w:instrText>
          </w:r>
          <w:r>
            <w:rPr>
              <w:i w:val="0"/>
              <w:iCs w:val="0"/>
            </w:rPr>
            <w:fldChar w:fldCharType="separate"/>
          </w:r>
          <w:r>
            <w:rPr>
              <w:i w:val="0"/>
              <w:iCs w:val="0"/>
            </w:rPr>
            <w:t>71</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"_Toc107350646" </w:instrText>
          </w:r>
          <w:r>
            <w:fldChar w:fldCharType="separate"/>
          </w:r>
          <w:r>
            <w:rPr>
              <w:rStyle w:val="27"/>
              <w:i w:val="0"/>
              <w:iCs w:val="0"/>
            </w:rPr>
            <w:t>（二）养殖场标准化改造工程</w:t>
          </w:r>
          <w:r>
            <w:rPr>
              <w:i w:val="0"/>
              <w:iCs w:val="0"/>
            </w:rPr>
            <w:tab/>
          </w:r>
          <w:r>
            <w:rPr>
              <w:i w:val="0"/>
              <w:iCs w:val="0"/>
            </w:rPr>
            <w:fldChar w:fldCharType="begin"/>
          </w:r>
          <w:r>
            <w:rPr>
              <w:i w:val="0"/>
              <w:iCs w:val="0"/>
            </w:rPr>
            <w:instrText xml:space="preserve"> PAGEREF _Toc107350646 \h </w:instrText>
          </w:r>
          <w:r>
            <w:rPr>
              <w:i w:val="0"/>
              <w:iCs w:val="0"/>
            </w:rPr>
            <w:fldChar w:fldCharType="separate"/>
          </w:r>
          <w:r>
            <w:rPr>
              <w:i w:val="0"/>
              <w:iCs w:val="0"/>
            </w:rPr>
            <w:t>71</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"_Toc107350647" </w:instrText>
          </w:r>
          <w:r>
            <w:fldChar w:fldCharType="separate"/>
          </w:r>
          <w:r>
            <w:rPr>
              <w:rStyle w:val="27"/>
              <w:i w:val="0"/>
              <w:iCs w:val="0"/>
            </w:rPr>
            <w:t>（三）万亩茶叶种植基地建设工程</w:t>
          </w:r>
          <w:r>
            <w:rPr>
              <w:i w:val="0"/>
              <w:iCs w:val="0"/>
            </w:rPr>
            <w:tab/>
          </w:r>
          <w:r>
            <w:rPr>
              <w:i w:val="0"/>
              <w:iCs w:val="0"/>
            </w:rPr>
            <w:fldChar w:fldCharType="begin"/>
          </w:r>
          <w:r>
            <w:rPr>
              <w:i w:val="0"/>
              <w:iCs w:val="0"/>
            </w:rPr>
            <w:instrText xml:space="preserve"> PAGEREF _Toc107350647 \h </w:instrText>
          </w:r>
          <w:r>
            <w:rPr>
              <w:i w:val="0"/>
              <w:iCs w:val="0"/>
            </w:rPr>
            <w:fldChar w:fldCharType="separate"/>
          </w:r>
          <w:r>
            <w:rPr>
              <w:i w:val="0"/>
              <w:iCs w:val="0"/>
            </w:rPr>
            <w:t>72</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"_Toc107350648" </w:instrText>
          </w:r>
          <w:r>
            <w:fldChar w:fldCharType="separate"/>
          </w:r>
          <w:r>
            <w:rPr>
              <w:rStyle w:val="27"/>
              <w:i w:val="0"/>
              <w:iCs w:val="0"/>
            </w:rPr>
            <w:t>（四）南药标准化种植示范基地建设工程</w:t>
          </w:r>
          <w:r>
            <w:rPr>
              <w:i w:val="0"/>
              <w:iCs w:val="0"/>
            </w:rPr>
            <w:tab/>
          </w:r>
          <w:r>
            <w:rPr>
              <w:i w:val="0"/>
              <w:iCs w:val="0"/>
            </w:rPr>
            <w:fldChar w:fldCharType="begin"/>
          </w:r>
          <w:r>
            <w:rPr>
              <w:i w:val="0"/>
              <w:iCs w:val="0"/>
            </w:rPr>
            <w:instrText xml:space="preserve"> PAGEREF _Toc107350648 \h </w:instrText>
          </w:r>
          <w:r>
            <w:rPr>
              <w:i w:val="0"/>
              <w:iCs w:val="0"/>
            </w:rPr>
            <w:fldChar w:fldCharType="separate"/>
          </w:r>
          <w:r>
            <w:rPr>
              <w:i w:val="0"/>
              <w:iCs w:val="0"/>
            </w:rPr>
            <w:t>72</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"_Toc107350649" </w:instrText>
          </w:r>
          <w:r>
            <w:fldChar w:fldCharType="separate"/>
          </w:r>
          <w:r>
            <w:rPr>
              <w:rStyle w:val="27"/>
              <w:i w:val="0"/>
              <w:iCs w:val="0"/>
            </w:rPr>
            <w:t>（五）花卉数字化种植示范基地建设工程</w:t>
          </w:r>
          <w:r>
            <w:rPr>
              <w:i w:val="0"/>
              <w:iCs w:val="0"/>
            </w:rPr>
            <w:tab/>
          </w:r>
          <w:r>
            <w:rPr>
              <w:i w:val="0"/>
              <w:iCs w:val="0"/>
            </w:rPr>
            <w:fldChar w:fldCharType="begin"/>
          </w:r>
          <w:r>
            <w:rPr>
              <w:i w:val="0"/>
              <w:iCs w:val="0"/>
            </w:rPr>
            <w:instrText xml:space="preserve"> PAGEREF _Toc107350649 \h </w:instrText>
          </w:r>
          <w:r>
            <w:rPr>
              <w:i w:val="0"/>
              <w:iCs w:val="0"/>
            </w:rPr>
            <w:fldChar w:fldCharType="separate"/>
          </w:r>
          <w:r>
            <w:rPr>
              <w:i w:val="0"/>
              <w:iCs w:val="0"/>
            </w:rPr>
            <w:t>73</w:t>
          </w:r>
          <w:r>
            <w:rPr>
              <w:i w:val="0"/>
              <w:iCs w:val="0"/>
            </w:rPr>
            <w:fldChar w:fldCharType="end"/>
          </w:r>
          <w:r>
            <w:rPr>
              <w:i w:val="0"/>
              <w:iCs w:val="0"/>
            </w:rP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"_Toc107350650" </w:instrText>
          </w:r>
          <w:r>
            <w:fldChar w:fldCharType="separate"/>
          </w:r>
          <w:r>
            <w:rPr>
              <w:rStyle w:val="27"/>
            </w:rPr>
            <w:t>二、现代农业产业化提升工程</w:t>
          </w:r>
          <w:r>
            <w:tab/>
          </w:r>
          <w:r>
            <w:fldChar w:fldCharType="begin"/>
          </w:r>
          <w:r>
            <w:instrText xml:space="preserve"> PAGEREF _Toc107350650 \h </w:instrText>
          </w:r>
          <w:r>
            <w:fldChar w:fldCharType="separate"/>
          </w:r>
          <w:r>
            <w:t>74</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"_Toc107350651" </w:instrText>
          </w:r>
          <w:r>
            <w:fldChar w:fldCharType="separate"/>
          </w:r>
          <w:r>
            <w:rPr>
              <w:rStyle w:val="27"/>
              <w:i w:val="0"/>
              <w:iCs w:val="0"/>
            </w:rPr>
            <w:t>（一）新品种培育示范推广工程</w:t>
          </w:r>
          <w:r>
            <w:rPr>
              <w:i w:val="0"/>
              <w:iCs w:val="0"/>
            </w:rPr>
            <w:tab/>
          </w:r>
          <w:r>
            <w:rPr>
              <w:i w:val="0"/>
              <w:iCs w:val="0"/>
            </w:rPr>
            <w:fldChar w:fldCharType="begin"/>
          </w:r>
          <w:r>
            <w:rPr>
              <w:i w:val="0"/>
              <w:iCs w:val="0"/>
            </w:rPr>
            <w:instrText xml:space="preserve"> PAGEREF _Toc107350651 \h </w:instrText>
          </w:r>
          <w:r>
            <w:rPr>
              <w:i w:val="0"/>
              <w:iCs w:val="0"/>
            </w:rPr>
            <w:fldChar w:fldCharType="separate"/>
          </w:r>
          <w:r>
            <w:rPr>
              <w:i w:val="0"/>
              <w:iCs w:val="0"/>
            </w:rPr>
            <w:t>74</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"_Toc107350652" </w:instrText>
          </w:r>
          <w:r>
            <w:fldChar w:fldCharType="separate"/>
          </w:r>
          <w:r>
            <w:rPr>
              <w:rStyle w:val="27"/>
              <w:i w:val="0"/>
              <w:iCs w:val="0"/>
            </w:rPr>
            <w:t>（二）农产品精深加工建设工程</w:t>
          </w:r>
          <w:r>
            <w:rPr>
              <w:i w:val="0"/>
              <w:iCs w:val="0"/>
            </w:rPr>
            <w:tab/>
          </w:r>
          <w:r>
            <w:rPr>
              <w:i w:val="0"/>
              <w:iCs w:val="0"/>
            </w:rPr>
            <w:fldChar w:fldCharType="begin"/>
          </w:r>
          <w:r>
            <w:rPr>
              <w:i w:val="0"/>
              <w:iCs w:val="0"/>
            </w:rPr>
            <w:instrText xml:space="preserve"> PAGEREF _Toc107350652 \h </w:instrText>
          </w:r>
          <w:r>
            <w:rPr>
              <w:i w:val="0"/>
              <w:iCs w:val="0"/>
            </w:rPr>
            <w:fldChar w:fldCharType="separate"/>
          </w:r>
          <w:r>
            <w:rPr>
              <w:i w:val="0"/>
              <w:iCs w:val="0"/>
            </w:rPr>
            <w:t>75</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"_Toc107350653" </w:instrText>
          </w:r>
          <w:r>
            <w:fldChar w:fldCharType="separate"/>
          </w:r>
          <w:r>
            <w:rPr>
              <w:rStyle w:val="27"/>
              <w:i w:val="0"/>
              <w:iCs w:val="0"/>
            </w:rPr>
            <w:t>（三）农产品冷链物流配送工程</w:t>
          </w:r>
          <w:r>
            <w:rPr>
              <w:i w:val="0"/>
              <w:iCs w:val="0"/>
            </w:rPr>
            <w:tab/>
          </w:r>
          <w:r>
            <w:rPr>
              <w:i w:val="0"/>
              <w:iCs w:val="0"/>
            </w:rPr>
            <w:fldChar w:fldCharType="begin"/>
          </w:r>
          <w:r>
            <w:rPr>
              <w:i w:val="0"/>
              <w:iCs w:val="0"/>
            </w:rPr>
            <w:instrText xml:space="preserve"> PAGEREF _Toc107350653 \h </w:instrText>
          </w:r>
          <w:r>
            <w:rPr>
              <w:i w:val="0"/>
              <w:iCs w:val="0"/>
            </w:rPr>
            <w:fldChar w:fldCharType="separate"/>
          </w:r>
          <w:r>
            <w:rPr>
              <w:i w:val="0"/>
              <w:iCs w:val="0"/>
            </w:rPr>
            <w:t>75</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"_Toc107350654" </w:instrText>
          </w:r>
          <w:r>
            <w:fldChar w:fldCharType="separate"/>
          </w:r>
          <w:r>
            <w:rPr>
              <w:rStyle w:val="27"/>
              <w:i w:val="0"/>
              <w:iCs w:val="0"/>
            </w:rPr>
            <w:t>（四）博罗县畜禽屠宰产业化建设项目工程</w:t>
          </w:r>
          <w:r>
            <w:rPr>
              <w:i w:val="0"/>
              <w:iCs w:val="0"/>
            </w:rPr>
            <w:tab/>
          </w:r>
          <w:r>
            <w:rPr>
              <w:i w:val="0"/>
              <w:iCs w:val="0"/>
            </w:rPr>
            <w:fldChar w:fldCharType="begin"/>
          </w:r>
          <w:r>
            <w:rPr>
              <w:i w:val="0"/>
              <w:iCs w:val="0"/>
            </w:rPr>
            <w:instrText xml:space="preserve"> PAGEREF _Toc107350654 \h </w:instrText>
          </w:r>
          <w:r>
            <w:rPr>
              <w:i w:val="0"/>
              <w:iCs w:val="0"/>
            </w:rPr>
            <w:fldChar w:fldCharType="separate"/>
          </w:r>
          <w:r>
            <w:rPr>
              <w:i w:val="0"/>
              <w:iCs w:val="0"/>
            </w:rPr>
            <w:t>75</w:t>
          </w:r>
          <w:r>
            <w:rPr>
              <w:i w:val="0"/>
              <w:iCs w:val="0"/>
            </w:rPr>
            <w:fldChar w:fldCharType="end"/>
          </w:r>
          <w:r>
            <w:rPr>
              <w:i w:val="0"/>
              <w:iCs w:val="0"/>
            </w:rP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"_Toc107350655" </w:instrText>
          </w:r>
          <w:r>
            <w:fldChar w:fldCharType="separate"/>
          </w:r>
          <w:r>
            <w:rPr>
              <w:rStyle w:val="27"/>
            </w:rPr>
            <w:t>三、休闲农业与乡村旅游提升工程</w:t>
          </w:r>
          <w:r>
            <w:tab/>
          </w:r>
          <w:r>
            <w:fldChar w:fldCharType="begin"/>
          </w:r>
          <w:r>
            <w:instrText xml:space="preserve"> PAGEREF _Toc107350655 \h </w:instrText>
          </w:r>
          <w:r>
            <w:fldChar w:fldCharType="separate"/>
          </w:r>
          <w:r>
            <w:t>77</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"_Toc107350656" </w:instrText>
          </w:r>
          <w:r>
            <w:fldChar w:fldCharType="separate"/>
          </w:r>
          <w:r>
            <w:rPr>
              <w:rStyle w:val="27"/>
              <w:i w:val="0"/>
              <w:iCs w:val="0"/>
            </w:rPr>
            <w:t>（一）全面提升旅游接待水平</w:t>
          </w:r>
          <w:r>
            <w:rPr>
              <w:i w:val="0"/>
              <w:iCs w:val="0"/>
            </w:rPr>
            <w:tab/>
          </w:r>
          <w:r>
            <w:rPr>
              <w:i w:val="0"/>
              <w:iCs w:val="0"/>
            </w:rPr>
            <w:fldChar w:fldCharType="begin"/>
          </w:r>
          <w:r>
            <w:rPr>
              <w:i w:val="0"/>
              <w:iCs w:val="0"/>
            </w:rPr>
            <w:instrText xml:space="preserve"> PAGEREF _Toc107350656 \h </w:instrText>
          </w:r>
          <w:r>
            <w:rPr>
              <w:i w:val="0"/>
              <w:iCs w:val="0"/>
            </w:rPr>
            <w:fldChar w:fldCharType="separate"/>
          </w:r>
          <w:r>
            <w:rPr>
              <w:i w:val="0"/>
              <w:iCs w:val="0"/>
            </w:rPr>
            <w:t>77</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"_Toc107350657" </w:instrText>
          </w:r>
          <w:r>
            <w:fldChar w:fldCharType="separate"/>
          </w:r>
          <w:r>
            <w:rPr>
              <w:rStyle w:val="27"/>
              <w:i w:val="0"/>
              <w:iCs w:val="0"/>
            </w:rPr>
            <w:t>（二）历史文化名村保护和推广</w:t>
          </w:r>
          <w:r>
            <w:rPr>
              <w:i w:val="0"/>
              <w:iCs w:val="0"/>
            </w:rPr>
            <w:tab/>
          </w:r>
          <w:r>
            <w:rPr>
              <w:i w:val="0"/>
              <w:iCs w:val="0"/>
            </w:rPr>
            <w:fldChar w:fldCharType="begin"/>
          </w:r>
          <w:r>
            <w:rPr>
              <w:i w:val="0"/>
              <w:iCs w:val="0"/>
            </w:rPr>
            <w:instrText xml:space="preserve"> PAGEREF _Toc107350657 \h </w:instrText>
          </w:r>
          <w:r>
            <w:rPr>
              <w:i w:val="0"/>
              <w:iCs w:val="0"/>
            </w:rPr>
            <w:fldChar w:fldCharType="separate"/>
          </w:r>
          <w:r>
            <w:rPr>
              <w:i w:val="0"/>
              <w:iCs w:val="0"/>
            </w:rPr>
            <w:t>77</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"_Toc107350658" </w:instrText>
          </w:r>
          <w:r>
            <w:fldChar w:fldCharType="separate"/>
          </w:r>
          <w:r>
            <w:rPr>
              <w:rStyle w:val="27"/>
              <w:i w:val="0"/>
              <w:iCs w:val="0"/>
            </w:rPr>
            <w:t>（三）推广创新乡村旅游产品</w:t>
          </w:r>
          <w:r>
            <w:rPr>
              <w:i w:val="0"/>
              <w:iCs w:val="0"/>
            </w:rPr>
            <w:tab/>
          </w:r>
          <w:r>
            <w:rPr>
              <w:i w:val="0"/>
              <w:iCs w:val="0"/>
            </w:rPr>
            <w:fldChar w:fldCharType="begin"/>
          </w:r>
          <w:r>
            <w:rPr>
              <w:i w:val="0"/>
              <w:iCs w:val="0"/>
            </w:rPr>
            <w:instrText xml:space="preserve"> PAGEREF _Toc107350658 \h </w:instrText>
          </w:r>
          <w:r>
            <w:rPr>
              <w:i w:val="0"/>
              <w:iCs w:val="0"/>
            </w:rPr>
            <w:fldChar w:fldCharType="separate"/>
          </w:r>
          <w:r>
            <w:rPr>
              <w:i w:val="0"/>
              <w:iCs w:val="0"/>
            </w:rPr>
            <w:t>78</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"_Toc107350659" </w:instrText>
          </w:r>
          <w:r>
            <w:fldChar w:fldCharType="separate"/>
          </w:r>
          <w:r>
            <w:rPr>
              <w:rStyle w:val="27"/>
              <w:i w:val="0"/>
              <w:iCs w:val="0"/>
            </w:rPr>
            <w:t>（四）推进乡村旅游标准化体系建设</w:t>
          </w:r>
          <w:r>
            <w:rPr>
              <w:i w:val="0"/>
              <w:iCs w:val="0"/>
            </w:rPr>
            <w:tab/>
          </w:r>
          <w:r>
            <w:rPr>
              <w:i w:val="0"/>
              <w:iCs w:val="0"/>
            </w:rPr>
            <w:fldChar w:fldCharType="begin"/>
          </w:r>
          <w:r>
            <w:rPr>
              <w:i w:val="0"/>
              <w:iCs w:val="0"/>
            </w:rPr>
            <w:instrText xml:space="preserve"> PAGEREF _Toc107350659 \h </w:instrText>
          </w:r>
          <w:r>
            <w:rPr>
              <w:i w:val="0"/>
              <w:iCs w:val="0"/>
            </w:rPr>
            <w:fldChar w:fldCharType="separate"/>
          </w:r>
          <w:r>
            <w:rPr>
              <w:i w:val="0"/>
              <w:iCs w:val="0"/>
            </w:rPr>
            <w:t>78</w:t>
          </w:r>
          <w:r>
            <w:rPr>
              <w:i w:val="0"/>
              <w:iCs w:val="0"/>
            </w:rPr>
            <w:fldChar w:fldCharType="end"/>
          </w:r>
          <w:r>
            <w:rPr>
              <w:i w:val="0"/>
              <w:iCs w:val="0"/>
            </w:rP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"_Toc107350660" </w:instrText>
          </w:r>
          <w:r>
            <w:fldChar w:fldCharType="separate"/>
          </w:r>
          <w:r>
            <w:rPr>
              <w:rStyle w:val="27"/>
            </w:rPr>
            <w:t>四、农业科技创新工程</w:t>
          </w:r>
          <w:r>
            <w:tab/>
          </w:r>
          <w:r>
            <w:fldChar w:fldCharType="begin"/>
          </w:r>
          <w:r>
            <w:instrText xml:space="preserve"> PAGEREF _Toc107350660 \h </w:instrText>
          </w:r>
          <w:r>
            <w:fldChar w:fldCharType="separate"/>
          </w:r>
          <w:r>
            <w:t>79</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"_Toc107350661" </w:instrText>
          </w:r>
          <w:r>
            <w:fldChar w:fldCharType="separate"/>
          </w:r>
          <w:r>
            <w:rPr>
              <w:rStyle w:val="27"/>
              <w:i w:val="0"/>
              <w:iCs w:val="0"/>
            </w:rPr>
            <w:t>（一）加强科研成果创新转化</w:t>
          </w:r>
          <w:r>
            <w:rPr>
              <w:i w:val="0"/>
              <w:iCs w:val="0"/>
            </w:rPr>
            <w:tab/>
          </w:r>
          <w:r>
            <w:rPr>
              <w:i w:val="0"/>
              <w:iCs w:val="0"/>
            </w:rPr>
            <w:fldChar w:fldCharType="begin"/>
          </w:r>
          <w:r>
            <w:rPr>
              <w:i w:val="0"/>
              <w:iCs w:val="0"/>
            </w:rPr>
            <w:instrText xml:space="preserve"> PAGEREF _Toc107350661 \h </w:instrText>
          </w:r>
          <w:r>
            <w:rPr>
              <w:i w:val="0"/>
              <w:iCs w:val="0"/>
            </w:rPr>
            <w:fldChar w:fldCharType="separate"/>
          </w:r>
          <w:r>
            <w:rPr>
              <w:i w:val="0"/>
              <w:iCs w:val="0"/>
            </w:rPr>
            <w:t>79</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"_Toc107350662" </w:instrText>
          </w:r>
          <w:r>
            <w:fldChar w:fldCharType="separate"/>
          </w:r>
          <w:r>
            <w:rPr>
              <w:rStyle w:val="27"/>
              <w:i w:val="0"/>
              <w:iCs w:val="0"/>
            </w:rPr>
            <w:t>（二）建设农业大数据平台</w:t>
          </w:r>
          <w:r>
            <w:rPr>
              <w:i w:val="0"/>
              <w:iCs w:val="0"/>
            </w:rPr>
            <w:tab/>
          </w:r>
          <w:r>
            <w:rPr>
              <w:i w:val="0"/>
              <w:iCs w:val="0"/>
            </w:rPr>
            <w:fldChar w:fldCharType="begin"/>
          </w:r>
          <w:r>
            <w:rPr>
              <w:i w:val="0"/>
              <w:iCs w:val="0"/>
            </w:rPr>
            <w:instrText xml:space="preserve"> PAGEREF _Toc107350662 \h </w:instrText>
          </w:r>
          <w:r>
            <w:rPr>
              <w:i w:val="0"/>
              <w:iCs w:val="0"/>
            </w:rPr>
            <w:fldChar w:fldCharType="separate"/>
          </w:r>
          <w:r>
            <w:rPr>
              <w:i w:val="0"/>
              <w:iCs w:val="0"/>
            </w:rPr>
            <w:t>79</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"_Toc107350663" </w:instrText>
          </w:r>
          <w:r>
            <w:fldChar w:fldCharType="separate"/>
          </w:r>
          <w:r>
            <w:rPr>
              <w:rStyle w:val="27"/>
              <w:i w:val="0"/>
              <w:iCs w:val="0"/>
            </w:rPr>
            <w:t>（三）建立智慧农业示范基地</w:t>
          </w:r>
          <w:r>
            <w:rPr>
              <w:i w:val="0"/>
              <w:iCs w:val="0"/>
            </w:rPr>
            <w:tab/>
          </w:r>
          <w:r>
            <w:rPr>
              <w:i w:val="0"/>
              <w:iCs w:val="0"/>
            </w:rPr>
            <w:fldChar w:fldCharType="begin"/>
          </w:r>
          <w:r>
            <w:rPr>
              <w:i w:val="0"/>
              <w:iCs w:val="0"/>
            </w:rPr>
            <w:instrText xml:space="preserve"> PAGEREF _Toc107350663 \h </w:instrText>
          </w:r>
          <w:r>
            <w:rPr>
              <w:i w:val="0"/>
              <w:iCs w:val="0"/>
            </w:rPr>
            <w:fldChar w:fldCharType="separate"/>
          </w:r>
          <w:r>
            <w:rPr>
              <w:i w:val="0"/>
              <w:iCs w:val="0"/>
            </w:rPr>
            <w:t>79</w:t>
          </w:r>
          <w:r>
            <w:rPr>
              <w:i w:val="0"/>
              <w:iCs w:val="0"/>
            </w:rPr>
            <w:fldChar w:fldCharType="end"/>
          </w:r>
          <w:r>
            <w:rPr>
              <w:i w:val="0"/>
              <w:iCs w:val="0"/>
            </w:rP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"_Toc107350664" </w:instrText>
          </w:r>
          <w:r>
            <w:fldChar w:fldCharType="separate"/>
          </w:r>
          <w:r>
            <w:rPr>
              <w:rStyle w:val="27"/>
            </w:rPr>
            <w:t>五、品牌提升工程</w:t>
          </w:r>
          <w:r>
            <w:tab/>
          </w:r>
          <w:r>
            <w:fldChar w:fldCharType="begin"/>
          </w:r>
          <w:r>
            <w:instrText xml:space="preserve"> PAGEREF _Toc107350664 \h </w:instrText>
          </w:r>
          <w:r>
            <w:fldChar w:fldCharType="separate"/>
          </w:r>
          <w:r>
            <w:t>80</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"_Toc107350665" </w:instrText>
          </w:r>
          <w:r>
            <w:fldChar w:fldCharType="separate"/>
          </w:r>
          <w:r>
            <w:rPr>
              <w:rStyle w:val="27"/>
              <w:i w:val="0"/>
              <w:iCs w:val="0"/>
            </w:rPr>
            <w:t>（一）创建区域公共品牌</w:t>
          </w:r>
          <w:r>
            <w:rPr>
              <w:i w:val="0"/>
              <w:iCs w:val="0"/>
            </w:rPr>
            <w:tab/>
          </w:r>
          <w:r>
            <w:rPr>
              <w:i w:val="0"/>
              <w:iCs w:val="0"/>
            </w:rPr>
            <w:fldChar w:fldCharType="begin"/>
          </w:r>
          <w:r>
            <w:rPr>
              <w:i w:val="0"/>
              <w:iCs w:val="0"/>
            </w:rPr>
            <w:instrText xml:space="preserve"> PAGEREF _Toc107350665 \h </w:instrText>
          </w:r>
          <w:r>
            <w:rPr>
              <w:i w:val="0"/>
              <w:iCs w:val="0"/>
            </w:rPr>
            <w:fldChar w:fldCharType="separate"/>
          </w:r>
          <w:r>
            <w:rPr>
              <w:i w:val="0"/>
              <w:iCs w:val="0"/>
            </w:rPr>
            <w:t>80</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"_Toc107350666" </w:instrText>
          </w:r>
          <w:r>
            <w:fldChar w:fldCharType="separate"/>
          </w:r>
          <w:r>
            <w:rPr>
              <w:rStyle w:val="27"/>
              <w:i w:val="0"/>
              <w:iCs w:val="0"/>
            </w:rPr>
            <w:t>（二）品牌建设和推广</w:t>
          </w:r>
          <w:r>
            <w:rPr>
              <w:i w:val="0"/>
              <w:iCs w:val="0"/>
            </w:rPr>
            <w:tab/>
          </w:r>
          <w:r>
            <w:rPr>
              <w:i w:val="0"/>
              <w:iCs w:val="0"/>
            </w:rPr>
            <w:fldChar w:fldCharType="begin"/>
          </w:r>
          <w:r>
            <w:rPr>
              <w:i w:val="0"/>
              <w:iCs w:val="0"/>
            </w:rPr>
            <w:instrText xml:space="preserve"> PAGEREF _Toc107350666 \h </w:instrText>
          </w:r>
          <w:r>
            <w:rPr>
              <w:i w:val="0"/>
              <w:iCs w:val="0"/>
            </w:rPr>
            <w:fldChar w:fldCharType="separate"/>
          </w:r>
          <w:r>
            <w:rPr>
              <w:i w:val="0"/>
              <w:iCs w:val="0"/>
            </w:rPr>
            <w:t>81</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"_Toc107350667" </w:instrText>
          </w:r>
          <w:r>
            <w:fldChar w:fldCharType="separate"/>
          </w:r>
          <w:r>
            <w:rPr>
              <w:rStyle w:val="27"/>
              <w:i w:val="0"/>
              <w:iCs w:val="0"/>
            </w:rPr>
            <w:t>（三）创建农产品数字化监管体系</w:t>
          </w:r>
          <w:r>
            <w:rPr>
              <w:i w:val="0"/>
              <w:iCs w:val="0"/>
            </w:rPr>
            <w:tab/>
          </w:r>
          <w:r>
            <w:rPr>
              <w:i w:val="0"/>
              <w:iCs w:val="0"/>
            </w:rPr>
            <w:fldChar w:fldCharType="begin"/>
          </w:r>
          <w:r>
            <w:rPr>
              <w:i w:val="0"/>
              <w:iCs w:val="0"/>
            </w:rPr>
            <w:instrText xml:space="preserve"> PAGEREF _Toc107350667 \h </w:instrText>
          </w:r>
          <w:r>
            <w:rPr>
              <w:i w:val="0"/>
              <w:iCs w:val="0"/>
            </w:rPr>
            <w:fldChar w:fldCharType="separate"/>
          </w:r>
          <w:r>
            <w:rPr>
              <w:i w:val="0"/>
              <w:iCs w:val="0"/>
            </w:rPr>
            <w:t>81</w:t>
          </w:r>
          <w:r>
            <w:rPr>
              <w:i w:val="0"/>
              <w:iCs w:val="0"/>
            </w:rPr>
            <w:fldChar w:fldCharType="end"/>
          </w:r>
          <w:r>
            <w:rPr>
              <w:i w:val="0"/>
              <w:iCs w:val="0"/>
            </w:rP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"_Toc107350668" </w:instrText>
          </w:r>
          <w:r>
            <w:fldChar w:fldCharType="separate"/>
          </w:r>
          <w:r>
            <w:rPr>
              <w:rStyle w:val="27"/>
            </w:rPr>
            <w:t>六、农业绿色发展工程</w:t>
          </w:r>
          <w:r>
            <w:tab/>
          </w:r>
          <w:r>
            <w:fldChar w:fldCharType="begin"/>
          </w:r>
          <w:r>
            <w:instrText xml:space="preserve"> PAGEREF _Toc107350668 \h </w:instrText>
          </w:r>
          <w:r>
            <w:fldChar w:fldCharType="separate"/>
          </w:r>
          <w:r>
            <w:t>82</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"_Toc107350669" </w:instrText>
          </w:r>
          <w:r>
            <w:fldChar w:fldCharType="separate"/>
          </w:r>
          <w:r>
            <w:rPr>
              <w:rStyle w:val="27"/>
              <w:i w:val="0"/>
              <w:iCs w:val="0"/>
            </w:rPr>
            <w:t>（一）畜禽粪污资源化利用整县推进项目</w:t>
          </w:r>
          <w:r>
            <w:rPr>
              <w:i w:val="0"/>
              <w:iCs w:val="0"/>
            </w:rPr>
            <w:tab/>
          </w:r>
          <w:r>
            <w:rPr>
              <w:i w:val="0"/>
              <w:iCs w:val="0"/>
            </w:rPr>
            <w:fldChar w:fldCharType="begin"/>
          </w:r>
          <w:r>
            <w:rPr>
              <w:i w:val="0"/>
              <w:iCs w:val="0"/>
            </w:rPr>
            <w:instrText xml:space="preserve"> PAGEREF _Toc107350669 \h </w:instrText>
          </w:r>
          <w:r>
            <w:rPr>
              <w:i w:val="0"/>
              <w:iCs w:val="0"/>
            </w:rPr>
            <w:fldChar w:fldCharType="separate"/>
          </w:r>
          <w:r>
            <w:rPr>
              <w:i w:val="0"/>
              <w:iCs w:val="0"/>
            </w:rPr>
            <w:t>82</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"_Toc107350670" </w:instrText>
          </w:r>
          <w:r>
            <w:fldChar w:fldCharType="separate"/>
          </w:r>
          <w:r>
            <w:rPr>
              <w:rStyle w:val="27"/>
              <w:i w:val="0"/>
              <w:iCs w:val="0"/>
            </w:rPr>
            <w:t>（二）推进环境友好型种植业示范工程</w:t>
          </w:r>
          <w:r>
            <w:rPr>
              <w:i w:val="0"/>
              <w:iCs w:val="0"/>
            </w:rPr>
            <w:tab/>
          </w:r>
          <w:r>
            <w:rPr>
              <w:i w:val="0"/>
              <w:iCs w:val="0"/>
            </w:rPr>
            <w:fldChar w:fldCharType="begin"/>
          </w:r>
          <w:r>
            <w:rPr>
              <w:i w:val="0"/>
              <w:iCs w:val="0"/>
            </w:rPr>
            <w:instrText xml:space="preserve"> PAGEREF _Toc107350670 \h </w:instrText>
          </w:r>
          <w:r>
            <w:rPr>
              <w:i w:val="0"/>
              <w:iCs w:val="0"/>
            </w:rPr>
            <w:fldChar w:fldCharType="separate"/>
          </w:r>
          <w:r>
            <w:rPr>
              <w:i w:val="0"/>
              <w:iCs w:val="0"/>
            </w:rPr>
            <w:t>82</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"_Toc107350671" </w:instrText>
          </w:r>
          <w:r>
            <w:fldChar w:fldCharType="separate"/>
          </w:r>
          <w:r>
            <w:rPr>
              <w:rStyle w:val="27"/>
              <w:i w:val="0"/>
              <w:iCs w:val="0"/>
            </w:rPr>
            <w:t>（三）设施化陆基循环水养殖模式示范工程</w:t>
          </w:r>
          <w:r>
            <w:rPr>
              <w:i w:val="0"/>
              <w:iCs w:val="0"/>
            </w:rPr>
            <w:tab/>
          </w:r>
          <w:r>
            <w:rPr>
              <w:i w:val="0"/>
              <w:iCs w:val="0"/>
            </w:rPr>
            <w:fldChar w:fldCharType="begin"/>
          </w:r>
          <w:r>
            <w:rPr>
              <w:i w:val="0"/>
              <w:iCs w:val="0"/>
            </w:rPr>
            <w:instrText xml:space="preserve"> PAGEREF _Toc107350671 \h </w:instrText>
          </w:r>
          <w:r>
            <w:rPr>
              <w:i w:val="0"/>
              <w:iCs w:val="0"/>
            </w:rPr>
            <w:fldChar w:fldCharType="separate"/>
          </w:r>
          <w:r>
            <w:rPr>
              <w:i w:val="0"/>
              <w:iCs w:val="0"/>
            </w:rPr>
            <w:t>83</w:t>
          </w:r>
          <w:r>
            <w:rPr>
              <w:i w:val="0"/>
              <w:iCs w:val="0"/>
            </w:rPr>
            <w:fldChar w:fldCharType="end"/>
          </w:r>
          <w:r>
            <w:rPr>
              <w:i w:val="0"/>
              <w:iCs w:val="0"/>
            </w:rP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"_Toc107350672" </w:instrText>
          </w:r>
          <w:r>
            <w:fldChar w:fldCharType="separate"/>
          </w:r>
          <w:r>
            <w:rPr>
              <w:rStyle w:val="27"/>
            </w:rPr>
            <w:t>七、美丽乡村建设工程</w:t>
          </w:r>
          <w:r>
            <w:tab/>
          </w:r>
          <w:r>
            <w:fldChar w:fldCharType="begin"/>
          </w:r>
          <w:r>
            <w:instrText xml:space="preserve"> PAGEREF _Toc107350672 \h </w:instrText>
          </w:r>
          <w:r>
            <w:fldChar w:fldCharType="separate"/>
          </w:r>
          <w:r>
            <w:t>84</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"_Toc107350673" </w:instrText>
          </w:r>
          <w:r>
            <w:fldChar w:fldCharType="separate"/>
          </w:r>
          <w:r>
            <w:rPr>
              <w:rStyle w:val="27"/>
              <w:i w:val="0"/>
              <w:iCs w:val="0"/>
            </w:rPr>
            <w:t>（一）打造样板示范村庄</w:t>
          </w:r>
          <w:r>
            <w:rPr>
              <w:i w:val="0"/>
              <w:iCs w:val="0"/>
            </w:rPr>
            <w:tab/>
          </w:r>
          <w:r>
            <w:rPr>
              <w:i w:val="0"/>
              <w:iCs w:val="0"/>
            </w:rPr>
            <w:fldChar w:fldCharType="begin"/>
          </w:r>
          <w:r>
            <w:rPr>
              <w:i w:val="0"/>
              <w:iCs w:val="0"/>
            </w:rPr>
            <w:instrText xml:space="preserve"> PAGEREF _Toc107350673 \h </w:instrText>
          </w:r>
          <w:r>
            <w:rPr>
              <w:i w:val="0"/>
              <w:iCs w:val="0"/>
            </w:rPr>
            <w:fldChar w:fldCharType="separate"/>
          </w:r>
          <w:r>
            <w:rPr>
              <w:i w:val="0"/>
              <w:iCs w:val="0"/>
            </w:rPr>
            <w:t>84</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"_Toc107350674" </w:instrText>
          </w:r>
          <w:r>
            <w:fldChar w:fldCharType="separate"/>
          </w:r>
          <w:r>
            <w:rPr>
              <w:rStyle w:val="27"/>
              <w:i w:val="0"/>
              <w:iCs w:val="0"/>
            </w:rPr>
            <w:t>（二）分类提升村庄风貌</w:t>
          </w:r>
          <w:r>
            <w:rPr>
              <w:i w:val="0"/>
              <w:iCs w:val="0"/>
            </w:rPr>
            <w:tab/>
          </w:r>
          <w:r>
            <w:rPr>
              <w:i w:val="0"/>
              <w:iCs w:val="0"/>
            </w:rPr>
            <w:fldChar w:fldCharType="begin"/>
          </w:r>
          <w:r>
            <w:rPr>
              <w:i w:val="0"/>
              <w:iCs w:val="0"/>
            </w:rPr>
            <w:instrText xml:space="preserve"> PAGEREF _Toc107350674 \h </w:instrText>
          </w:r>
          <w:r>
            <w:rPr>
              <w:i w:val="0"/>
              <w:iCs w:val="0"/>
            </w:rPr>
            <w:fldChar w:fldCharType="separate"/>
          </w:r>
          <w:r>
            <w:rPr>
              <w:i w:val="0"/>
              <w:iCs w:val="0"/>
            </w:rPr>
            <w:t>84</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"_Toc107350675" </w:instrText>
          </w:r>
          <w:r>
            <w:fldChar w:fldCharType="separate"/>
          </w:r>
          <w:r>
            <w:rPr>
              <w:rStyle w:val="27"/>
              <w:i w:val="0"/>
              <w:iCs w:val="0"/>
            </w:rPr>
            <w:t>（三）推进存量农房微改造和新建农房风貌塑造</w:t>
          </w:r>
          <w:r>
            <w:rPr>
              <w:i w:val="0"/>
              <w:iCs w:val="0"/>
            </w:rPr>
            <w:tab/>
          </w:r>
          <w:r>
            <w:rPr>
              <w:i w:val="0"/>
              <w:iCs w:val="0"/>
            </w:rPr>
            <w:fldChar w:fldCharType="begin"/>
          </w:r>
          <w:r>
            <w:rPr>
              <w:i w:val="0"/>
              <w:iCs w:val="0"/>
            </w:rPr>
            <w:instrText xml:space="preserve"> PAGEREF _Toc107350675 \h </w:instrText>
          </w:r>
          <w:r>
            <w:rPr>
              <w:i w:val="0"/>
              <w:iCs w:val="0"/>
            </w:rPr>
            <w:fldChar w:fldCharType="separate"/>
          </w:r>
          <w:r>
            <w:rPr>
              <w:i w:val="0"/>
              <w:iCs w:val="0"/>
            </w:rPr>
            <w:t>85</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"_Toc107350676" </w:instrText>
          </w:r>
          <w:r>
            <w:fldChar w:fldCharType="separate"/>
          </w:r>
          <w:r>
            <w:rPr>
              <w:rStyle w:val="27"/>
              <w:i w:val="0"/>
              <w:iCs w:val="0"/>
            </w:rPr>
            <w:t>（四）沿线连片建设美丽乡村</w:t>
          </w:r>
          <w:r>
            <w:rPr>
              <w:i w:val="0"/>
              <w:iCs w:val="0"/>
            </w:rPr>
            <w:tab/>
          </w:r>
          <w:r>
            <w:rPr>
              <w:i w:val="0"/>
              <w:iCs w:val="0"/>
            </w:rPr>
            <w:fldChar w:fldCharType="begin"/>
          </w:r>
          <w:r>
            <w:rPr>
              <w:i w:val="0"/>
              <w:iCs w:val="0"/>
            </w:rPr>
            <w:instrText xml:space="preserve"> PAGEREF _Toc107350676 \h </w:instrText>
          </w:r>
          <w:r>
            <w:rPr>
              <w:i w:val="0"/>
              <w:iCs w:val="0"/>
            </w:rPr>
            <w:fldChar w:fldCharType="separate"/>
          </w:r>
          <w:r>
            <w:rPr>
              <w:i w:val="0"/>
              <w:iCs w:val="0"/>
            </w:rPr>
            <w:t>85</w:t>
          </w:r>
          <w:r>
            <w:rPr>
              <w:i w:val="0"/>
              <w:iCs w:val="0"/>
            </w:rPr>
            <w:fldChar w:fldCharType="end"/>
          </w:r>
          <w:r>
            <w:rPr>
              <w:i w:val="0"/>
              <w:iCs w:val="0"/>
            </w:rP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"_Toc107350677" </w:instrText>
          </w:r>
          <w:r>
            <w:fldChar w:fldCharType="separate"/>
          </w:r>
          <w:r>
            <w:rPr>
              <w:rStyle w:val="27"/>
            </w:rPr>
            <w:t>八、数字农业农村建设工程</w:t>
          </w:r>
          <w:r>
            <w:tab/>
          </w:r>
          <w:r>
            <w:fldChar w:fldCharType="begin"/>
          </w:r>
          <w:r>
            <w:instrText xml:space="preserve"> PAGEREF _Toc107350677 \h </w:instrText>
          </w:r>
          <w:r>
            <w:fldChar w:fldCharType="separate"/>
          </w:r>
          <w:r>
            <w:t>86</w:t>
          </w:r>
          <w:r>
            <w:fldChar w:fldCharType="end"/>
          </w:r>
          <w: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"_Toc107350678" </w:instrText>
          </w:r>
          <w:r>
            <w:fldChar w:fldCharType="separate"/>
          </w:r>
          <w:r>
            <w:rPr>
              <w:rStyle w:val="27"/>
              <w:i w:val="0"/>
              <w:iCs w:val="0"/>
            </w:rPr>
            <w:t>（一）加强数字农业农村基础设施建设工程</w:t>
          </w:r>
          <w:r>
            <w:rPr>
              <w:i w:val="0"/>
              <w:iCs w:val="0"/>
            </w:rPr>
            <w:tab/>
          </w:r>
          <w:r>
            <w:rPr>
              <w:i w:val="0"/>
              <w:iCs w:val="0"/>
            </w:rPr>
            <w:fldChar w:fldCharType="begin"/>
          </w:r>
          <w:r>
            <w:rPr>
              <w:i w:val="0"/>
              <w:iCs w:val="0"/>
            </w:rPr>
            <w:instrText xml:space="preserve"> PAGEREF _Toc107350678 \h </w:instrText>
          </w:r>
          <w:r>
            <w:rPr>
              <w:i w:val="0"/>
              <w:iCs w:val="0"/>
            </w:rPr>
            <w:fldChar w:fldCharType="separate"/>
          </w:r>
          <w:r>
            <w:rPr>
              <w:i w:val="0"/>
              <w:iCs w:val="0"/>
            </w:rPr>
            <w:t>86</w:t>
          </w:r>
          <w:r>
            <w:rPr>
              <w:i w:val="0"/>
              <w:iCs w:val="0"/>
            </w:rPr>
            <w:fldChar w:fldCharType="end"/>
          </w:r>
          <w:r>
            <w:rPr>
              <w:i w:val="0"/>
              <w:iCs w:val="0"/>
            </w:rPr>
            <w:fldChar w:fldCharType="end"/>
          </w:r>
        </w:p>
        <w:p>
          <w:pPr>
            <w:pStyle w:val="9"/>
            <w:tabs>
              <w:tab w:val="right" w:leader="dot" w:pos="8296"/>
            </w:tabs>
            <w:ind w:firstLine="400"/>
            <w:rPr>
              <w:rFonts w:hAnsiTheme="minorHAnsi" w:eastAsiaTheme="minorEastAsia"/>
              <w:i w:val="0"/>
              <w:iCs w:val="0"/>
              <w:sz w:val="21"/>
              <w:szCs w:val="22"/>
            </w:rPr>
          </w:pPr>
          <w:r>
            <w:fldChar w:fldCharType="begin"/>
          </w:r>
          <w:r>
            <w:instrText xml:space="preserve"> HYPERLINK \l "_Toc107350679" </w:instrText>
          </w:r>
          <w:r>
            <w:fldChar w:fldCharType="separate"/>
          </w:r>
          <w:r>
            <w:rPr>
              <w:rStyle w:val="27"/>
              <w:i w:val="0"/>
              <w:iCs w:val="0"/>
            </w:rPr>
            <w:t>（二）提升数字化服务能力</w:t>
          </w:r>
          <w:r>
            <w:rPr>
              <w:i w:val="0"/>
              <w:iCs w:val="0"/>
            </w:rPr>
            <w:tab/>
          </w:r>
          <w:r>
            <w:rPr>
              <w:i w:val="0"/>
              <w:iCs w:val="0"/>
            </w:rPr>
            <w:fldChar w:fldCharType="begin"/>
          </w:r>
          <w:r>
            <w:rPr>
              <w:i w:val="0"/>
              <w:iCs w:val="0"/>
            </w:rPr>
            <w:instrText xml:space="preserve"> PAGEREF _Toc107350679 \h </w:instrText>
          </w:r>
          <w:r>
            <w:rPr>
              <w:i w:val="0"/>
              <w:iCs w:val="0"/>
            </w:rPr>
            <w:fldChar w:fldCharType="separate"/>
          </w:r>
          <w:r>
            <w:rPr>
              <w:i w:val="0"/>
              <w:iCs w:val="0"/>
            </w:rPr>
            <w:t>87</w:t>
          </w:r>
          <w:r>
            <w:rPr>
              <w:i w:val="0"/>
              <w:iCs w:val="0"/>
            </w:rPr>
            <w:fldChar w:fldCharType="end"/>
          </w:r>
          <w:r>
            <w:rPr>
              <w:i w:val="0"/>
              <w:iCs w:val="0"/>
            </w:rPr>
            <w:fldChar w:fldCharType="end"/>
          </w:r>
        </w:p>
        <w:p>
          <w:pPr>
            <w:pStyle w:val="15"/>
            <w:tabs>
              <w:tab w:val="right" w:leader="dot" w:pos="8296"/>
            </w:tabs>
            <w:ind w:firstLine="400"/>
            <w:rPr>
              <w:rFonts w:hAnsiTheme="minorHAnsi" w:eastAsiaTheme="minorEastAsia"/>
              <w:b w:val="0"/>
              <w:bCs w:val="0"/>
              <w:caps w:val="0"/>
              <w:sz w:val="21"/>
              <w:szCs w:val="22"/>
            </w:rPr>
          </w:pPr>
          <w:r>
            <w:fldChar w:fldCharType="begin"/>
          </w:r>
          <w:r>
            <w:instrText xml:space="preserve"> HYPERLINK \l "_Toc107350680" </w:instrText>
          </w:r>
          <w:r>
            <w:fldChar w:fldCharType="separate"/>
          </w:r>
          <w:r>
            <w:rPr>
              <w:rStyle w:val="27"/>
            </w:rPr>
            <w:t>第九章 保障措施</w:t>
          </w:r>
          <w:r>
            <w:tab/>
          </w:r>
          <w:r>
            <w:rPr>
              <w:b/>
              <w:bCs/>
            </w:rPr>
            <w:fldChar w:fldCharType="begin"/>
          </w:r>
          <w:r>
            <w:rPr>
              <w:b/>
              <w:bCs/>
            </w:rPr>
            <w:instrText xml:space="preserve"> PAGEREF _Toc107350680 \h </w:instrText>
          </w:r>
          <w:r>
            <w:rPr>
              <w:b/>
              <w:bCs/>
            </w:rPr>
            <w:fldChar w:fldCharType="separate"/>
          </w:r>
          <w:r>
            <w:rPr>
              <w:b/>
              <w:bCs/>
            </w:rPr>
            <w:t>88</w:t>
          </w:r>
          <w:r>
            <w:rPr>
              <w:b/>
              <w:bCs/>
            </w:rP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"_Toc107350681" </w:instrText>
          </w:r>
          <w:r>
            <w:fldChar w:fldCharType="separate"/>
          </w:r>
          <w:r>
            <w:rPr>
              <w:rStyle w:val="27"/>
            </w:rPr>
            <w:t>一、加强组织协调</w:t>
          </w:r>
          <w:r>
            <w:tab/>
          </w:r>
          <w:r>
            <w:fldChar w:fldCharType="begin"/>
          </w:r>
          <w:r>
            <w:instrText xml:space="preserve"> PAGEREF _Toc107350681 \h </w:instrText>
          </w:r>
          <w:r>
            <w:fldChar w:fldCharType="separate"/>
          </w:r>
          <w:r>
            <w:t>88</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"_Toc107350682" </w:instrText>
          </w:r>
          <w:r>
            <w:fldChar w:fldCharType="separate"/>
          </w:r>
          <w:r>
            <w:rPr>
              <w:rStyle w:val="27"/>
            </w:rPr>
            <w:t>二、加大支持力度</w:t>
          </w:r>
          <w:r>
            <w:tab/>
          </w:r>
          <w:r>
            <w:fldChar w:fldCharType="begin"/>
          </w:r>
          <w:r>
            <w:instrText xml:space="preserve"> PAGEREF _Toc107350682 \h </w:instrText>
          </w:r>
          <w:r>
            <w:fldChar w:fldCharType="separate"/>
          </w:r>
          <w:r>
            <w:t>88</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"_Toc107350683" </w:instrText>
          </w:r>
          <w:r>
            <w:fldChar w:fldCharType="separate"/>
          </w:r>
          <w:r>
            <w:rPr>
              <w:rStyle w:val="27"/>
            </w:rPr>
            <w:t>三、强化创新驱动</w:t>
          </w:r>
          <w:r>
            <w:tab/>
          </w:r>
          <w:r>
            <w:fldChar w:fldCharType="begin"/>
          </w:r>
          <w:r>
            <w:instrText xml:space="preserve"> PAGEREF _Toc107350683 \h </w:instrText>
          </w:r>
          <w:r>
            <w:fldChar w:fldCharType="separate"/>
          </w:r>
          <w:r>
            <w:t>89</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"_Toc107350684" </w:instrText>
          </w:r>
          <w:r>
            <w:fldChar w:fldCharType="separate"/>
          </w:r>
          <w:r>
            <w:rPr>
              <w:rStyle w:val="27"/>
            </w:rPr>
            <w:t>四、加强金融支农</w:t>
          </w:r>
          <w:r>
            <w:tab/>
          </w:r>
          <w:r>
            <w:fldChar w:fldCharType="begin"/>
          </w:r>
          <w:r>
            <w:instrText xml:space="preserve"> PAGEREF _Toc107350684 \h </w:instrText>
          </w:r>
          <w:r>
            <w:fldChar w:fldCharType="separate"/>
          </w:r>
          <w:r>
            <w:t>89</w:t>
          </w:r>
          <w:r>
            <w:fldChar w:fldCharType="end"/>
          </w:r>
          <w:r>
            <w:fldChar w:fldCharType="end"/>
          </w:r>
        </w:p>
        <w:p>
          <w:pPr>
            <w:pStyle w:val="19"/>
            <w:tabs>
              <w:tab w:val="right" w:leader="dot" w:pos="8296"/>
            </w:tabs>
            <w:ind w:firstLine="400"/>
            <w:rPr>
              <w:rFonts w:hAnsiTheme="minorHAnsi" w:eastAsiaTheme="minorEastAsia"/>
              <w:smallCaps w:val="0"/>
              <w:sz w:val="21"/>
              <w:szCs w:val="22"/>
            </w:rPr>
          </w:pPr>
          <w:r>
            <w:fldChar w:fldCharType="begin"/>
          </w:r>
          <w:r>
            <w:instrText xml:space="preserve"> HYPERLINK \l "_Toc107350685" </w:instrText>
          </w:r>
          <w:r>
            <w:fldChar w:fldCharType="separate"/>
          </w:r>
          <w:r>
            <w:rPr>
              <w:rStyle w:val="27"/>
            </w:rPr>
            <w:t>五、全面深化改革</w:t>
          </w:r>
          <w:r>
            <w:tab/>
          </w:r>
          <w:r>
            <w:fldChar w:fldCharType="begin"/>
          </w:r>
          <w:r>
            <w:instrText xml:space="preserve"> PAGEREF _Toc107350685 \h </w:instrText>
          </w:r>
          <w:r>
            <w:fldChar w:fldCharType="separate"/>
          </w:r>
          <w:r>
            <w:t>90</w:t>
          </w:r>
          <w:r>
            <w:fldChar w:fldCharType="end"/>
          </w:r>
          <w:r>
            <w:fldChar w:fldCharType="end"/>
          </w:r>
        </w:p>
        <w:p>
          <w:pPr>
            <w:ind w:firstLine="562"/>
          </w:pPr>
          <w:r>
            <w:rPr>
              <w:rFonts w:ascii="宋体" w:hAnsi="宋体" w:eastAsia="宋体"/>
              <w:b/>
              <w:bCs/>
              <w:lang w:val="zh-CN"/>
            </w:rPr>
            <w:fldChar w:fldCharType="end"/>
          </w:r>
        </w:p>
      </w:sdtContent>
    </w:sdt>
    <w:p>
      <w:pPr>
        <w:spacing w:line="276" w:lineRule="auto"/>
        <w:ind w:firstLine="480"/>
        <w:rPr>
          <w:rFonts w:ascii="宋体" w:hAnsi="宋体" w:eastAsia="宋体"/>
          <w:sz w:val="24"/>
          <w:szCs w:val="24"/>
        </w:rPr>
      </w:pPr>
    </w:p>
    <w:p>
      <w:pPr>
        <w:pStyle w:val="3"/>
        <w:sectPr>
          <w:pgSz w:w="11906" w:h="16838"/>
          <w:pgMar w:top="1440" w:right="1800" w:bottom="1440" w:left="1800" w:header="851" w:footer="992" w:gutter="0"/>
          <w:pgNumType w:fmt="lowerRoman" w:start="1"/>
          <w:cols w:space="425" w:num="1"/>
          <w:docGrid w:type="lines" w:linePitch="381" w:charSpace="0"/>
        </w:sectPr>
      </w:pPr>
    </w:p>
    <w:p>
      <w:pPr>
        <w:pStyle w:val="3"/>
      </w:pPr>
      <w:bookmarkStart w:id="0" w:name="_Toc107350543"/>
      <w:r>
        <w:rPr>
          <w:rFonts w:hint="eastAsia"/>
        </w:rPr>
        <w:t>第一章 “十三五”取得的成就</w:t>
      </w:r>
      <w:bookmarkEnd w:id="0"/>
    </w:p>
    <w:p>
      <w:pPr>
        <w:ind w:firstLine="560"/>
      </w:pPr>
      <w:bookmarkStart w:id="1" w:name="_Hlk58245089"/>
      <w:r>
        <w:t>“十</w:t>
      </w:r>
      <w:r>
        <w:rPr>
          <w:rFonts w:hint="eastAsia"/>
        </w:rPr>
        <w:t>三</w:t>
      </w:r>
      <w:r>
        <w:t>五”期间，</w:t>
      </w:r>
      <w:r>
        <w:rPr>
          <w:rFonts w:hint="eastAsia"/>
        </w:rPr>
        <w:t>博罗县</w:t>
      </w:r>
      <w:r>
        <w:t>农业农村工作紧紧围绕农业增效、农民增收和农村发展这个整体目标，各级农业部门齐心协力，</w:t>
      </w:r>
      <w:r>
        <w:rPr>
          <w:rFonts w:hint="eastAsia"/>
        </w:rPr>
        <w:t>全</w:t>
      </w:r>
      <w:r>
        <w:t>力落实党的强农惠农富农政策，扎实推进稳生产、强基础、增活力、惠民生</w:t>
      </w:r>
      <w:r>
        <w:rPr>
          <w:rFonts w:hint="eastAsia"/>
        </w:rPr>
        <w:t>等工作</w:t>
      </w:r>
      <w:r>
        <w:t>，促进</w:t>
      </w:r>
      <w:r>
        <w:rPr>
          <w:rFonts w:hint="eastAsia"/>
        </w:rPr>
        <w:t>博罗县</w:t>
      </w:r>
      <w:r>
        <w:t>农业农村经济实现了持续快速发展，农村生产生活面貌进一步改善，取得了显著成绩。</w:t>
      </w:r>
    </w:p>
    <w:p>
      <w:pPr>
        <w:pStyle w:val="4"/>
        <w:ind w:firstLine="602" w:firstLineChars="200"/>
      </w:pPr>
      <w:bookmarkStart w:id="2" w:name="_Toc107350544"/>
      <w:r>
        <w:rPr>
          <w:rFonts w:hint="eastAsia"/>
        </w:rPr>
        <w:t>一、农业综合生产能力保持稳定</w:t>
      </w:r>
      <w:bookmarkEnd w:id="2"/>
    </w:p>
    <w:p>
      <w:pPr>
        <w:ind w:firstLine="560"/>
      </w:pPr>
      <w:r>
        <w:rPr>
          <w:rFonts w:hint="eastAsia"/>
        </w:rPr>
        <w:t>“十三五”期间，博罗县农业经济总产值保持稳定增长、单位面积收益不断增加。</w:t>
      </w:r>
      <w:r>
        <w:t>2020年，</w:t>
      </w:r>
      <w:r>
        <w:rPr>
          <w:rFonts w:hint="eastAsia"/>
        </w:rPr>
        <w:t>博罗县</w:t>
      </w:r>
      <w:r>
        <w:t>全</w:t>
      </w:r>
      <w:r>
        <w:rPr>
          <w:rFonts w:hint="eastAsia"/>
        </w:rPr>
        <w:t>县</w:t>
      </w:r>
      <w:r>
        <w:t>耕地面积77.99万亩，基本农田面积60.09万亩</w:t>
      </w:r>
      <w:r>
        <w:rPr>
          <w:rFonts w:hint="eastAsia"/>
        </w:rPr>
        <w:t>，水产养殖鱼塘水域面积约16.4万亩</w:t>
      </w:r>
      <w:r>
        <w:t>。</w:t>
      </w:r>
      <w:r>
        <w:rPr>
          <w:rFonts w:hint="eastAsia"/>
        </w:rPr>
        <w:t>总播种面积</w:t>
      </w:r>
      <w:r>
        <w:t>114.27</w:t>
      </w:r>
      <w:r>
        <w:rPr>
          <w:rFonts w:hint="eastAsia"/>
        </w:rPr>
        <w:t>万亩，与2</w:t>
      </w:r>
      <w:r>
        <w:t>015</w:t>
      </w:r>
      <w:r>
        <w:rPr>
          <w:rFonts w:hint="eastAsia"/>
        </w:rPr>
        <w:t>年相比（下同）增长2</w:t>
      </w:r>
      <w:r>
        <w:t>.3</w:t>
      </w:r>
      <w:r>
        <w:rPr>
          <w:rFonts w:hint="eastAsia"/>
        </w:rPr>
        <w:t>%，</w:t>
      </w:r>
      <w:r>
        <w:t>实现农业总产值111.28亿元</w:t>
      </w:r>
      <w:r>
        <w:rPr>
          <w:rFonts w:hint="eastAsia"/>
        </w:rPr>
        <w:t>，年均增长</w:t>
      </w:r>
      <w:r>
        <w:t>7.94</w:t>
      </w:r>
      <w:r>
        <w:rPr>
          <w:rFonts w:hint="eastAsia"/>
        </w:rPr>
        <w:t>%，</w:t>
      </w:r>
      <w:r>
        <w:t>其中，种植业总产值74.59亿元，</w:t>
      </w:r>
      <w:r>
        <w:rPr>
          <w:rFonts w:hint="eastAsia"/>
        </w:rPr>
        <w:t>年均</w:t>
      </w:r>
      <w:r>
        <w:t>增长9.41%；畜牧业总产值28.49亿元，</w:t>
      </w:r>
      <w:r>
        <w:rPr>
          <w:rFonts w:hint="eastAsia"/>
        </w:rPr>
        <w:t>年均增长5</w:t>
      </w:r>
      <w:r>
        <w:t>.3</w:t>
      </w:r>
      <w:r>
        <w:rPr>
          <w:rFonts w:hint="eastAsia"/>
        </w:rPr>
        <w:t>%</w:t>
      </w:r>
      <w:r>
        <w:t>。在产量方面，粮食总产量15.27万吨，</w:t>
      </w:r>
      <w:r>
        <w:rPr>
          <w:rFonts w:hint="eastAsia"/>
        </w:rPr>
        <w:t>年均下降</w:t>
      </w:r>
      <w:r>
        <w:t>1.19%；蔬菜总产量101.17万吨，</w:t>
      </w:r>
      <w:r>
        <w:rPr>
          <w:rFonts w:hint="eastAsia"/>
        </w:rPr>
        <w:t>年均增长</w:t>
      </w:r>
      <w:r>
        <w:t>4.77%；肉类总产量6.96万吨，</w:t>
      </w:r>
      <w:r>
        <w:rPr>
          <w:rFonts w:hint="eastAsia"/>
        </w:rPr>
        <w:t>年均</w:t>
      </w:r>
      <w:r>
        <w:t>下降4.73%</w:t>
      </w:r>
      <w:r>
        <w:rPr>
          <w:rFonts w:hint="eastAsia"/>
        </w:rPr>
        <w:t>；奶类总产量</w:t>
      </w:r>
      <w:r>
        <w:t>6080</w:t>
      </w:r>
      <w:r>
        <w:rPr>
          <w:rFonts w:hint="eastAsia"/>
        </w:rPr>
        <w:t>吨，年均下降</w:t>
      </w:r>
      <w:r>
        <w:t>10.43</w:t>
      </w:r>
      <w:r>
        <w:rPr>
          <w:rFonts w:hint="eastAsia"/>
        </w:rPr>
        <w:t>%；蛋类总产量</w:t>
      </w:r>
      <w:r>
        <w:t>4236</w:t>
      </w:r>
      <w:r>
        <w:rPr>
          <w:rFonts w:hint="eastAsia"/>
        </w:rPr>
        <w:t>吨，年均增长</w:t>
      </w:r>
      <w:r>
        <w:t>10.4</w:t>
      </w:r>
      <w:r>
        <w:rPr>
          <w:rFonts w:hint="eastAsia"/>
        </w:rPr>
        <w:t>%；水产品产量近</w:t>
      </w:r>
      <w:r>
        <w:t>3.26</w:t>
      </w:r>
      <w:r>
        <w:rPr>
          <w:rFonts w:hint="eastAsia"/>
        </w:rPr>
        <w:t>万吨，水产品产值约</w:t>
      </w:r>
      <w:r>
        <w:t>4.21</w:t>
      </w:r>
      <w:r>
        <w:rPr>
          <w:rFonts w:hint="eastAsia"/>
        </w:rPr>
        <w:t>亿元。</w:t>
      </w:r>
      <w:r>
        <w:t>农民收入增长较快，2020年农村居民可支配收入24244元，较2015年增长54%，年均递增9%。农业综合效益和农民增收实现双提高。</w:t>
      </w:r>
    </w:p>
    <w:p>
      <w:pPr>
        <w:pStyle w:val="4"/>
        <w:ind w:firstLine="602" w:firstLineChars="200"/>
      </w:pPr>
      <w:bookmarkStart w:id="3" w:name="_Toc107350545"/>
      <w:r>
        <w:rPr>
          <w:rFonts w:hint="eastAsia"/>
        </w:rPr>
        <w:t>二、农业转型升级取得新进展</w:t>
      </w:r>
      <w:bookmarkEnd w:id="3"/>
    </w:p>
    <w:p>
      <w:pPr>
        <w:ind w:firstLine="560"/>
        <w:rPr>
          <w:color w:val="FF0000"/>
        </w:rPr>
      </w:pPr>
      <w:r>
        <w:rPr>
          <w:rFonts w:hint="eastAsia"/>
        </w:rPr>
        <w:t>博罗县经过多次产业结构调整，种植业、林业、畜牧业、渔业及服务业比值由2</w:t>
      </w:r>
      <w:r>
        <w:t>015</w:t>
      </w:r>
      <w:r>
        <w:rPr>
          <w:rFonts w:hint="eastAsia"/>
        </w:rPr>
        <w:t>年的6</w:t>
      </w:r>
      <w:r>
        <w:t>2.6</w:t>
      </w:r>
      <w:r>
        <w:rPr>
          <w:rFonts w:hint="eastAsia"/>
        </w:rPr>
        <w:t>:</w:t>
      </w:r>
      <w:r>
        <w:t>3.0</w:t>
      </w:r>
      <w:r>
        <w:rPr>
          <w:rFonts w:hint="eastAsia"/>
        </w:rPr>
        <w:t>:</w:t>
      </w:r>
      <w:r>
        <w:t>29.0</w:t>
      </w:r>
      <w:r>
        <w:rPr>
          <w:rFonts w:hint="eastAsia"/>
        </w:rPr>
        <w:t>:</w:t>
      </w:r>
      <w:r>
        <w:t>4.2</w:t>
      </w:r>
      <w:r>
        <w:rPr>
          <w:rFonts w:hint="eastAsia"/>
        </w:rPr>
        <w:t>：</w:t>
      </w:r>
      <w:r>
        <w:t>1.2</w:t>
      </w:r>
      <w:r>
        <w:rPr>
          <w:rFonts w:hint="eastAsia"/>
        </w:rPr>
        <w:t>变为6</w:t>
      </w:r>
      <w:r>
        <w:t>7</w:t>
      </w:r>
      <w:r>
        <w:rPr>
          <w:rFonts w:hint="eastAsia"/>
        </w:rPr>
        <w:t>:</w:t>
      </w:r>
      <w:r>
        <w:t>2.5</w:t>
      </w:r>
      <w:r>
        <w:rPr>
          <w:rFonts w:hint="eastAsia"/>
        </w:rPr>
        <w:t>:</w:t>
      </w:r>
      <w:r>
        <w:t>25.6</w:t>
      </w:r>
      <w:r>
        <w:rPr>
          <w:rFonts w:hint="eastAsia"/>
        </w:rPr>
        <w:t>:</w:t>
      </w:r>
      <w:r>
        <w:t>3.8</w:t>
      </w:r>
      <w:r>
        <w:rPr>
          <w:rFonts w:hint="eastAsia"/>
        </w:rPr>
        <w:t>:</w:t>
      </w:r>
      <w:r>
        <w:t>1.1</w:t>
      </w:r>
      <w:r>
        <w:rPr>
          <w:rFonts w:hint="eastAsia"/>
        </w:rPr>
        <w:t>，农业产业结构进一步优化。一是种植业总量保持不变，向规模化发展。“十三五”期间，博罗县完成划定粮食生产功能区2</w:t>
      </w:r>
      <w:r>
        <w:t>3.18</w:t>
      </w:r>
      <w:r>
        <w:rPr>
          <w:rFonts w:hint="eastAsia"/>
        </w:rPr>
        <w:t>万亩，建立基本农田保护面积6</w:t>
      </w:r>
      <w:r>
        <w:t>0.09</w:t>
      </w:r>
      <w:r>
        <w:rPr>
          <w:rFonts w:hint="eastAsia"/>
        </w:rPr>
        <w:t>万亩，建成高产示范片1</w:t>
      </w:r>
      <w:r>
        <w:t>9</w:t>
      </w:r>
      <w:r>
        <w:rPr>
          <w:rFonts w:hint="eastAsia"/>
        </w:rPr>
        <w:t>个，包括10个中央优质稻产业带项目高产创建示范片，4个市级产粮大县及粮食高产创建示范片，3个冬种生产示范片，2个优质稻合作社示范片；二是高标准农田建设有序推进，“十三五”完成高标准农田建设1</w:t>
      </w:r>
      <w:r>
        <w:t>5.07</w:t>
      </w:r>
      <w:r>
        <w:rPr>
          <w:rFonts w:hint="eastAsia"/>
        </w:rPr>
        <w:t>万亩，累计建成高标准农田4</w:t>
      </w:r>
      <w:r>
        <w:t>5.52</w:t>
      </w:r>
      <w:r>
        <w:rPr>
          <w:rFonts w:hint="eastAsia"/>
        </w:rPr>
        <w:t>万亩；三是畜牧业区域结构调整，向博东八镇转移，“十三五”期间，博罗县启动了“沙河流域雷霆式畜禽清理行动”，共投入畜禽整治奖补经费1.65亿元，完成了沙河流域的畜禽清理清退工作，全县畜禽禁养区持久保持并按期实现了非“散养户”“零养殖”目标，全县调整后的畜禽禁养区，保留了“沙河流域的7镇1管委会”和“博罗县县域（含罗阳、龙溪街道和县城中心区）”为全域禁养区，博东八镇畜禽禁养区在原有基础上进行了局部优化调整，全县调整后的畜禽禁养区核定面积为1856.37平方公里，约占全县总面积的65%。</w:t>
      </w:r>
    </w:p>
    <w:p>
      <w:pPr>
        <w:pStyle w:val="4"/>
        <w:ind w:firstLine="602" w:firstLineChars="200"/>
      </w:pPr>
      <w:bookmarkStart w:id="4" w:name="_Toc107350546"/>
      <w:r>
        <w:rPr>
          <w:rFonts w:hint="eastAsia"/>
        </w:rPr>
        <w:t>三、</w:t>
      </w:r>
      <w:r>
        <w:t>新型农业经营体系日渐成熟</w:t>
      </w:r>
      <w:bookmarkEnd w:id="4"/>
    </w:p>
    <w:p>
      <w:pPr>
        <w:spacing w:line="540" w:lineRule="exact"/>
        <w:ind w:firstLine="560"/>
      </w:pPr>
      <w:r>
        <w:rPr>
          <w:rFonts w:hint="eastAsia" w:cs="仿宋"/>
        </w:rPr>
        <w:t>“十三五”期间，博罗县以培育龙头企业为着力点，推动“一村一品”建设，打造农业产业园，引领农业产业化发展，取得良好成效。一是现代农业经营体系初步形成。经过发展，农业龙头企业由2</w:t>
      </w:r>
      <w:r>
        <w:rPr>
          <w:rFonts w:cs="仿宋"/>
        </w:rPr>
        <w:t>015</w:t>
      </w:r>
      <w:r>
        <w:rPr>
          <w:rFonts w:hint="eastAsia" w:cs="仿宋"/>
        </w:rPr>
        <w:t>年的6</w:t>
      </w:r>
      <w:r>
        <w:rPr>
          <w:rFonts w:cs="仿宋"/>
        </w:rPr>
        <w:t>1</w:t>
      </w:r>
      <w:r>
        <w:rPr>
          <w:rFonts w:hint="eastAsia" w:cs="仿宋"/>
        </w:rPr>
        <w:t>家增长为</w:t>
      </w:r>
      <w:r>
        <w:rPr>
          <w:rFonts w:cs="仿宋"/>
        </w:rPr>
        <w:t>74</w:t>
      </w:r>
      <w:r>
        <w:rPr>
          <w:rFonts w:hint="eastAsia" w:cs="仿宋"/>
        </w:rPr>
        <w:t>家，其中县级龙头企业</w:t>
      </w:r>
      <w:r>
        <w:rPr>
          <w:rFonts w:cs="仿宋"/>
        </w:rPr>
        <w:t>40</w:t>
      </w:r>
      <w:r>
        <w:rPr>
          <w:rFonts w:hint="eastAsia" w:cs="仿宋"/>
        </w:rPr>
        <w:t>家，增加</w:t>
      </w:r>
      <w:r>
        <w:rPr>
          <w:rFonts w:cs="仿宋"/>
        </w:rPr>
        <w:t>13</w:t>
      </w:r>
      <w:r>
        <w:rPr>
          <w:rFonts w:hint="eastAsia" w:cs="仿宋"/>
        </w:rPr>
        <w:t>家；市级农业龙头企业</w:t>
      </w:r>
      <w:r>
        <w:rPr>
          <w:rFonts w:cs="仿宋"/>
        </w:rPr>
        <w:t>21</w:t>
      </w:r>
      <w:r>
        <w:rPr>
          <w:rFonts w:hint="eastAsia" w:cs="仿宋"/>
        </w:rPr>
        <w:t>家，增加</w:t>
      </w:r>
      <w:r>
        <w:rPr>
          <w:rFonts w:cs="仿宋"/>
        </w:rPr>
        <w:t>2</w:t>
      </w:r>
      <w:r>
        <w:rPr>
          <w:rFonts w:hint="eastAsia" w:cs="仿宋"/>
        </w:rPr>
        <w:t>家；省级农业龙头企业</w:t>
      </w:r>
      <w:r>
        <w:rPr>
          <w:rFonts w:cs="仿宋"/>
        </w:rPr>
        <w:t>13</w:t>
      </w:r>
      <w:r>
        <w:rPr>
          <w:rFonts w:hint="eastAsia" w:cs="仿宋"/>
        </w:rPr>
        <w:t>家，增加</w:t>
      </w:r>
      <w:r>
        <w:rPr>
          <w:rFonts w:cs="仿宋"/>
        </w:rPr>
        <w:t>5</w:t>
      </w:r>
      <w:r>
        <w:rPr>
          <w:rFonts w:hint="eastAsia" w:cs="仿宋"/>
        </w:rPr>
        <w:t>家；市级以上示范性家庭农场</w:t>
      </w:r>
      <w:r>
        <w:rPr>
          <w:rFonts w:cs="仿宋"/>
        </w:rPr>
        <w:t>35</w:t>
      </w:r>
      <w:r>
        <w:rPr>
          <w:rFonts w:hint="eastAsia" w:cs="仿宋"/>
        </w:rPr>
        <w:t>家，其中省级4家、市级3</w:t>
      </w:r>
      <w:r>
        <w:rPr>
          <w:rFonts w:cs="仿宋"/>
        </w:rPr>
        <w:t>1</w:t>
      </w:r>
      <w:r>
        <w:rPr>
          <w:rFonts w:hint="eastAsia" w:cs="仿宋"/>
        </w:rPr>
        <w:t>家；登记成立农民专业合作社由2</w:t>
      </w:r>
      <w:r>
        <w:rPr>
          <w:rFonts w:cs="仿宋"/>
        </w:rPr>
        <w:t>015</w:t>
      </w:r>
      <w:r>
        <w:rPr>
          <w:rFonts w:hint="eastAsia" w:cs="仿宋"/>
        </w:rPr>
        <w:t>年的6</w:t>
      </w:r>
      <w:r>
        <w:rPr>
          <w:rFonts w:cs="仿宋"/>
        </w:rPr>
        <w:t>60</w:t>
      </w:r>
      <w:r>
        <w:rPr>
          <w:rFonts w:hint="eastAsia" w:cs="仿宋"/>
        </w:rPr>
        <w:t>家增长到820余家，其中县级以上示范社</w:t>
      </w:r>
      <w:r>
        <w:rPr>
          <w:rFonts w:cs="仿宋"/>
        </w:rPr>
        <w:t>94</w:t>
      </w:r>
      <w:r>
        <w:rPr>
          <w:rFonts w:hint="eastAsia" w:cs="仿宋"/>
        </w:rPr>
        <w:t>家，市级示范社</w:t>
      </w:r>
      <w:r>
        <w:rPr>
          <w:rFonts w:cs="仿宋"/>
        </w:rPr>
        <w:t>23</w:t>
      </w:r>
      <w:r>
        <w:rPr>
          <w:rFonts w:hint="eastAsia" w:cs="仿宋"/>
        </w:rPr>
        <w:t>家，省级示范社21家，国家级示范社5家，规模化、规范化、现代化经营体系初步形成。二是“一村一品、一镇一业”稳健开局。一村一品的评选强力带动茶叶、丝苗米、荔枝、蔬菜、南药、三黄鸡、柠檬、红柚等10多个品种的发展，初步建成一批有特色的专业村、专业镇，推动农业规模化转变；柏塘山茶、石坝三黄鸡获评广东省首批100个省级“一村一品、一镇一业”专业镇称号；柏塘镇入选农业农村部第九批全国“一村一品”示范村镇；柏塘山茶、博罗山前荔枝、博罗牛大力荣获农业农村部“名特优新农产品”称号。</w:t>
      </w:r>
      <w:r>
        <w:rPr>
          <w:rFonts w:hint="eastAsia"/>
        </w:rPr>
        <w:t>三是产业向园区聚集。</w:t>
      </w:r>
      <w:r>
        <w:rPr>
          <w:rFonts w:hint="eastAsia" w:cs="仿宋"/>
        </w:rPr>
        <w:t>博罗县已成功创建1家省级现代农业产业园和2家市级现代农业产业园：省级现代农业产业园——博罗县南药产业园，于2019年3月申报创建，覆盖包括罗阳街道、长宁镇、观音阁镇、柏塘镇、罗浮山管委会四镇（街道）一管委，总面积938.68平方公里；市级现代农业产业园包括博罗县龟产业园和博罗县茶叶产业园。</w:t>
      </w:r>
    </w:p>
    <w:p>
      <w:pPr>
        <w:pStyle w:val="4"/>
        <w:ind w:firstLine="602" w:firstLineChars="200"/>
      </w:pPr>
      <w:bookmarkStart w:id="5" w:name="_Toc107350547"/>
      <w:r>
        <w:rPr>
          <w:rFonts w:hint="eastAsia"/>
        </w:rPr>
        <w:t>四、绿色发展农产品品质大幅提升</w:t>
      </w:r>
      <w:bookmarkEnd w:id="5"/>
    </w:p>
    <w:p>
      <w:pPr>
        <w:ind w:firstLine="560"/>
      </w:pPr>
      <w:r>
        <w:rPr>
          <w:rFonts w:hint="eastAsia"/>
        </w:rPr>
        <w:t>“十三五”期间，博罗县极其重视农产品质量安全，并做了诸多工作保障农产品质量安全。一是建立了“农检中心为核心，农检站为纽带，联结生产基地、物流配送、零售前台”的农产品质量安全监管网络体系，共累计检测农产品样品11.5万个（定量＋速测），抽检合格率达99.35%，巡查农产品生产企业603家次，保障博罗县农产品质量安全事故零发生。二是农产品质量安全追溯管理平台推广取得良好成绩。博罗县搭建了农产品质量安全追溯管理平台，并开展相关培训工作，组织条件成熟的企业录入信息平台，已完成录入的农产品企业有86家，其中30家企业已通过培训开始正常运作。三是全县范围内开展打击农业违法整治行动。博罗县强化执法团队，加大执法力度，严厉打击农业违法行为，多次开展违法经营农资产品查处行动，“十三五”期间共出动250次、执法人员1256人次，检查农资门店1465间次，检查农药、化肥、农作物种子共9876种次，立案查处122宗，查处违规农药、化肥、农作物种子共198种次，涉案货值224282.16元，没收违法所得和行政罚款共379025元，有效保障了农业生产安全和市场稳定。</w:t>
      </w:r>
    </w:p>
    <w:p>
      <w:pPr>
        <w:pStyle w:val="4"/>
        <w:ind w:firstLine="602" w:firstLineChars="200"/>
      </w:pPr>
      <w:bookmarkStart w:id="6" w:name="_Toc107350548"/>
      <w:r>
        <w:rPr>
          <w:rFonts w:hint="eastAsia"/>
        </w:rPr>
        <w:t>五、生态文明建设取得良好成绩</w:t>
      </w:r>
      <w:bookmarkEnd w:id="6"/>
    </w:p>
    <w:p>
      <w:pPr>
        <w:ind w:firstLine="560"/>
      </w:pPr>
      <w:r>
        <w:rPr>
          <w:rFonts w:hint="eastAsia"/>
        </w:rPr>
        <w:t>一是完成四大林业重点工程建设。博罗县全力推进林业生态建设，完成森林碳汇工程</w:t>
      </w:r>
      <w:r>
        <w:t>3545</w:t>
      </w:r>
      <w:r>
        <w:rPr>
          <w:rFonts w:hint="eastAsia"/>
        </w:rPr>
        <w:t>亩、生态景观林带1</w:t>
      </w:r>
      <w:r>
        <w:t>25.2</w:t>
      </w:r>
      <w:r>
        <w:rPr>
          <w:rFonts w:hint="eastAsia"/>
        </w:rPr>
        <w:t>公里、罗浮山高速出口和罗阳高速出口节点绿化提升工程，完成1个县级森林公园和7个镇森林公园建设工程，完成森林村庄53个规划建设工程及四大林业重点工程建设；多次举行义务植树活动，累计造林面积200亩。二是化肥农药减量化工作和农业面源污染治理工作初见成效。博罗每年开展耕地保护与质量提升工程，推广测土配方施肥面积达到79万亩，占全年作物面积的70%，作物施用有机肥面积达到90多万亩，占全年作物面积80%；在博罗县56个行政村、6804户农户、16个菜场实施环境友好型种植业项目，推广耕地面积约5.3万亩。三是水环境综合整治工作有效推进。“十三五”期间，博罗共计完成清理粪污塘</w:t>
      </w:r>
      <w:r>
        <w:t>2061.63</w:t>
      </w:r>
      <w:r>
        <w:rPr>
          <w:rFonts w:hint="eastAsia"/>
        </w:rPr>
        <w:t>亩，完成清理河滩地违法农业种植面积1</w:t>
      </w:r>
      <w:r>
        <w:t>687.5</w:t>
      </w:r>
      <w:r>
        <w:rPr>
          <w:rFonts w:hint="eastAsia"/>
        </w:rPr>
        <w:t>亩；建成</w:t>
      </w:r>
      <w:r>
        <w:t>37</w:t>
      </w:r>
      <w:r>
        <w:rPr>
          <w:rFonts w:hint="eastAsia"/>
        </w:rPr>
        <w:t>条生态沟渠，13个生态池；改造桉树林面积1220.9亩，累计砍伐桉树林面积4453.33亩；建立农药包装废弃物回收处理有效模式，县供销合作联社在沙河沿岸的7个镇和罗浮山管委会建设镇级农药包装废弃物回收点8个，以现金回收的模式，对农药包装废弃物（含化肥包装废弃物和废弃的农膜）进行有偿回收。</w:t>
      </w:r>
    </w:p>
    <w:p>
      <w:pPr>
        <w:pStyle w:val="4"/>
        <w:ind w:firstLine="602" w:firstLineChars="200"/>
      </w:pPr>
      <w:bookmarkStart w:id="7" w:name="_Toc107350549"/>
      <w:r>
        <w:rPr>
          <w:rFonts w:hint="eastAsia"/>
        </w:rPr>
        <w:t>六、农村集体产权制度改革卓有成效</w:t>
      </w:r>
      <w:bookmarkEnd w:id="7"/>
    </w:p>
    <w:p>
      <w:pPr>
        <w:spacing w:line="540" w:lineRule="exact"/>
        <w:ind w:firstLine="560"/>
        <w:rPr>
          <w:rFonts w:cs="仿宋"/>
        </w:rPr>
      </w:pPr>
      <w:r>
        <w:rPr>
          <w:rFonts w:hint="eastAsia"/>
        </w:rPr>
        <w:t>“十三五”期间，博罗县积极探索农村集体产权制度改革，初见成效。一是启动了农村集体产权制度改革试点工作。制定了《博罗县农村集体产权制度改革试点方案》，促进集体经济发展壮大。二是</w:t>
      </w:r>
      <w:r>
        <w:rPr>
          <w:rFonts w:hint="eastAsia" w:cs="仿宋"/>
        </w:rPr>
        <w:t>全面完成清产核资。全县343个村、2838个小组完成了清产核资工作，村级完成率100%，小组完成率100%。三是全面完成村集体经济组织成员界定工作。完成村民摸底68.69万人，确认成员65.82万人（全县完成确认率99.3%）,有效地解决了博罗县20多个村的出嫁女权益保障问题、三峡移民与当地村民的利益分解问题、农村户籍大学生进入体制内工作的股民身份界定问题等等。四是高质量完成重点村股份合作制改革。博罗县共量化集体资产总额25亿元，推动44.55万农村社区居民变股东，累计成立股份经济合作社2363个，股份经济合作联合社277个，制订了改革组织章程，健全了理事会、监事会机构；博罗县资源性资产耕地（面积</w:t>
      </w:r>
      <w:r>
        <w:rPr>
          <w:rFonts w:hint="eastAsia" w:cs="仿宋"/>
          <w:lang w:val="en-US" w:eastAsia="zh-CN"/>
        </w:rPr>
        <w:t>59.21</w:t>
      </w:r>
      <w:r>
        <w:rPr>
          <w:rFonts w:hint="eastAsia" w:cs="仿宋"/>
        </w:rPr>
        <w:t>万亩）完成确权到户，占应确权面积9</w:t>
      </w:r>
      <w:r>
        <w:rPr>
          <w:rFonts w:hint="eastAsia" w:cs="仿宋"/>
          <w:lang w:val="en-US" w:eastAsia="zh-CN"/>
        </w:rPr>
        <w:t>9</w:t>
      </w:r>
      <w:r>
        <w:rPr>
          <w:rFonts w:hint="eastAsia" w:cs="仿宋"/>
        </w:rPr>
        <w:t>.</w:t>
      </w:r>
      <w:r>
        <w:rPr>
          <w:rFonts w:hint="eastAsia" w:cs="仿宋"/>
          <w:lang w:val="en-US" w:eastAsia="zh-CN"/>
        </w:rPr>
        <w:t>1</w:t>
      </w:r>
      <w:r>
        <w:rPr>
          <w:rFonts w:hint="eastAsia" w:cs="仿宋"/>
        </w:rPr>
        <w:t>%，打印经营权证书</w:t>
      </w:r>
      <w:r>
        <w:rPr>
          <w:rFonts w:hint="eastAsia" w:cs="仿宋"/>
          <w:lang w:val="en-US" w:eastAsia="zh-CN"/>
        </w:rPr>
        <w:t>12.73</w:t>
      </w:r>
      <w:r>
        <w:rPr>
          <w:rFonts w:hint="eastAsia" w:cs="仿宋"/>
        </w:rPr>
        <w:t>万户，占应确权农户的9</w:t>
      </w:r>
      <w:r>
        <w:rPr>
          <w:rFonts w:hint="eastAsia" w:cs="仿宋"/>
          <w:lang w:val="en-US" w:eastAsia="zh-CN"/>
        </w:rPr>
        <w:t>8.87</w:t>
      </w:r>
      <w:r>
        <w:rPr>
          <w:rFonts w:hint="eastAsia" w:cs="仿宋"/>
        </w:rPr>
        <w:t>%。五是“三资”信息化管理水平有效提升。加强省级农村“三资”监管服务平台使用，全县343个村、2838个组级经济组织已将农村集体资产录入，建立了资产资源台账、交易管理台账和合同管理台账，全县农村改革任务基本完成，共颁发股权证11万本。国家农业农村部评估组高度评价博罗县改革试点创建工作：“只用一年左右的时间，措施得力，创出亮点，创出经验，创出博罗模式”。</w:t>
      </w:r>
    </w:p>
    <w:p>
      <w:pPr>
        <w:pStyle w:val="4"/>
        <w:ind w:firstLine="602" w:firstLineChars="200"/>
      </w:pPr>
      <w:bookmarkStart w:id="8" w:name="_Toc107350550"/>
      <w:r>
        <w:rPr>
          <w:rFonts w:hint="eastAsia"/>
        </w:rPr>
        <w:t>七、全面完成脱贫攻坚任务</w:t>
      </w:r>
      <w:bookmarkEnd w:id="8"/>
    </w:p>
    <w:p>
      <w:pPr>
        <w:spacing w:line="540" w:lineRule="exact"/>
        <w:ind w:firstLine="560"/>
        <w:rPr>
          <w:rFonts w:cs="仿宋"/>
        </w:rPr>
      </w:pPr>
      <w:r>
        <w:rPr>
          <w:rFonts w:hint="eastAsia" w:cs="仿宋"/>
        </w:rPr>
        <w:t>“十三五”期间，按照“村村有物业、户户有就业、人人有收入”的核心目标，突出抓重点、补短板、强弱项，博罗县脱贫攻坚工作取得新成效。截至2020年11月30日，博罗县建档立卡贫困人口</w:t>
      </w:r>
      <w:r>
        <w:rPr>
          <w:rFonts w:cs="仿宋"/>
        </w:rPr>
        <w:t>4082</w:t>
      </w:r>
      <w:r>
        <w:rPr>
          <w:rFonts w:hint="eastAsia" w:cs="仿宋"/>
        </w:rPr>
        <w:t>户</w:t>
      </w:r>
      <w:r>
        <w:rPr>
          <w:rFonts w:cs="仿宋"/>
        </w:rPr>
        <w:t>7826</w:t>
      </w:r>
      <w:r>
        <w:rPr>
          <w:rFonts w:hint="eastAsia" w:cs="仿宋"/>
        </w:rPr>
        <w:t>人，其中：有劳动能力户</w:t>
      </w:r>
      <w:r>
        <w:rPr>
          <w:rFonts w:cs="仿宋"/>
        </w:rPr>
        <w:t>1037</w:t>
      </w:r>
      <w:r>
        <w:rPr>
          <w:rFonts w:hint="eastAsia" w:cs="仿宋"/>
        </w:rPr>
        <w:t>户</w:t>
      </w:r>
      <w:r>
        <w:rPr>
          <w:rFonts w:cs="仿宋"/>
        </w:rPr>
        <w:t>3583</w:t>
      </w:r>
      <w:r>
        <w:rPr>
          <w:rFonts w:hint="eastAsia" w:cs="仿宋"/>
        </w:rPr>
        <w:t>人，无劳动能力户</w:t>
      </w:r>
      <w:r>
        <w:rPr>
          <w:rFonts w:cs="仿宋"/>
        </w:rPr>
        <w:t>3045</w:t>
      </w:r>
      <w:r>
        <w:rPr>
          <w:rFonts w:hint="eastAsia" w:cs="仿宋"/>
        </w:rPr>
        <w:t>户</w:t>
      </w:r>
      <w:r>
        <w:rPr>
          <w:rFonts w:cs="仿宋"/>
        </w:rPr>
        <w:t>4243</w:t>
      </w:r>
      <w:r>
        <w:rPr>
          <w:rFonts w:hint="eastAsia" w:cs="仿宋"/>
        </w:rPr>
        <w:t>人。根据广东省关于贫困村、贫困人口退出实施方案的工作部署及要求，博罗县相对贫困人口已全面达到“三保障”、“八有”脱贫退出标准，贫困发生率从2016年初的1.314%下降至0%，全县贫困人口100%达到脱贫标准，100%完成线上线下退出标识。博罗县有劳动能力相对贫困户2</w:t>
      </w:r>
      <w:r>
        <w:rPr>
          <w:rFonts w:cs="仿宋"/>
        </w:rPr>
        <w:t>020</w:t>
      </w:r>
      <w:r>
        <w:rPr>
          <w:rFonts w:hint="eastAsia" w:cs="仿宋"/>
        </w:rPr>
        <w:t>年度人均可支配收入已达到</w:t>
      </w:r>
      <w:r>
        <w:rPr>
          <w:rFonts w:cs="仿宋"/>
        </w:rPr>
        <w:t>19248.14</w:t>
      </w:r>
      <w:r>
        <w:rPr>
          <w:rFonts w:hint="eastAsia" w:cs="仿宋"/>
        </w:rPr>
        <w:t>元，已超过省定</w:t>
      </w:r>
      <w:r>
        <w:rPr>
          <w:rFonts w:cs="仿宋"/>
        </w:rPr>
        <w:t>8951</w:t>
      </w:r>
      <w:r>
        <w:rPr>
          <w:rFonts w:hint="eastAsia" w:cs="仿宋"/>
        </w:rPr>
        <w:t>元标准。博罗县共有7个省定相对贫困村，贫困人口183户51</w:t>
      </w:r>
      <w:r>
        <w:rPr>
          <w:rFonts w:cs="仿宋"/>
        </w:rPr>
        <w:t>1</w:t>
      </w:r>
      <w:r>
        <w:rPr>
          <w:rFonts w:hint="eastAsia" w:cs="仿宋"/>
        </w:rPr>
        <w:t>人，占全县贫困人口的</w:t>
      </w:r>
      <w:r>
        <w:rPr>
          <w:rFonts w:cs="仿宋"/>
        </w:rPr>
        <w:t>6.53</w:t>
      </w:r>
      <w:r>
        <w:rPr>
          <w:rFonts w:hint="eastAsia" w:cs="仿宋"/>
        </w:rPr>
        <w:t>%，其中，有劳动能力99户</w:t>
      </w:r>
      <w:r>
        <w:rPr>
          <w:rFonts w:cs="仿宋"/>
        </w:rPr>
        <w:t>371</w:t>
      </w:r>
      <w:r>
        <w:rPr>
          <w:rFonts w:hint="eastAsia" w:cs="仿宋"/>
        </w:rPr>
        <w:t>人，无劳动能力84户140人；2020年省定相对贫困村有劳动能力贫困户年人均可支配收入达到</w:t>
      </w:r>
      <w:r>
        <w:rPr>
          <w:rFonts w:cs="仿宋"/>
        </w:rPr>
        <w:t>22811.27</w:t>
      </w:r>
      <w:r>
        <w:rPr>
          <w:rFonts w:hint="eastAsia" w:cs="仿宋"/>
        </w:rPr>
        <w:t>元；7个省定相对贫困村均达到退出标准，已于2019年底摘帽出列。</w:t>
      </w:r>
    </w:p>
    <w:p>
      <w:pPr>
        <w:pStyle w:val="4"/>
        <w:ind w:firstLine="602" w:firstLineChars="200"/>
      </w:pPr>
      <w:bookmarkStart w:id="9" w:name="_Toc107350551"/>
      <w:r>
        <w:rPr>
          <w:rFonts w:hint="eastAsia"/>
        </w:rPr>
        <w:t>八、农村人居环境焕然一新</w:t>
      </w:r>
      <w:bookmarkEnd w:id="9"/>
    </w:p>
    <w:p>
      <w:pPr>
        <w:ind w:firstLine="560"/>
        <w:rPr>
          <w:rFonts w:cs="仿宋"/>
        </w:rPr>
      </w:pPr>
      <w:r>
        <w:rPr>
          <w:rFonts w:hint="eastAsia" w:cs="仿宋"/>
        </w:rPr>
        <w:t>“十三五”期间，博罗县加大财政保障力度，全力开展农村人居环境整治行动，农村人居环境焕然一新。一是“三清三拆三整治”工作扎实开展。至2</w:t>
      </w:r>
      <w:r>
        <w:rPr>
          <w:rFonts w:cs="仿宋"/>
        </w:rPr>
        <w:t>020</w:t>
      </w:r>
      <w:r>
        <w:rPr>
          <w:rFonts w:hint="eastAsia" w:cs="仿宋"/>
        </w:rPr>
        <w:t>年1</w:t>
      </w:r>
      <w:r>
        <w:rPr>
          <w:rFonts w:cs="仿宋"/>
        </w:rPr>
        <w:t>2</w:t>
      </w:r>
      <w:r>
        <w:rPr>
          <w:rFonts w:hint="eastAsia" w:cs="仿宋"/>
        </w:rPr>
        <w:t>月底，博罗县已累计清理村巷道及生产工具、建筑材料乱堆乱放</w:t>
      </w:r>
      <w:r>
        <w:rPr>
          <w:rFonts w:cs="仿宋"/>
        </w:rPr>
        <w:t>175860</w:t>
      </w:r>
      <w:r>
        <w:rPr>
          <w:rFonts w:hint="eastAsia" w:cs="仿宋"/>
        </w:rPr>
        <w:t>处；清理房前屋后和村巷道杂草、积存垃圾</w:t>
      </w:r>
      <w:r>
        <w:rPr>
          <w:rFonts w:cs="仿宋"/>
        </w:rPr>
        <w:t>237046</w:t>
      </w:r>
      <w:r>
        <w:rPr>
          <w:rFonts w:hint="eastAsia" w:cs="仿宋"/>
        </w:rPr>
        <w:t>处；清理沟渠池塘溪河淤泥、漂浮物和障碍物</w:t>
      </w:r>
      <w:r>
        <w:rPr>
          <w:rFonts w:cs="仿宋"/>
        </w:rPr>
        <w:t>71784</w:t>
      </w:r>
      <w:r>
        <w:rPr>
          <w:rFonts w:hint="eastAsia" w:cs="仿宋"/>
        </w:rPr>
        <w:t>处；拆除危、弃房</w:t>
      </w:r>
      <w:r>
        <w:rPr>
          <w:rFonts w:cs="仿宋"/>
        </w:rPr>
        <w:t>68381</w:t>
      </w:r>
      <w:r>
        <w:rPr>
          <w:rFonts w:hint="eastAsia" w:cs="仿宋"/>
        </w:rPr>
        <w:t>间，共</w:t>
      </w:r>
      <w:r>
        <w:rPr>
          <w:rFonts w:cs="仿宋"/>
        </w:rPr>
        <w:t>2410538</w:t>
      </w:r>
      <w:r>
        <w:rPr>
          <w:rFonts w:hint="eastAsia" w:cs="仿宋"/>
        </w:rPr>
        <w:t>平方米；拆除乱搭乱建、违章建筑</w:t>
      </w:r>
      <w:r>
        <w:rPr>
          <w:rFonts w:cs="仿宋"/>
        </w:rPr>
        <w:t>5770</w:t>
      </w:r>
      <w:r>
        <w:rPr>
          <w:rFonts w:hint="eastAsia" w:cs="仿宋"/>
        </w:rPr>
        <w:t>处，共</w:t>
      </w:r>
      <w:r>
        <w:rPr>
          <w:rFonts w:cs="仿宋"/>
        </w:rPr>
        <w:t>586311</w:t>
      </w:r>
      <w:r>
        <w:rPr>
          <w:rFonts w:hint="eastAsia" w:cs="仿宋"/>
        </w:rPr>
        <w:t>平方米；拆除非法违规商业广告、招牌</w:t>
      </w:r>
      <w:r>
        <w:rPr>
          <w:rFonts w:cs="仿宋"/>
        </w:rPr>
        <w:t>10491</w:t>
      </w:r>
      <w:r>
        <w:rPr>
          <w:rFonts w:hint="eastAsia" w:cs="仿宋"/>
        </w:rPr>
        <w:t>处，共</w:t>
      </w:r>
      <w:r>
        <w:rPr>
          <w:rFonts w:cs="仿宋"/>
        </w:rPr>
        <w:t>61190</w:t>
      </w:r>
      <w:r>
        <w:rPr>
          <w:rFonts w:hint="eastAsia" w:cs="仿宋"/>
        </w:rPr>
        <w:t>平方米；整治生活垃圾、生活污水、水体污染</w:t>
      </w:r>
      <w:r>
        <w:rPr>
          <w:rFonts w:cs="仿宋"/>
        </w:rPr>
        <w:t>39623</w:t>
      </w:r>
      <w:r>
        <w:rPr>
          <w:rFonts w:hint="eastAsia" w:cs="仿宋"/>
        </w:rPr>
        <w:t>宗，农村人居环境整治工作全域全面完成，为美丽宜居乡村建设奠定良好基础。二是农村生活污水集中有效处理。博罗县</w:t>
      </w:r>
      <w:r>
        <w:rPr>
          <w:rFonts w:cs="仿宋"/>
        </w:rPr>
        <w:t>2934</w:t>
      </w:r>
      <w:r>
        <w:rPr>
          <w:rFonts w:hint="eastAsia" w:cs="仿宋"/>
        </w:rPr>
        <w:t>个自然村中</w:t>
      </w:r>
      <w:r>
        <w:rPr>
          <w:rFonts w:cs="仿宋"/>
        </w:rPr>
        <w:t>2185</w:t>
      </w:r>
      <w:r>
        <w:rPr>
          <w:rFonts w:hint="eastAsia" w:cs="仿宋"/>
        </w:rPr>
        <w:t>个已完成农村生活污水治理，完成率</w:t>
      </w:r>
      <w:r>
        <w:rPr>
          <w:rFonts w:cs="仿宋"/>
        </w:rPr>
        <w:t>74.47%</w:t>
      </w:r>
      <w:r>
        <w:rPr>
          <w:rFonts w:hint="eastAsia" w:cs="仿宋"/>
        </w:rPr>
        <w:t>，其中</w:t>
      </w:r>
      <w:r>
        <w:rPr>
          <w:rFonts w:cs="仿宋"/>
        </w:rPr>
        <w:t>379</w:t>
      </w:r>
      <w:r>
        <w:rPr>
          <w:rFonts w:hint="eastAsia" w:cs="仿宋"/>
        </w:rPr>
        <w:t>个纳入城镇污水处理厂，</w:t>
      </w:r>
      <w:r>
        <w:rPr>
          <w:rFonts w:cs="仿宋"/>
        </w:rPr>
        <w:t>813</w:t>
      </w:r>
      <w:r>
        <w:rPr>
          <w:rFonts w:hint="eastAsia" w:cs="仿宋"/>
        </w:rPr>
        <w:t>个通过农村生活污水处理设施处理，</w:t>
      </w:r>
      <w:r>
        <w:rPr>
          <w:rFonts w:cs="仿宋"/>
        </w:rPr>
        <w:t>993</w:t>
      </w:r>
      <w:r>
        <w:rPr>
          <w:rFonts w:hint="eastAsia" w:cs="仿宋"/>
        </w:rPr>
        <w:t>个采用污水资源化利用（或自然生态消纳）；已建投入运行农村生活污水处理设施</w:t>
      </w:r>
      <w:r>
        <w:rPr>
          <w:rFonts w:cs="仿宋"/>
        </w:rPr>
        <w:t>573</w:t>
      </w:r>
      <w:r>
        <w:rPr>
          <w:rFonts w:hint="eastAsia" w:cs="仿宋"/>
        </w:rPr>
        <w:t>座，设施总规模约</w:t>
      </w:r>
      <w:r>
        <w:rPr>
          <w:rFonts w:cs="仿宋"/>
        </w:rPr>
        <w:t>3.22</w:t>
      </w:r>
      <w:r>
        <w:rPr>
          <w:rFonts w:hint="eastAsia" w:cs="仿宋"/>
        </w:rPr>
        <w:t>万吨，建成纳污管网约</w:t>
      </w:r>
      <w:r>
        <w:rPr>
          <w:rFonts w:cs="仿宋"/>
        </w:rPr>
        <w:t>788</w:t>
      </w:r>
      <w:r>
        <w:rPr>
          <w:rFonts w:hint="eastAsia" w:cs="仿宋"/>
        </w:rPr>
        <w:t>公里，总投资约</w:t>
      </w:r>
      <w:r>
        <w:rPr>
          <w:rFonts w:cs="仿宋"/>
        </w:rPr>
        <w:t>4.12</w:t>
      </w:r>
      <w:r>
        <w:rPr>
          <w:rFonts w:hint="eastAsia" w:cs="仿宋"/>
        </w:rPr>
        <w:t>亿元；全县</w:t>
      </w:r>
      <w:r>
        <w:rPr>
          <w:rFonts w:cs="仿宋"/>
        </w:rPr>
        <w:t>18</w:t>
      </w:r>
      <w:r>
        <w:rPr>
          <w:rFonts w:hint="eastAsia" w:cs="仿宋"/>
        </w:rPr>
        <w:t>个镇街、管委会均已委托第三方或明确有关单位运营农村生活污水处理设施，污水设施运营维护工作成效明显；建立了长效保障机制，制定并印发《博罗县农村生活污水处理设施运营县级财政资金补助方案》，确保了农村生活污水设施运行资金保障。三是深化农村厕所革命。博罗县共投入各级财政资金</w:t>
      </w:r>
      <w:r>
        <w:rPr>
          <w:rFonts w:cs="仿宋"/>
        </w:rPr>
        <w:t>1650</w:t>
      </w:r>
      <w:r>
        <w:rPr>
          <w:rFonts w:hint="eastAsia" w:cs="仿宋"/>
        </w:rPr>
        <w:t>万元，新建公厕</w:t>
      </w:r>
      <w:r>
        <w:rPr>
          <w:rFonts w:cs="仿宋"/>
        </w:rPr>
        <w:t>73</w:t>
      </w:r>
      <w:r>
        <w:rPr>
          <w:rFonts w:hint="eastAsia" w:cs="仿宋"/>
        </w:rPr>
        <w:t>座，完成户厕改造提升</w:t>
      </w:r>
      <w:r>
        <w:rPr>
          <w:rFonts w:cs="仿宋"/>
        </w:rPr>
        <w:t>325</w:t>
      </w:r>
      <w:r>
        <w:rPr>
          <w:rFonts w:hint="eastAsia" w:cs="仿宋"/>
        </w:rPr>
        <w:t>户，全县无害化卫生厕所实现全覆盖，农村卫生户厕普及率达</w:t>
      </w:r>
      <w:r>
        <w:rPr>
          <w:rFonts w:cs="仿宋"/>
        </w:rPr>
        <w:t>100%</w:t>
      </w:r>
      <w:r>
        <w:rPr>
          <w:rFonts w:hint="eastAsia" w:cs="仿宋"/>
        </w:rPr>
        <w:t>，厕所粪污基本得到有效处理或资源化利用；成立“厕所开放联盟”，组织</w:t>
      </w:r>
      <w:r>
        <w:rPr>
          <w:rFonts w:cs="仿宋"/>
        </w:rPr>
        <w:t>200</w:t>
      </w:r>
      <w:r>
        <w:rPr>
          <w:rFonts w:hint="eastAsia" w:cs="仿宋"/>
        </w:rPr>
        <w:t>多家单位（包括超市、民宿、农家乐等）加入“博罗厕所开放联盟”；乡村旅游区（点）等旅游接待场所建设</w:t>
      </w:r>
      <w:r>
        <w:rPr>
          <w:rFonts w:cs="仿宋"/>
        </w:rPr>
        <w:t>A</w:t>
      </w:r>
      <w:r>
        <w:rPr>
          <w:rFonts w:hint="eastAsia" w:cs="仿宋"/>
        </w:rPr>
        <w:t>级以上厕所</w:t>
      </w:r>
      <w:r>
        <w:rPr>
          <w:rFonts w:cs="仿宋"/>
        </w:rPr>
        <w:t>13</w:t>
      </w:r>
      <w:r>
        <w:rPr>
          <w:rFonts w:hint="eastAsia" w:cs="仿宋"/>
        </w:rPr>
        <w:t>座，对村民和游客免费开放。四是美丽乡村连片示范作用明显。博罗县重点推进沿高速路、国（省）道两旁以及村主干道、村中心区、人口密集区的村庄环境综合整治；通过深入开展“百村示范、全域整治”工程，选取泰美、柏塘、长宁、龙溪等</w:t>
      </w:r>
      <w:r>
        <w:rPr>
          <w:rFonts w:cs="仿宋"/>
        </w:rPr>
        <w:t>8</w:t>
      </w:r>
      <w:r>
        <w:rPr>
          <w:rFonts w:hint="eastAsia" w:cs="仿宋"/>
        </w:rPr>
        <w:t>个镇街作为试点镇，选取陂头神等</w:t>
      </w:r>
      <w:r>
        <w:rPr>
          <w:rFonts w:cs="仿宋"/>
        </w:rPr>
        <w:t>71</w:t>
      </w:r>
      <w:r>
        <w:rPr>
          <w:rFonts w:hint="eastAsia" w:cs="仿宋"/>
        </w:rPr>
        <w:t>个村作为美丽宜居建设试点村，连线成片创建美丽乡村示范村，统筹推进人居环境整治，带动全县农村人居环境全面提升。</w:t>
      </w:r>
    </w:p>
    <w:bookmarkEnd w:id="1"/>
    <w:p>
      <w:pPr>
        <w:widowControl/>
        <w:spacing w:line="240" w:lineRule="auto"/>
        <w:ind w:firstLine="0" w:firstLineChars="0"/>
        <w:jc w:val="left"/>
        <w:rPr>
          <w:b/>
          <w:bCs/>
          <w:kern w:val="44"/>
          <w:sz w:val="32"/>
          <w:szCs w:val="44"/>
        </w:rPr>
      </w:pPr>
      <w:r>
        <w:br w:type="page"/>
      </w:r>
    </w:p>
    <w:p>
      <w:pPr>
        <w:pStyle w:val="3"/>
      </w:pPr>
      <w:bookmarkStart w:id="10" w:name="_Toc107350552"/>
      <w:r>
        <w:rPr>
          <w:rFonts w:hint="eastAsia"/>
        </w:rPr>
        <w:t>第二章 “十四五”发展环境</w:t>
      </w:r>
      <w:bookmarkEnd w:id="10"/>
    </w:p>
    <w:p>
      <w:pPr>
        <w:pStyle w:val="4"/>
        <w:ind w:firstLine="602" w:firstLineChars="200"/>
      </w:pPr>
      <w:bookmarkStart w:id="11" w:name="_Toc107350553"/>
      <w:r>
        <w:rPr>
          <w:rFonts w:hint="eastAsia"/>
        </w:rPr>
        <w:t>一、发展机遇</w:t>
      </w:r>
      <w:bookmarkEnd w:id="11"/>
    </w:p>
    <w:p>
      <w:pPr>
        <w:pStyle w:val="5"/>
        <w:ind w:firstLine="562"/>
      </w:pPr>
      <w:bookmarkStart w:id="12" w:name="_Toc107350554"/>
      <w:r>
        <w:rPr>
          <w:rFonts w:hint="eastAsia"/>
        </w:rPr>
        <w:t>（一）</w:t>
      </w:r>
      <w:r>
        <w:t>中央和地方对</w:t>
      </w:r>
      <w:r>
        <w:rPr>
          <w:rFonts w:hint="eastAsia"/>
        </w:rPr>
        <w:t>农业农村发展的高度重视</w:t>
      </w:r>
      <w:bookmarkEnd w:id="12"/>
    </w:p>
    <w:p>
      <w:pPr>
        <w:adjustRightInd w:val="0"/>
        <w:snapToGrid w:val="0"/>
        <w:ind w:firstLine="560"/>
      </w:pPr>
      <w:r>
        <w:rPr>
          <w:rFonts w:hint="eastAsia"/>
        </w:rPr>
        <w:t>党的十九大报告指出，农业农村农民问题是关系国计民生的根本性问题，必须始终把解决好“三农”问题作为全党工作的重中之重。《中共中央关于制定国民经济和社会发展第十四个五年规划和二〇三五年远景目标的建议》中也提出，优先发展农业农村，全面推进乡村振兴。坚持把解决好“三农”问题作为全党工作重中之重，走中国特色社会主义乡村振兴道路，全面实施乡村振兴战略，强化以工补农、以城带乡，推动形成工农互促、城乡互补、协调发展、共同繁荣的新型工农城乡关系，加快农业农村现代化。为了全面贯彻十九大、十九届二中、三中、四中、五中全会精神，推动农业农村现代化发展，广东省也相继出台了</w:t>
      </w:r>
      <w:r>
        <w:rPr>
          <w:rFonts w:hint="eastAsia" w:cs="Times New Roman"/>
        </w:rPr>
        <w:t>《广东省实施乡村振兴战略规划》和《广东省贯彻落实〈数字乡村发展战略纲要〉的实施意见》等政策，提出要按照“四个走在全国前列”、当好“两个重要窗口”的要求，着力破解城乡二元结构问题，打造农业农村经济高质量发展的先行区、农村基层治理的示范区、农村综合改革的试验区，力争3年取得重大进展、5年见到显著成效、10年实现根本改变，在全国率先基本实现农业农村现代化。国家和省市对农业农村发展的支持力度不断加大，各种支农惠农政策不断出台，各项配套改革不断完善，为农业提质增效、农民持续增收、农村稳定发展创造有利的政策环境。</w:t>
      </w:r>
    </w:p>
    <w:p>
      <w:pPr>
        <w:pStyle w:val="5"/>
        <w:ind w:firstLine="562"/>
      </w:pPr>
      <w:bookmarkStart w:id="13" w:name="_Toc107350555"/>
      <w:r>
        <w:rPr>
          <w:rFonts w:hint="eastAsia"/>
        </w:rPr>
        <w:t>（二）双循环驱动下国内消费市场的升级</w:t>
      </w:r>
      <w:bookmarkEnd w:id="13"/>
    </w:p>
    <w:p>
      <w:pPr>
        <w:ind w:firstLine="560"/>
        <w:rPr>
          <w:rFonts w:cs="Times New Roman"/>
        </w:rPr>
      </w:pPr>
      <w:r>
        <w:rPr>
          <w:rFonts w:cs="Times New Roman"/>
        </w:rPr>
        <w:t>2020</w:t>
      </w:r>
      <w:r>
        <w:rPr>
          <w:rFonts w:hint="eastAsia" w:cs="Times New Roman"/>
        </w:rPr>
        <w:t>年5月14日中央政治局会议首次提出，要充分发挥我国超大规模市场优势和内需潜力，构建国内国际双循环相互促进的新发展格局。我国正处在转型升级重要战略机遇期，产业、消费双升级更能为经济内循环释放巨大空间的潜力，乡村振兴成为经济内循环的重要引擎。从投资方面来看，一是经济内循环形势下，正是农业补短板、夯基础的好时机，从中央到地方各级政府对农业、农村的投资力度会更大；二是农村产业项目将迎来高峰，2</w:t>
      </w:r>
      <w:r>
        <w:rPr>
          <w:rFonts w:cs="Times New Roman"/>
        </w:rPr>
        <w:t>020</w:t>
      </w:r>
      <w:r>
        <w:rPr>
          <w:rFonts w:hint="eastAsia" w:cs="Times New Roman"/>
        </w:rPr>
        <w:t>年7月10日，中央农办、农业农村部等7部门联合印发的《关于扩大农业农村有效投资 加快补上“三农”领域突出短板的意见》明确，要围绕加强农业农村基础设施和防灾减灾能力建设，实施一批牵引性强、有利于生产消费“双升级”的现代农业农村重大工程项目，千方百计扩大农业农村有效投资规模；三是新型城镇化建设将成为扩大投资的巨大市场。从消费方面来看，乡村振兴将极大促进农村、城市双向消费，一是乡村振兴、新农村建设和新型城镇化促进农村消费；二是农村产业发展，农业转型升级，形成新的消费市场，农业供给侧有效改善，为市场提供了更加丰富和优质的农产品，实现城市消费升级，反推农民增收消费升级；三是美丽乡村、农业多功能新业态发展将吸引更多城市消费。</w:t>
      </w:r>
    </w:p>
    <w:p>
      <w:pPr>
        <w:pStyle w:val="5"/>
        <w:ind w:firstLine="562"/>
      </w:pPr>
      <w:bookmarkStart w:id="14" w:name="_Toc107350556"/>
      <w:r>
        <w:rPr>
          <w:rFonts w:hint="eastAsia"/>
        </w:rPr>
        <w:t>（三）粤港澳大湾区全面深化发展的互补推力</w:t>
      </w:r>
      <w:bookmarkEnd w:id="14"/>
    </w:p>
    <w:p>
      <w:pPr>
        <w:adjustRightInd w:val="0"/>
        <w:snapToGrid w:val="0"/>
        <w:ind w:firstLine="560"/>
        <w:rPr>
          <w:rFonts w:ascii="仿宋" w:hAnsi="仿宋"/>
          <w:color w:val="000000" w:themeColor="text1"/>
          <w:szCs w:val="28"/>
          <w14:textFill>
            <w14:solidFill>
              <w14:schemeClr w14:val="tx1"/>
            </w14:solidFill>
          </w14:textFill>
        </w:rPr>
      </w:pPr>
      <w:r>
        <w:rPr>
          <w:rFonts w:hint="eastAsia" w:ascii="仿宋" w:hAnsi="仿宋"/>
          <w:color w:val="000000" w:themeColor="text1"/>
          <w:szCs w:val="28"/>
          <w14:textFill>
            <w14:solidFill>
              <w14:schemeClr w14:val="tx1"/>
            </w14:solidFill>
          </w14:textFill>
        </w:rPr>
        <w:t>随着粤港澳三地合作不断深化实化，粤港澳大湾区经济实力、区域竞争力显著增强，到</w:t>
      </w:r>
      <w:r>
        <w:rPr>
          <w:rFonts w:ascii="仿宋" w:hAnsi="仿宋"/>
          <w:color w:val="000000" w:themeColor="text1"/>
          <w:szCs w:val="28"/>
          <w14:textFill>
            <w14:solidFill>
              <w14:schemeClr w14:val="tx1"/>
            </w14:solidFill>
          </w14:textFill>
        </w:rPr>
        <w:t>2022年</w:t>
      </w:r>
      <w:r>
        <w:rPr>
          <w:rFonts w:hint="eastAsia" w:ascii="仿宋" w:hAnsi="仿宋"/>
          <w:color w:val="000000" w:themeColor="text1"/>
          <w:szCs w:val="28"/>
          <w14:textFill>
            <w14:solidFill>
              <w14:schemeClr w14:val="tx1"/>
            </w14:solidFill>
          </w14:textFill>
        </w:rPr>
        <w:t>，</w:t>
      </w:r>
      <w:r>
        <w:rPr>
          <w:rFonts w:ascii="仿宋" w:hAnsi="仿宋"/>
          <w:color w:val="000000" w:themeColor="text1"/>
          <w:szCs w:val="28"/>
          <w14:textFill>
            <w14:solidFill>
              <w14:schemeClr w14:val="tx1"/>
            </w14:solidFill>
          </w14:textFill>
        </w:rPr>
        <w:t>粤港澳大湾区区域发展更加协调，分工合理、功能互补、错位发展的城市群发展格局基本确立；协同创新环境更加优化，创新要素加快集聚，新兴技术原创能力和科技成果转化能力显著提升；供给侧结构性改革进一步深化，传统产业加快转型升级，新兴产业和制造业核心竞争力不断提升，数字经济迅速增长，金融等现代服务业加快发展；交通、能源、信息、水利等基础设施支撑保障能力进一步增强，城市发展及运营能力进一步提升；绿色智慧节能低碳的生产生活方式和城市建设运营模式初步确立，居民生活更加便利、更加幸福；开放型经济新体制加快构建，粤</w:t>
      </w:r>
      <w:r>
        <w:rPr>
          <w:rFonts w:hint="eastAsia" w:ascii="仿宋" w:hAnsi="仿宋"/>
          <w:color w:val="000000" w:themeColor="text1"/>
          <w:szCs w:val="28"/>
          <w14:textFill>
            <w14:solidFill>
              <w14:schemeClr w14:val="tx1"/>
            </w14:solidFill>
          </w14:textFill>
        </w:rPr>
        <w:t>港澳市场互联互通水平进一步提升，各类资源要素流动更加便捷高效，文化交流活动更加活跃。博罗县在粤港澳大湾区全面深化发展过程中，需要充分发挥自身优势，深化改革创新，增强综合实力，形成特色鲜明、功能互补、具有竞争力的重要节点城市。增强发展的协调性，强化与广州、深圳、香港、澳门等中心城市的互动合作，带动周边特色城镇发展，共同提升城市群发展质量。</w:t>
      </w:r>
    </w:p>
    <w:p>
      <w:pPr>
        <w:pStyle w:val="5"/>
        <w:ind w:firstLine="562"/>
      </w:pPr>
      <w:bookmarkStart w:id="15" w:name="_Toc107350557"/>
      <w:r>
        <w:rPr>
          <w:rFonts w:hint="eastAsia"/>
        </w:rPr>
        <w:t>（四）新型城镇化发展带来的经济快速增长</w:t>
      </w:r>
      <w:bookmarkEnd w:id="15"/>
    </w:p>
    <w:p>
      <w:pPr>
        <w:adjustRightInd w:val="0"/>
        <w:snapToGrid w:val="0"/>
        <w:ind w:firstLine="560"/>
        <w:rPr>
          <w:rFonts w:ascii="仿宋" w:hAnsi="仿宋"/>
          <w:color w:val="000000" w:themeColor="text1"/>
          <w:szCs w:val="28"/>
          <w14:textFill>
            <w14:solidFill>
              <w14:schemeClr w14:val="tx1"/>
            </w14:solidFill>
          </w14:textFill>
        </w:rPr>
      </w:pPr>
      <w:r>
        <w:rPr>
          <w:rFonts w:hint="eastAsia" w:ascii="仿宋" w:hAnsi="仿宋"/>
          <w:color w:val="000000" w:themeColor="text1"/>
          <w:szCs w:val="28"/>
          <w14:textFill>
            <w14:solidFill>
              <w14:schemeClr w14:val="tx1"/>
            </w14:solidFill>
          </w14:textFill>
        </w:rPr>
        <w:t>博罗县委、县政府高度重视县城新型城镇化建设工作。2</w:t>
      </w:r>
      <w:r>
        <w:rPr>
          <w:rFonts w:ascii="仿宋" w:hAnsi="仿宋"/>
          <w:color w:val="000000" w:themeColor="text1"/>
          <w:szCs w:val="28"/>
          <w14:textFill>
            <w14:solidFill>
              <w14:schemeClr w14:val="tx1"/>
            </w14:solidFill>
          </w14:textFill>
        </w:rPr>
        <w:t>020</w:t>
      </w:r>
      <w:r>
        <w:rPr>
          <w:rFonts w:hint="eastAsia" w:ascii="仿宋" w:hAnsi="仿宋"/>
          <w:color w:val="000000" w:themeColor="text1"/>
          <w:szCs w:val="28"/>
          <w14:textFill>
            <w14:solidFill>
              <w14:schemeClr w14:val="tx1"/>
            </w14:solidFill>
          </w14:textFill>
        </w:rPr>
        <w:t>年5月，博罗县被列为全国120个县城新型城镇化建设示范县之一，9月被定为全国10个县城新型城镇化建设示范县国家发改委直接联系点之一。博罗县政府常务会议审议通过《博罗县建设县城新型城镇化示范县工作方案》，初步谋划梳理了补短板强弱项建设示范性项目71宗，总投资173.4亿元，以不断提升县城新型城镇化水平和城市品质。在新型城镇化建设的过程中，博罗县以人为核心，走集约、智能、绿色、共享的新路子，着力提高内在承载力，必将带动农业农村集约化、智能化、规模化、绿色化、均等化发展，这为“十四五”期间博罗县农业农村现代化发展打下坚实基础。</w:t>
      </w:r>
    </w:p>
    <w:p>
      <w:pPr>
        <w:pStyle w:val="5"/>
        <w:ind w:firstLine="562"/>
      </w:pPr>
      <w:bookmarkStart w:id="16" w:name="_Toc107350558"/>
      <w:r>
        <w:rPr>
          <w:rFonts w:hint="eastAsia"/>
        </w:rPr>
        <w:t>（五）“一村一品，一镇一业”稳健开局</w:t>
      </w:r>
      <w:bookmarkEnd w:id="16"/>
    </w:p>
    <w:p>
      <w:pPr>
        <w:spacing w:line="540" w:lineRule="exact"/>
        <w:ind w:firstLine="560"/>
        <w:rPr>
          <w:rFonts w:cs="仿宋"/>
        </w:rPr>
      </w:pPr>
      <w:r>
        <w:rPr>
          <w:rFonts w:hint="eastAsia" w:cs="仿宋"/>
        </w:rPr>
        <w:t>“一村一品、一镇一业”是省委省政府确定的2019年十件民生实事之一，博罗县现有19个专业村已开始建设，每村100万元的扶持建设资金已下拨到位，建设进度超10%。博罗县严把质量关，力创真品牌，“一村一品、一镇一业”建设取得良好成绩。柏塘山茶、石坝三黄鸡获评广东省首批100个省级“一村一品、一镇一业”专业镇称号；柏塘入选农业农村部第九批全国“一村一品”示范村镇；柏塘山茶、博罗山前荔枝荣获农业农村部“名特优新农产品”称号。通过“一村一品、一镇一业”的打造，博罗县农业特色化、品牌化、规模化已初步形成，现代经营体系初步建立，联农带农机制得到完善，产业带动效应开始体现。并且已形成以茶叶、丝苗米、荔枝、蔬菜、南药、三黄鸡、柠檬、红柚等10多个特色农产品为主的专业村、专业镇，群众基础良好，这为“十四五”期间农业现代化发展，一二三产业融合带来了更多机遇，为擦亮博罗农产品品牌奠定坚实基础。</w:t>
      </w:r>
    </w:p>
    <w:p>
      <w:pPr>
        <w:pStyle w:val="4"/>
        <w:ind w:firstLine="602" w:firstLineChars="200"/>
      </w:pPr>
      <w:bookmarkStart w:id="17" w:name="_Toc107350559"/>
      <w:r>
        <w:rPr>
          <w:rFonts w:hint="eastAsia"/>
        </w:rPr>
        <w:t>二、面对挑战</w:t>
      </w:r>
      <w:bookmarkEnd w:id="17"/>
    </w:p>
    <w:p>
      <w:pPr>
        <w:pStyle w:val="5"/>
        <w:ind w:firstLine="562"/>
      </w:pPr>
      <w:bookmarkStart w:id="18" w:name="_Toc107350560"/>
      <w:r>
        <w:t>（</w:t>
      </w:r>
      <w:r>
        <w:rPr>
          <w:rFonts w:hint="eastAsia"/>
        </w:rPr>
        <w:t>一</w:t>
      </w:r>
      <w:r>
        <w:t>）土地问题对</w:t>
      </w:r>
      <w:r>
        <w:rPr>
          <w:rFonts w:hint="eastAsia"/>
        </w:rPr>
        <w:t>农业农村发展</w:t>
      </w:r>
      <w:r>
        <w:t>带来的挑战</w:t>
      </w:r>
      <w:bookmarkEnd w:id="18"/>
    </w:p>
    <w:p>
      <w:pPr>
        <w:spacing w:line="540" w:lineRule="exact"/>
        <w:ind w:firstLine="560"/>
        <w:rPr>
          <w:rFonts w:cs="仿宋"/>
        </w:rPr>
      </w:pPr>
      <w:r>
        <w:rPr>
          <w:rFonts w:cs="仿宋"/>
        </w:rPr>
        <w:t>当前，随着中央乡村振兴战略实施力度的加大，农村新兴产业也将发生巨大的变化，农村用地的形态、规模和方式上呈现出多样化，土地的需求总量也有所增加。然而，土地供应却面临多方面的制约，一是建设用地指标严重不足，制约着农产品加工、物流、乡村旅游等项目的发展；二是原规划的用地空间在一定程度上制约着新产业发展，急需整合农村建设用地释放发展用地空间；三是土地流转困难</w:t>
      </w:r>
      <w:r>
        <w:rPr>
          <w:rFonts w:hint="eastAsia" w:cs="仿宋"/>
        </w:rPr>
        <w:t>，农业适度规模化经营难度增大</w:t>
      </w:r>
      <w:r>
        <w:rPr>
          <w:rFonts w:cs="仿宋"/>
        </w:rPr>
        <w:t>。这一系列问题对于落实乡村振兴战略，促进现代农业农村发展都带来了巨大的挑战。</w:t>
      </w:r>
    </w:p>
    <w:p>
      <w:pPr>
        <w:pStyle w:val="5"/>
        <w:ind w:firstLine="562"/>
      </w:pPr>
      <w:bookmarkStart w:id="19" w:name="_Toc107350561"/>
      <w:r>
        <w:rPr>
          <w:rFonts w:hint="eastAsia"/>
        </w:rPr>
        <w:t>（二）环保要求提高对农业农村发展带来的挑战</w:t>
      </w:r>
      <w:bookmarkEnd w:id="19"/>
    </w:p>
    <w:p>
      <w:pPr>
        <w:adjustRightInd w:val="0"/>
        <w:snapToGrid w:val="0"/>
        <w:ind w:firstLine="560"/>
        <w:rPr>
          <w:rFonts w:ascii="仿宋" w:hAnsi="仿宋"/>
          <w:color w:val="000000" w:themeColor="text1"/>
          <w:szCs w:val="28"/>
          <w14:textFill>
            <w14:solidFill>
              <w14:schemeClr w14:val="tx1"/>
            </w14:solidFill>
          </w14:textFill>
        </w:rPr>
      </w:pPr>
      <w:r>
        <w:rPr>
          <w:rFonts w:hint="eastAsia" w:ascii="仿宋" w:hAnsi="仿宋"/>
          <w:color w:val="000000" w:themeColor="text1"/>
          <w:szCs w:val="28"/>
          <w14:textFill>
            <w14:solidFill>
              <w14:schemeClr w14:val="tx1"/>
            </w14:solidFill>
          </w14:textFill>
        </w:rPr>
        <w:t>党的十九大报告中提出实施乡村振兴战略，生态宜居成为农业农村是否达到现代化进程的一个重要考核指标，加大加强农业面源污染防治，全面开展农村人居环境整治行动，将美丽田园、美丽乡村作为建设美丽中国的重点工程。尽管博罗县大力推进乡村振兴战略的实施，借助世界银行农业面源污染治理项目取得了一定的成绩，但农业面源污染治理、农村生活污水和垃圾收集及处理等形势仍然严峻，具体表现在农村环保基础设施建设总体滞后，长效管护机制不健全，生活污水覆盖率和处理率仍有待提高，农业生产对水源、耕地等污染仍难以根本杜绝。随着群众环保意识增强和政策收紧，对未来农业农村可持续发展形成较大的挑战。</w:t>
      </w:r>
    </w:p>
    <w:p>
      <w:pPr>
        <w:pStyle w:val="5"/>
        <w:ind w:firstLine="562"/>
      </w:pPr>
      <w:bookmarkStart w:id="20" w:name="_Toc107350562"/>
      <w:r>
        <w:rPr>
          <w:rFonts w:hint="eastAsia"/>
        </w:rPr>
        <w:t>（三）农民持续增收难度较大带来的挑战</w:t>
      </w:r>
      <w:bookmarkEnd w:id="20"/>
    </w:p>
    <w:p>
      <w:pPr>
        <w:adjustRightInd w:val="0"/>
        <w:snapToGrid w:val="0"/>
        <w:ind w:firstLine="560"/>
        <w:rPr>
          <w:rFonts w:ascii="仿宋" w:hAnsi="仿宋"/>
          <w:color w:val="000000" w:themeColor="text1"/>
          <w:szCs w:val="28"/>
          <w14:textFill>
            <w14:solidFill>
              <w14:schemeClr w14:val="tx1"/>
            </w14:solidFill>
          </w14:textFill>
        </w:rPr>
      </w:pPr>
      <w:r>
        <w:rPr>
          <w:rFonts w:hint="eastAsia" w:ascii="仿宋" w:hAnsi="仿宋"/>
          <w:color w:val="000000" w:themeColor="text1"/>
          <w:szCs w:val="28"/>
          <w14:textFill>
            <w14:solidFill>
              <w14:schemeClr w14:val="tx1"/>
            </w14:solidFill>
          </w14:textFill>
        </w:rPr>
        <w:t>农户收入来源单一，大部分农户收入以种植或养殖等农业生产收入为主，但农业生产以农户分散经营为主，专业户、规模农户的数量比较少，土地未能充分实现集约化、高效化利用，最终体现为效益低，且种养品种单一，抵御市场风险能力较差。同时由于部分农地缺乏稳定保障，影响社会资本投资农业的积极性，虽然部分农民存有土地征用的意识，但生产经营管理比较粗放。农民组织化程度比较低，龙头企业与农民的利益联结机制不够完善，土地、劳动力、农资等生产要素成本不断上涨，生产经营效益难以持续提升，农民持续增收困难增加。</w:t>
      </w:r>
    </w:p>
    <w:p>
      <w:pPr>
        <w:pStyle w:val="5"/>
        <w:ind w:firstLine="562"/>
      </w:pPr>
      <w:bookmarkStart w:id="21" w:name="_Toc107350563"/>
      <w:r>
        <w:rPr>
          <w:rFonts w:hint="eastAsia"/>
        </w:rPr>
        <w:t>（四）科技创新和辐射带动能力仍然较弱</w:t>
      </w:r>
      <w:bookmarkEnd w:id="21"/>
    </w:p>
    <w:p>
      <w:pPr>
        <w:adjustRightInd w:val="0"/>
        <w:snapToGrid w:val="0"/>
        <w:ind w:firstLine="560"/>
        <w:rPr>
          <w:rFonts w:ascii="仿宋" w:hAnsi="仿宋"/>
          <w:szCs w:val="28"/>
        </w:rPr>
      </w:pPr>
      <w:r>
        <w:rPr>
          <w:rFonts w:hint="eastAsia" w:ascii="仿宋" w:hAnsi="仿宋"/>
          <w:color w:val="000000" w:themeColor="text1"/>
          <w:szCs w:val="28"/>
          <w14:textFill>
            <w14:solidFill>
              <w14:schemeClr w14:val="tx1"/>
            </w14:solidFill>
          </w14:textFill>
        </w:rPr>
        <w:t>科技创新是加快现代农业建设的决定性力量，促进科技成果转化对提高土地产出率、资源利用率、劳动生产率等具有重要意义。博罗县农业农村发展现状，仍与其他农业发达大市存在较大差距，亟需加快科</w:t>
      </w:r>
      <w:r>
        <w:rPr>
          <w:rFonts w:hint="eastAsia" w:ascii="仿宋" w:hAnsi="仿宋"/>
          <w:szCs w:val="28"/>
        </w:rPr>
        <w:t>技创新推广步伐。推进农业产业化，离不开农业龙头企业的辐射带动，但博罗县现有农业龙头企业7</w:t>
      </w:r>
      <w:r>
        <w:rPr>
          <w:rFonts w:ascii="仿宋" w:hAnsi="仿宋"/>
          <w:szCs w:val="28"/>
        </w:rPr>
        <w:t>4</w:t>
      </w:r>
      <w:r>
        <w:rPr>
          <w:rFonts w:hint="eastAsia" w:ascii="仿宋" w:hAnsi="仿宋"/>
          <w:szCs w:val="28"/>
        </w:rPr>
        <w:t>家，其中县级农业龙头企业4</w:t>
      </w:r>
      <w:r>
        <w:rPr>
          <w:rFonts w:ascii="仿宋" w:hAnsi="仿宋"/>
          <w:szCs w:val="28"/>
        </w:rPr>
        <w:t>0</w:t>
      </w:r>
      <w:r>
        <w:rPr>
          <w:rFonts w:hint="eastAsia" w:ascii="仿宋" w:hAnsi="仿宋"/>
          <w:szCs w:val="28"/>
        </w:rPr>
        <w:t>家，占农业龙头企业数量的5</w:t>
      </w:r>
      <w:r>
        <w:rPr>
          <w:rFonts w:ascii="仿宋" w:hAnsi="仿宋"/>
          <w:szCs w:val="28"/>
        </w:rPr>
        <w:t>4</w:t>
      </w:r>
      <w:r>
        <w:rPr>
          <w:rFonts w:hint="eastAsia" w:ascii="仿宋" w:hAnsi="仿宋"/>
          <w:szCs w:val="28"/>
        </w:rPr>
        <w:t>%，农业龙头企业数量及规模均存在不足，辐射带动能力较弱。对“十四五”期间，农业农村现代化发展带来了较大挑战。</w:t>
      </w:r>
    </w:p>
    <w:p>
      <w:pPr>
        <w:widowControl/>
        <w:spacing w:line="240" w:lineRule="auto"/>
        <w:ind w:firstLine="0" w:firstLineChars="0"/>
        <w:jc w:val="left"/>
        <w:rPr>
          <w:b/>
          <w:bCs/>
          <w:kern w:val="44"/>
          <w:sz w:val="32"/>
          <w:szCs w:val="44"/>
        </w:rPr>
      </w:pPr>
      <w:r>
        <w:br w:type="page"/>
      </w:r>
    </w:p>
    <w:p>
      <w:pPr>
        <w:pStyle w:val="3"/>
      </w:pPr>
      <w:bookmarkStart w:id="22" w:name="_Toc107350564"/>
      <w:r>
        <w:rPr>
          <w:rFonts w:hint="eastAsia"/>
        </w:rPr>
        <w:t>第三章 指导思想、发展思路、定位与空间布局</w:t>
      </w:r>
      <w:bookmarkEnd w:id="22"/>
    </w:p>
    <w:p>
      <w:pPr>
        <w:pStyle w:val="4"/>
        <w:ind w:firstLine="602" w:firstLineChars="200"/>
      </w:pPr>
      <w:bookmarkStart w:id="23" w:name="_Toc107350565"/>
      <w:r>
        <w:rPr>
          <w:rFonts w:hint="eastAsia"/>
        </w:rPr>
        <w:t>一、指导思想</w:t>
      </w:r>
      <w:bookmarkEnd w:id="23"/>
    </w:p>
    <w:p>
      <w:pPr>
        <w:adjustRightInd w:val="0"/>
        <w:ind w:firstLine="560"/>
        <w:rPr>
          <w:rFonts w:cs="Times New Roman"/>
          <w:color w:val="000000"/>
          <w:szCs w:val="28"/>
        </w:rPr>
      </w:pPr>
      <w:r>
        <w:rPr>
          <w:rFonts w:cs="Times New Roman"/>
          <w:color w:val="000000"/>
          <w:szCs w:val="28"/>
        </w:rPr>
        <w:t>全面贯彻党的</w:t>
      </w:r>
      <w:r>
        <w:rPr>
          <w:rFonts w:hint="eastAsia" w:cs="Times New Roman"/>
          <w:color w:val="000000"/>
          <w:szCs w:val="28"/>
        </w:rPr>
        <w:t>十九</w:t>
      </w:r>
      <w:r>
        <w:rPr>
          <w:rFonts w:cs="Times New Roman"/>
          <w:color w:val="000000"/>
          <w:szCs w:val="28"/>
        </w:rPr>
        <w:t>大</w:t>
      </w:r>
      <w:r>
        <w:rPr>
          <w:rFonts w:hint="eastAsia" w:cs="Times New Roman"/>
          <w:color w:val="000000"/>
          <w:szCs w:val="28"/>
        </w:rPr>
        <w:t>、十九</w:t>
      </w:r>
      <w:r>
        <w:rPr>
          <w:rFonts w:cs="Times New Roman"/>
          <w:color w:val="000000"/>
          <w:szCs w:val="28"/>
        </w:rPr>
        <w:t>届</w:t>
      </w:r>
      <w:r>
        <w:rPr>
          <w:rFonts w:hint="eastAsia" w:cs="Times New Roman"/>
          <w:color w:val="000000"/>
          <w:szCs w:val="28"/>
        </w:rPr>
        <w:t>二中、</w:t>
      </w:r>
      <w:r>
        <w:rPr>
          <w:rFonts w:cs="Times New Roman"/>
          <w:color w:val="000000"/>
          <w:szCs w:val="28"/>
        </w:rPr>
        <w:t>三中、四中</w:t>
      </w:r>
      <w:r>
        <w:rPr>
          <w:rFonts w:hint="eastAsia" w:cs="Times New Roman"/>
          <w:color w:val="000000"/>
          <w:szCs w:val="28"/>
        </w:rPr>
        <w:t>、五中</w:t>
      </w:r>
      <w:r>
        <w:rPr>
          <w:rFonts w:cs="Times New Roman"/>
          <w:color w:val="000000"/>
          <w:szCs w:val="28"/>
        </w:rPr>
        <w:t>全会和习近平总书记系列重要讲话精神</w:t>
      </w:r>
      <w:r>
        <w:rPr>
          <w:rFonts w:hint="eastAsia" w:cs="Times New Roman"/>
          <w:color w:val="000000"/>
          <w:szCs w:val="28"/>
        </w:rPr>
        <w:t>，以及《中共中央关于制定国民经济和社会发展第十四个五年规划和二零三五年远景目标的建议》的建议，落实省委1</w:t>
      </w:r>
      <w:r>
        <w:rPr>
          <w:rFonts w:cs="Times New Roman"/>
          <w:color w:val="000000"/>
          <w:szCs w:val="28"/>
        </w:rPr>
        <w:t>+1+9</w:t>
      </w:r>
      <w:r>
        <w:rPr>
          <w:rFonts w:hint="eastAsia" w:cs="Times New Roman"/>
          <w:color w:val="000000"/>
          <w:szCs w:val="28"/>
        </w:rPr>
        <w:t>工作部署，抢抓“双区建设、双城联动”战略机遇，</w:t>
      </w:r>
      <w:r>
        <w:rPr>
          <w:rFonts w:cs="Times New Roman"/>
          <w:color w:val="000000"/>
          <w:szCs w:val="28"/>
        </w:rPr>
        <w:t>坚持以创新、协调、绿色、开放、共享的新发展理念为指引，</w:t>
      </w:r>
      <w:r>
        <w:rPr>
          <w:rFonts w:hint="eastAsia" w:cs="Times New Roman"/>
          <w:color w:val="000000"/>
          <w:szCs w:val="28"/>
        </w:rPr>
        <w:t>以推动博罗县农业园区化、规模化、集约化、数字化、现代化发展为主要目标，</w:t>
      </w:r>
      <w:r>
        <w:rPr>
          <w:rFonts w:cs="Times New Roman"/>
          <w:color w:val="000000"/>
          <w:szCs w:val="28"/>
        </w:rPr>
        <w:t>以农业供给侧结构性改革为主线，以改革开放为动力</w:t>
      </w:r>
      <w:r>
        <w:rPr>
          <w:rFonts w:hint="eastAsia" w:cs="Times New Roman"/>
          <w:color w:val="000000"/>
          <w:szCs w:val="28"/>
        </w:rPr>
        <w:t>，</w:t>
      </w:r>
      <w:r>
        <w:rPr>
          <w:rFonts w:cs="Times New Roman"/>
          <w:color w:val="000000"/>
          <w:szCs w:val="28"/>
        </w:rPr>
        <w:t>抓住国家和广东省实施</w:t>
      </w:r>
      <w:r>
        <w:rPr>
          <w:rFonts w:hint="eastAsia" w:cs="Times New Roman"/>
          <w:color w:val="000000"/>
          <w:szCs w:val="28"/>
        </w:rPr>
        <w:t>乡村振兴战略</w:t>
      </w:r>
      <w:r>
        <w:rPr>
          <w:rFonts w:cs="Times New Roman"/>
          <w:color w:val="000000"/>
          <w:szCs w:val="28"/>
        </w:rPr>
        <w:t>、</w:t>
      </w:r>
      <w:r>
        <w:rPr>
          <w:rFonts w:hint="eastAsia" w:cs="Times New Roman"/>
          <w:color w:val="000000"/>
          <w:szCs w:val="28"/>
        </w:rPr>
        <w:t>深莞惠一小时经济圈建设、粤港澳大湾区建设等发展机遇，</w:t>
      </w:r>
      <w:r>
        <w:rPr>
          <w:rFonts w:cs="Times New Roman"/>
          <w:color w:val="000000"/>
          <w:szCs w:val="28"/>
        </w:rPr>
        <w:t>主动适应经济发展新常态，建立健全以工促农、以城带乡长效机制</w:t>
      </w:r>
      <w:r>
        <w:rPr>
          <w:rFonts w:hint="eastAsia" w:ascii="Calibri" w:hAnsi="Calibri" w:cs="Calibri"/>
          <w:color w:val="000000"/>
          <w:szCs w:val="28"/>
        </w:rPr>
        <w:t>，</w:t>
      </w:r>
      <w:r>
        <w:rPr>
          <w:rFonts w:hint="eastAsia" w:cs="Times New Roman"/>
          <w:color w:val="000000"/>
          <w:szCs w:val="28"/>
        </w:rPr>
        <w:t>以园区建设为核心，一村一品为抓手，科技创新为驱动，深化改革为引领，</w:t>
      </w:r>
      <w:r>
        <w:rPr>
          <w:rFonts w:hint="eastAsia" w:ascii="Calibri" w:hAnsi="Calibri" w:cs="Calibri"/>
          <w:color w:val="000000"/>
          <w:szCs w:val="28"/>
        </w:rPr>
        <w:t>推动农业全面升级、农村全面进步、农民全面发展</w:t>
      </w:r>
      <w:r>
        <w:rPr>
          <w:rFonts w:hint="eastAsia" w:cs="Times New Roman"/>
          <w:color w:val="000000"/>
          <w:szCs w:val="28"/>
        </w:rPr>
        <w:t>，</w:t>
      </w:r>
      <w:r>
        <w:rPr>
          <w:rFonts w:cs="Times New Roman"/>
          <w:color w:val="000000"/>
          <w:szCs w:val="28"/>
        </w:rPr>
        <w:t>为</w:t>
      </w:r>
      <w:r>
        <w:rPr>
          <w:rFonts w:hint="eastAsia" w:cs="Times New Roman"/>
          <w:color w:val="000000"/>
          <w:szCs w:val="28"/>
        </w:rPr>
        <w:t>博罗县</w:t>
      </w:r>
      <w:r>
        <w:rPr>
          <w:rFonts w:cs="Times New Roman"/>
          <w:color w:val="000000"/>
          <w:szCs w:val="28"/>
        </w:rPr>
        <w:t>实现</w:t>
      </w:r>
      <w:r>
        <w:rPr>
          <w:rFonts w:hint="eastAsia" w:cs="Times New Roman"/>
          <w:color w:val="000000"/>
          <w:szCs w:val="28"/>
        </w:rPr>
        <w:t>农业农村</w:t>
      </w:r>
      <w:r>
        <w:rPr>
          <w:rFonts w:cs="Times New Roman"/>
          <w:color w:val="000000"/>
          <w:szCs w:val="28"/>
        </w:rPr>
        <w:t>现代化奠定坚实基础</w:t>
      </w:r>
      <w:r>
        <w:rPr>
          <w:rFonts w:hint="eastAsia" w:cs="Times New Roman"/>
          <w:color w:val="000000"/>
          <w:szCs w:val="28"/>
        </w:rPr>
        <w:t>，最终将博罗县打造成粤港澳大湾区果蔬供应基地、特色高效农业发展示范区、生态休闲康养示范区、新型城镇化发展示范区</w:t>
      </w:r>
      <w:r>
        <w:rPr>
          <w:rFonts w:cs="Times New Roman"/>
          <w:color w:val="000000"/>
          <w:szCs w:val="28"/>
        </w:rPr>
        <w:t>。</w:t>
      </w:r>
    </w:p>
    <w:p>
      <w:pPr>
        <w:pStyle w:val="4"/>
        <w:ind w:firstLine="602" w:firstLineChars="200"/>
      </w:pPr>
      <w:bookmarkStart w:id="24" w:name="_Toc107350566"/>
      <w:bookmarkStart w:id="25" w:name="_Toc55922846"/>
      <w:r>
        <w:rPr>
          <w:rFonts w:hint="eastAsia"/>
        </w:rPr>
        <w:t>二、发展原则</w:t>
      </w:r>
      <w:bookmarkEnd w:id="24"/>
      <w:bookmarkEnd w:id="25"/>
    </w:p>
    <w:p>
      <w:pPr>
        <w:pStyle w:val="5"/>
        <w:keepNext w:val="0"/>
        <w:keepLines w:val="0"/>
        <w:adjustRightInd w:val="0"/>
        <w:spacing w:before="0" w:after="0" w:line="240" w:lineRule="auto"/>
        <w:ind w:firstLine="562"/>
        <w:rPr>
          <w:rFonts w:cs="Times New Roman"/>
          <w:szCs w:val="28"/>
        </w:rPr>
      </w:pPr>
      <w:bookmarkStart w:id="26" w:name="_Toc107350567"/>
      <w:r>
        <w:rPr>
          <w:rFonts w:hint="eastAsia" w:cs="Times New Roman"/>
          <w:szCs w:val="28"/>
        </w:rPr>
        <w:t>（一）改革驱动，创新发展</w:t>
      </w:r>
      <w:bookmarkEnd w:id="26"/>
    </w:p>
    <w:p>
      <w:pPr>
        <w:adjustRightInd w:val="0"/>
        <w:ind w:firstLine="560"/>
        <w:rPr>
          <w:rFonts w:cs="Times New Roman"/>
          <w:color w:val="000000"/>
          <w:szCs w:val="28"/>
        </w:rPr>
      </w:pPr>
      <w:r>
        <w:rPr>
          <w:rFonts w:hint="eastAsia" w:cs="Times New Roman"/>
          <w:color w:val="000000"/>
          <w:szCs w:val="28"/>
        </w:rPr>
        <w:t>继续深化农村综合改革，推进农村产权制度、体制机制等创新，加快转变农业发展方式，推进农业科技创新、模式创新、制度创新、体系创新，着力构建现代农业产业体系、生产体系和经营体系，不断增强农业农村发展动力。</w:t>
      </w:r>
    </w:p>
    <w:p>
      <w:pPr>
        <w:pStyle w:val="5"/>
        <w:keepNext w:val="0"/>
        <w:keepLines w:val="0"/>
        <w:adjustRightInd w:val="0"/>
        <w:spacing w:before="0" w:after="0" w:line="240" w:lineRule="auto"/>
        <w:ind w:firstLine="562"/>
        <w:rPr>
          <w:rFonts w:cs="Times New Roman"/>
          <w:szCs w:val="28"/>
        </w:rPr>
      </w:pPr>
      <w:bookmarkStart w:id="27" w:name="_Toc107350568"/>
      <w:r>
        <w:rPr>
          <w:rFonts w:hint="eastAsia" w:cs="Times New Roman"/>
          <w:szCs w:val="28"/>
        </w:rPr>
        <w:t>（二）统筹兼顾，协调发展</w:t>
      </w:r>
      <w:bookmarkEnd w:id="27"/>
    </w:p>
    <w:p>
      <w:pPr>
        <w:adjustRightInd w:val="0"/>
        <w:ind w:firstLine="560"/>
        <w:rPr>
          <w:rFonts w:cs="Times New Roman"/>
          <w:color w:val="000000"/>
          <w:szCs w:val="28"/>
        </w:rPr>
      </w:pPr>
      <w:r>
        <w:rPr>
          <w:rFonts w:hint="eastAsia" w:cs="Times New Roman"/>
          <w:color w:val="000000"/>
          <w:szCs w:val="28"/>
        </w:rPr>
        <w:t>着力推动新型工业化、信息化、城镇化和农业现代化同步发展，进一步强化以工促农、以城带乡的发展机制，统筹各类资源要素向农村配置，构建全产业链发展体系，大力推动农业内部协调发展，拓展农业多种功能，积极发展农村新产业、新业态，促进农村三次产业深度交叉融合。</w:t>
      </w:r>
    </w:p>
    <w:p>
      <w:pPr>
        <w:pStyle w:val="5"/>
        <w:keepNext w:val="0"/>
        <w:keepLines w:val="0"/>
        <w:adjustRightInd w:val="0"/>
        <w:spacing w:before="0" w:after="0" w:line="240" w:lineRule="auto"/>
        <w:ind w:firstLine="562"/>
        <w:rPr>
          <w:rFonts w:cs="Times New Roman"/>
          <w:szCs w:val="28"/>
        </w:rPr>
      </w:pPr>
      <w:bookmarkStart w:id="28" w:name="_Toc107350569"/>
      <w:r>
        <w:rPr>
          <w:rFonts w:hint="eastAsia" w:cs="Times New Roman"/>
          <w:szCs w:val="28"/>
        </w:rPr>
        <w:t>（三）生态优先，绿色发展</w:t>
      </w:r>
      <w:bookmarkEnd w:id="28"/>
    </w:p>
    <w:p>
      <w:pPr>
        <w:adjustRightInd w:val="0"/>
        <w:ind w:firstLine="560"/>
        <w:rPr>
          <w:rFonts w:cs="Times New Roman"/>
          <w:color w:val="000000"/>
          <w:szCs w:val="28"/>
        </w:rPr>
      </w:pPr>
      <w:r>
        <w:rPr>
          <w:rFonts w:ascii="Calibri" w:hAnsi="Calibri" w:cs="Calibri"/>
          <w:color w:val="000000"/>
          <w:szCs w:val="28"/>
        </w:rPr>
        <w:t>﻿</w:t>
      </w:r>
      <w:r>
        <w:rPr>
          <w:rFonts w:hint="eastAsia" w:cs="Times New Roman"/>
          <w:color w:val="000000"/>
          <w:szCs w:val="28"/>
        </w:rPr>
        <w:t>牢固树立和践行“绿水青山就是金山银山”的</w:t>
      </w:r>
      <w:r>
        <w:rPr>
          <w:rFonts w:hint="eastAsia" w:cs="Times New Roman"/>
          <w:szCs w:val="28"/>
        </w:rPr>
        <w:t>发展理念，坚持节约资源和保护环境的基本国策，落实节约优先、保护优先、自然恢复为主的方针，严守生态保护红线，强化农业投入品管理和农业</w:t>
      </w:r>
      <w:r>
        <w:rPr>
          <w:rFonts w:hint="eastAsia" w:cs="Times New Roman"/>
          <w:color w:val="000000"/>
          <w:szCs w:val="28"/>
        </w:rPr>
        <w:t>环境突出问题治理，以资源环境承载力为依托，推进种养殖业协调发展和生态循环农业建设，实现农业农村经济发展与生态文明建设的有机统一。</w:t>
      </w:r>
    </w:p>
    <w:p>
      <w:pPr>
        <w:pStyle w:val="5"/>
        <w:keepNext w:val="0"/>
        <w:keepLines w:val="0"/>
        <w:adjustRightInd w:val="0"/>
        <w:spacing w:before="0" w:after="0" w:line="240" w:lineRule="auto"/>
        <w:ind w:firstLine="562"/>
        <w:rPr>
          <w:rFonts w:cs="Times New Roman"/>
          <w:szCs w:val="28"/>
        </w:rPr>
      </w:pPr>
      <w:bookmarkStart w:id="29" w:name="_Toc107350570"/>
      <w:r>
        <w:rPr>
          <w:rFonts w:hint="eastAsia" w:cs="Times New Roman"/>
          <w:szCs w:val="28"/>
        </w:rPr>
        <w:t>（</w:t>
      </w:r>
      <w:r>
        <w:rPr>
          <w:rFonts w:cs="Times New Roman"/>
          <w:szCs w:val="28"/>
        </w:rPr>
        <w:t>四</w:t>
      </w:r>
      <w:r>
        <w:rPr>
          <w:rFonts w:hint="eastAsia" w:cs="Times New Roman"/>
          <w:szCs w:val="28"/>
        </w:rPr>
        <w:t>）惠农兴农，共享发展</w:t>
      </w:r>
      <w:bookmarkEnd w:id="29"/>
    </w:p>
    <w:p>
      <w:pPr>
        <w:adjustRightInd w:val="0"/>
        <w:ind w:firstLine="560"/>
        <w:rPr>
          <w:rFonts w:cs="Times New Roman"/>
          <w:szCs w:val="28"/>
        </w:rPr>
      </w:pPr>
      <w:r>
        <w:rPr>
          <w:rFonts w:hint="eastAsia" w:cs="Times New Roman"/>
          <w:color w:val="000000"/>
          <w:szCs w:val="28"/>
        </w:rPr>
        <w:t>深入推进新型城镇化和美丽乡村建设，促进城乡基本公共服务均等化，开展乡村建设行动，加快农村基础设施建设，推动农民创业就业方式转变，加大强农惠农富农力度，不断拓展农村居民增收致富新渠道，同时维护农民参与基层治理的权利和文化权益，使农民共享经济社会发</w:t>
      </w:r>
      <w:r>
        <w:rPr>
          <w:rFonts w:hint="eastAsia" w:cs="Times New Roman"/>
          <w:szCs w:val="28"/>
        </w:rPr>
        <w:t>展和农业农村现代化的成果。</w:t>
      </w:r>
    </w:p>
    <w:p>
      <w:pPr>
        <w:pStyle w:val="4"/>
        <w:ind w:firstLine="602" w:firstLineChars="200"/>
      </w:pPr>
      <w:bookmarkStart w:id="30" w:name="_Toc107350571"/>
      <w:r>
        <w:rPr>
          <w:rFonts w:hint="eastAsia"/>
        </w:rPr>
        <w:t>三、发展思路</w:t>
      </w:r>
      <w:bookmarkEnd w:id="30"/>
    </w:p>
    <w:p>
      <w:pPr>
        <w:ind w:firstLine="560"/>
        <w:rPr>
          <w:rFonts w:cs="Times New Roman"/>
          <w:color w:val="000000"/>
          <w:szCs w:val="28"/>
        </w:rPr>
      </w:pPr>
      <w:r>
        <w:rPr>
          <w:rFonts w:hint="eastAsia" w:cs="Times New Roman"/>
          <w:color w:val="000000"/>
          <w:szCs w:val="28"/>
        </w:rPr>
        <w:t>博罗县农业农村现代化“十四五”发展，按照“园区建设为核心，一村一品为抓手，科技创新为驱动，深化改革为引领”的总体思路，全力推动博罗县农业农村现代化进程，打造博罗县特色新型城镇化示范县。</w:t>
      </w:r>
    </w:p>
    <w:p>
      <w:pPr>
        <w:ind w:firstLine="560"/>
        <w:rPr>
          <w:rFonts w:cs="Times New Roman"/>
          <w:color w:val="000000"/>
          <w:szCs w:val="28"/>
        </w:rPr>
      </w:pPr>
      <w:r>
        <w:rPr>
          <w:rFonts w:hint="eastAsia" w:cs="Times New Roman"/>
          <w:color w:val="000000"/>
          <w:szCs w:val="28"/>
        </w:rPr>
        <w:t>（一）园区建设为核心</w:t>
      </w:r>
    </w:p>
    <w:p>
      <w:pPr>
        <w:ind w:firstLine="560"/>
        <w:rPr>
          <w:rFonts w:cs="Times New Roman"/>
          <w:szCs w:val="28"/>
        </w:rPr>
      </w:pPr>
      <w:r>
        <w:rPr>
          <w:rFonts w:hint="eastAsia" w:cs="Times New Roman"/>
          <w:szCs w:val="28"/>
        </w:rPr>
        <w:t>把现代农业产业建设作为农业供给侧结构性改革和推动现代农业转型升级的着力点，以现代农业产业园为核心，打造种植基地、新品种培育推广中心、农产品精深加工基地、一二三产融合示范区。以南药产业园为核心，建立南药标准化种植基地，推动南药种植标准化、规模化、智能化发展，引进培育南药精深加工企业，延长产业链，拓宽价值链，提升附加值，促进农业产业集群化发展；同时发挥博罗县自身资源优势，努力建设丝苗米产业园、三黄鸡产业园、蔬菜产业园等，推动农业园区化转变，探索利益联结机制，带动博罗县农民共同富裕，最终实现乡村振兴。</w:t>
      </w:r>
    </w:p>
    <w:p>
      <w:pPr>
        <w:ind w:firstLine="560"/>
        <w:rPr>
          <w:rFonts w:cs="Times New Roman"/>
          <w:color w:val="000000"/>
          <w:szCs w:val="28"/>
        </w:rPr>
      </w:pPr>
      <w:r>
        <w:rPr>
          <w:rFonts w:hint="eastAsia" w:cs="Times New Roman"/>
          <w:color w:val="000000"/>
          <w:szCs w:val="28"/>
        </w:rPr>
        <w:t>（二）一村一品为抓手</w:t>
      </w:r>
    </w:p>
    <w:p>
      <w:pPr>
        <w:ind w:firstLine="560"/>
      </w:pPr>
      <w:r>
        <w:rPr>
          <w:rFonts w:hint="eastAsia"/>
        </w:rPr>
        <w:t>积极发展“一村一品、一镇一业”，做优做精福田菜心、柏塘茶叶、酥醪菜、石湾大米、韭黄、荔枝、龙眼、葡萄、火龙果、中药材康养类特色农产品，推动要素进一步聚集、管理更加科学、技术更加先进、生态更加友好，积极发展农产品精深加工和电子商务，推动产加销一体化，注重品牌培育，提升品牌影响力。</w:t>
      </w:r>
    </w:p>
    <w:p>
      <w:pPr>
        <w:ind w:firstLine="560"/>
      </w:pPr>
      <w:r>
        <w:rPr>
          <w:rFonts w:hint="eastAsia"/>
        </w:rPr>
        <w:t>（三）科技创新为驱动</w:t>
      </w:r>
    </w:p>
    <w:p>
      <w:pPr>
        <w:adjustRightInd w:val="0"/>
        <w:ind w:firstLine="560"/>
        <w:rPr>
          <w:rFonts w:cs="Times New Roman"/>
          <w:szCs w:val="28"/>
        </w:rPr>
      </w:pPr>
      <w:r>
        <w:rPr>
          <w:rFonts w:hint="eastAsia" w:cs="Times New Roman"/>
          <w:szCs w:val="28"/>
        </w:rPr>
        <w:t>构建以科研</w:t>
      </w:r>
      <w:r>
        <w:rPr>
          <w:rFonts w:hint="eastAsia" w:cs="Times New Roman"/>
          <w:szCs w:val="28"/>
          <w:lang w:eastAsia="zh-CN"/>
        </w:rPr>
        <w:t>机构</w:t>
      </w:r>
      <w:r>
        <w:rPr>
          <w:rFonts w:hint="eastAsia" w:cs="Times New Roman"/>
          <w:szCs w:val="28"/>
        </w:rPr>
        <w:t>为依托的农业科技综合服务体系，集合科技合作、技术成果转化、农业科技服务三大功能，加快推进引领性、实用性农业技术在各乡镇的引进和推广。立足博罗县农业产业特点，以博罗县农业农村综合服务中心、博罗县农业科技示范场为依托</w:t>
      </w:r>
      <w:r>
        <w:rPr>
          <w:rFonts w:hint="eastAsia" w:cs="Times New Roman"/>
          <w:szCs w:val="28"/>
          <w:lang w:eastAsia="zh-CN"/>
        </w:rPr>
        <w:t>，</w:t>
      </w:r>
      <w:r>
        <w:rPr>
          <w:rFonts w:hint="eastAsia" w:cs="Times New Roman"/>
          <w:szCs w:val="28"/>
        </w:rPr>
        <w:t>加强与</w:t>
      </w:r>
      <w:r>
        <w:rPr>
          <w:rFonts w:hint="eastAsia" w:cs="Times New Roman"/>
          <w:szCs w:val="28"/>
          <w:lang w:eastAsia="zh-CN"/>
        </w:rPr>
        <w:t>华</w:t>
      </w:r>
      <w:r>
        <w:rPr>
          <w:rFonts w:hint="eastAsia" w:cs="Times New Roman"/>
          <w:szCs w:val="28"/>
        </w:rPr>
        <w:t>南农业大学、仲恺农业工程学院等科研院</w:t>
      </w:r>
      <w:r>
        <w:rPr>
          <w:rFonts w:hint="eastAsia" w:cs="Times New Roman"/>
          <w:szCs w:val="28"/>
          <w:lang w:eastAsia="zh-CN"/>
        </w:rPr>
        <w:t>校</w:t>
      </w:r>
      <w:r>
        <w:rPr>
          <w:rFonts w:hint="eastAsia" w:cs="Times New Roman"/>
          <w:szCs w:val="28"/>
        </w:rPr>
        <w:t>的合作，围绕水稻、蔬菜、南药、茶叶、荔枝等特色产业，在都市农业、数字农业、现代设施农业、智能农机等技术领域等关键技术领域寻找突破，全面提高农业科技创新能力及成果转化能力。创新现代农业技术体系，以科技创新引领农业全面升级，为博罗县农业转型发展、创新发展做好现代科技储备。</w:t>
      </w:r>
    </w:p>
    <w:p>
      <w:pPr>
        <w:ind w:firstLine="560"/>
      </w:pPr>
      <w:r>
        <w:rPr>
          <w:rFonts w:hint="eastAsia"/>
        </w:rPr>
        <w:t>（四）深化改革为引领</w:t>
      </w:r>
    </w:p>
    <w:p>
      <w:pPr>
        <w:adjustRightInd w:val="0"/>
        <w:ind w:firstLine="560"/>
        <w:rPr>
          <w:rFonts w:cs="Times New Roman"/>
          <w:szCs w:val="28"/>
        </w:rPr>
      </w:pPr>
      <w:r>
        <w:rPr>
          <w:rFonts w:hint="eastAsia" w:cs="Times New Roman"/>
          <w:szCs w:val="28"/>
        </w:rPr>
        <w:t>深入</w:t>
      </w:r>
      <w:r>
        <w:rPr>
          <w:rFonts w:cs="Times New Roman"/>
          <w:szCs w:val="28"/>
        </w:rPr>
        <w:t>推进农村产权制度、农村集体资产经营管理、农村金融</w:t>
      </w:r>
      <w:r>
        <w:rPr>
          <w:rFonts w:hint="eastAsia" w:cs="Times New Roman"/>
          <w:szCs w:val="28"/>
        </w:rPr>
        <w:t>服务</w:t>
      </w:r>
      <w:r>
        <w:rPr>
          <w:rFonts w:cs="Times New Roman"/>
          <w:szCs w:val="28"/>
        </w:rPr>
        <w:t>、涉农资金管理等重点领域改革</w:t>
      </w:r>
      <w:r>
        <w:rPr>
          <w:rFonts w:hint="eastAsia" w:cs="Times New Roman"/>
          <w:szCs w:val="28"/>
        </w:rPr>
        <w:t>，建立健全城乡融合发展财政金融扶持体系，构筑城乡融合发展体制机制和政策体系；推进农业业态模式创新，以一二三产业融合发展为路径，发展多种类型融合业态，培育发展新动能；创新产业组织方式，加大对农机、农资及植保等农业生产性服务领域的资金投入和政策支持，构建“多元农业经营主体+适度生产经营规模+专业化社会服务组织”的产业发展模式；创新农产品营销模式，健全绿色智能农产品供应链，培育农商直供、直播直销、会员制、个人定制等模式，推进农商互联、产销衔接；创新服务方式，积极发展订制服务、体验服务、智慧服务、共享服务、绿色服务等新形态，探索“线上交易+线下服务”的新模式。通过深化体制机制改革和产业发展模式创新，增强农业农村经济发展活力。</w:t>
      </w:r>
    </w:p>
    <w:p>
      <w:pPr>
        <w:pStyle w:val="4"/>
        <w:ind w:firstLine="602" w:firstLineChars="200"/>
      </w:pPr>
      <w:bookmarkStart w:id="31" w:name="_Toc107350572"/>
      <w:r>
        <w:rPr>
          <w:rFonts w:hint="eastAsia"/>
        </w:rPr>
        <w:t>四、发展定位与目标</w:t>
      </w:r>
      <w:bookmarkEnd w:id="31"/>
    </w:p>
    <w:p>
      <w:pPr>
        <w:pStyle w:val="5"/>
        <w:ind w:firstLine="562"/>
      </w:pPr>
      <w:bookmarkStart w:id="32" w:name="_Toc107350573"/>
      <w:r>
        <w:rPr>
          <w:rFonts w:hint="eastAsia"/>
        </w:rPr>
        <w:t>（一）总体目标</w:t>
      </w:r>
      <w:bookmarkEnd w:id="32"/>
    </w:p>
    <w:p>
      <w:pPr>
        <w:ind w:firstLine="560"/>
      </w:pPr>
      <w:r>
        <w:rPr>
          <w:rFonts w:hint="eastAsia"/>
        </w:rPr>
        <w:t>到2</w:t>
      </w:r>
      <w:r>
        <w:t>025</w:t>
      </w:r>
      <w:r>
        <w:rPr>
          <w:rFonts w:hint="eastAsia"/>
        </w:rPr>
        <w:t>年，农业综合生产能力大幅提升，基本建立以高标准农田为基础，以粮食生产功能区、重要农产品生产保护区和特色农产品优势区为支撑的产能保障格局；粮食及重要农产品供给稳定，农业生产结构和区域布局进一步优化，粮食及重要农产品产量依托科技进步进一步提高；农业全产业链完整完备，农业产业链向育种、科技研发、加工、销售、物流及服务等上下游进一步延伸，休闲农业、农村电商等新产业新业态不断涌现；现代农业经营体系基本建立，适度规模经营形式多样，农业专业化社会化服务组织发展壮大，小农户和现代农业有机衔接；全面推动博罗县农业农村基本实现现代化。</w:t>
      </w:r>
    </w:p>
    <w:p>
      <w:pPr>
        <w:ind w:firstLine="560"/>
        <w:rPr>
          <w:rFonts w:ascii="仿宋" w:hAnsi="仿宋"/>
          <w:szCs w:val="28"/>
        </w:rPr>
      </w:pPr>
      <w:r>
        <w:rPr>
          <w:rFonts w:hint="eastAsia"/>
        </w:rPr>
        <w:t>到2</w:t>
      </w:r>
      <w:r>
        <w:t>025</w:t>
      </w:r>
      <w:r>
        <w:rPr>
          <w:rFonts w:hint="eastAsia"/>
        </w:rPr>
        <w:t>年，博罗县农业产业结构进一步优化，农业、林业、畜牧业及服务业比值变为</w:t>
      </w:r>
      <w:r>
        <w:rPr>
          <w:rFonts w:ascii="仿宋" w:hAnsi="仿宋"/>
          <w:szCs w:val="28"/>
        </w:rPr>
        <w:t>52:4:24</w:t>
      </w:r>
      <w:r>
        <w:rPr>
          <w:rFonts w:hint="eastAsia" w:ascii="仿宋" w:hAnsi="仿宋"/>
          <w:szCs w:val="28"/>
        </w:rPr>
        <w:t>：</w:t>
      </w:r>
      <w:r>
        <w:rPr>
          <w:rFonts w:ascii="仿宋" w:hAnsi="仿宋"/>
          <w:szCs w:val="28"/>
        </w:rPr>
        <w:t>15</w:t>
      </w:r>
      <w:r>
        <w:rPr>
          <w:rFonts w:hint="eastAsia" w:ascii="仿宋" w:hAnsi="仿宋"/>
          <w:szCs w:val="28"/>
        </w:rPr>
        <w:t>。经过“十四五”发展，农业（种植业）种植面积保持稳定，产量稳步提升，生态更加友好，效益明显提高；林业面积扩大，森林覆盖率提高，环境得到改善；畜牧业集约化发展，产量稳步提升；服务业取得快速发展，相关支农服务更加完善专业，休闲农业全面发展。</w:t>
      </w:r>
      <w:r>
        <w:rPr>
          <w:rFonts w:hint="eastAsia"/>
        </w:rPr>
        <w:t>农业（种植业）所占比重下降，林业略微提升，畜牧业保持稳定，服务业大幅提升，农业产业结构进一步优化。</w:t>
      </w:r>
    </w:p>
    <w:p>
      <w:pPr>
        <w:ind w:firstLine="560"/>
        <w:rPr>
          <w:rFonts w:ascii="仿宋" w:hAnsi="仿宋"/>
          <w:szCs w:val="28"/>
        </w:rPr>
      </w:pPr>
      <w:r>
        <w:rPr>
          <w:rFonts w:hint="eastAsia" w:ascii="仿宋" w:hAnsi="仿宋"/>
          <w:szCs w:val="28"/>
        </w:rPr>
        <w:t>到2</w:t>
      </w:r>
      <w:r>
        <w:rPr>
          <w:rFonts w:ascii="仿宋" w:hAnsi="仿宋"/>
          <w:szCs w:val="28"/>
        </w:rPr>
        <w:t>025</w:t>
      </w:r>
      <w:r>
        <w:rPr>
          <w:rFonts w:hint="eastAsia" w:ascii="仿宋" w:hAnsi="仿宋"/>
          <w:szCs w:val="28"/>
        </w:rPr>
        <w:t>年，博罗县以高标准农田建设和标准化农业生产示范区为基础，加快土地流转，促进农业规模化发展；加大农业科技投入，提升农业科技贡献率；注重生态文明建设，加大面源污染治理；农业发展进一步向标准化、规模化、绿色化、数字化、品牌化转型，产业内部相互连接关系更加精密，一二三产业融合程度进一步提升。</w:t>
      </w:r>
    </w:p>
    <w:p>
      <w:pPr>
        <w:ind w:firstLine="560"/>
        <w:rPr>
          <w:rFonts w:ascii="仿宋" w:hAnsi="仿宋"/>
          <w:szCs w:val="28"/>
        </w:rPr>
      </w:pPr>
      <w:r>
        <w:rPr>
          <w:rFonts w:hint="eastAsia" w:ascii="仿宋" w:hAnsi="仿宋"/>
          <w:szCs w:val="28"/>
        </w:rPr>
        <w:t>到2</w:t>
      </w:r>
      <w:r>
        <w:rPr>
          <w:rFonts w:ascii="仿宋" w:hAnsi="仿宋"/>
          <w:szCs w:val="28"/>
        </w:rPr>
        <w:t>025</w:t>
      </w:r>
      <w:r>
        <w:rPr>
          <w:rFonts w:hint="eastAsia" w:ascii="仿宋" w:hAnsi="仿宋"/>
          <w:szCs w:val="28"/>
        </w:rPr>
        <w:t>年，“一村一品”及农业园区建设取得良好成效，农业产业链延长，农产品附加值提升，加工业产值占农业总产值的比重大幅上涨。</w:t>
      </w:r>
    </w:p>
    <w:p>
      <w:pPr>
        <w:ind w:firstLine="560"/>
        <w:rPr>
          <w:rFonts w:ascii="仿宋" w:hAnsi="仿宋"/>
          <w:szCs w:val="28"/>
        </w:rPr>
      </w:pPr>
      <w:r>
        <w:rPr>
          <w:rFonts w:hint="eastAsia" w:ascii="仿宋" w:hAnsi="仿宋"/>
          <w:szCs w:val="28"/>
        </w:rPr>
        <w:t>到</w:t>
      </w:r>
      <w:r>
        <w:rPr>
          <w:rFonts w:ascii="仿宋" w:hAnsi="仿宋"/>
          <w:szCs w:val="28"/>
        </w:rPr>
        <w:t>2025</w:t>
      </w:r>
      <w:r>
        <w:rPr>
          <w:rFonts w:hint="eastAsia" w:ascii="仿宋" w:hAnsi="仿宋"/>
          <w:szCs w:val="28"/>
        </w:rPr>
        <w:t>年，美丽乡村建设全面完成，干净整洁村全面实现，美丽宜居村达到10</w:t>
      </w:r>
      <w:r>
        <w:rPr>
          <w:rFonts w:ascii="仿宋" w:hAnsi="仿宋"/>
          <w:szCs w:val="28"/>
        </w:rPr>
        <w:t>0%，</w:t>
      </w:r>
      <w:r>
        <w:rPr>
          <w:rFonts w:hint="eastAsia" w:ascii="仿宋" w:hAnsi="仿宋"/>
          <w:szCs w:val="28"/>
          <w:lang w:eastAsia="zh-CN"/>
        </w:rPr>
        <w:t>因地制宜</w:t>
      </w:r>
      <w:r>
        <w:rPr>
          <w:rFonts w:hint="eastAsia" w:ascii="仿宋" w:hAnsi="仿宋"/>
          <w:szCs w:val="28"/>
        </w:rPr>
        <w:t>打造</w:t>
      </w:r>
      <w:r>
        <w:rPr>
          <w:rFonts w:ascii="仿宋" w:hAnsi="仿宋"/>
          <w:szCs w:val="28"/>
        </w:rPr>
        <w:t>特色精品村。</w:t>
      </w:r>
    </w:p>
    <w:p>
      <w:pPr>
        <w:pStyle w:val="5"/>
        <w:ind w:firstLine="562"/>
      </w:pPr>
      <w:bookmarkStart w:id="33" w:name="_Toc107350574"/>
      <w:r>
        <w:rPr>
          <w:rFonts w:hint="eastAsia"/>
        </w:rPr>
        <w:t>（二）具体目标</w:t>
      </w:r>
      <w:bookmarkEnd w:id="33"/>
    </w:p>
    <w:p>
      <w:pPr>
        <w:ind w:firstLine="560"/>
        <w:rPr>
          <w:rFonts w:ascii="仿宋" w:hAnsi="仿宋"/>
          <w:szCs w:val="28"/>
        </w:rPr>
      </w:pPr>
      <w:r>
        <w:rPr>
          <w:rFonts w:hint="eastAsia" w:ascii="仿宋" w:hAnsi="仿宋"/>
          <w:szCs w:val="28"/>
        </w:rPr>
        <w:t>“十四五”期间，博罗县将迈向率先基本实现农业现代化新征程，基本形成现代农业产业体系、现代农业生产体系、现代农业经营体系，走上产出高效、产品安全、资源节约、环境友好的现代化农业发展道路，土地产出率、劳动生产率、资源利用率显著提高，实现创新融合、集约高效、开放合作、绿色精品的特色现代农业发展新格局。具体目标（见附表）。</w:t>
      </w:r>
    </w:p>
    <w:tbl>
      <w:tblPr>
        <w:tblStyle w:val="22"/>
        <w:tblW w:w="7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632"/>
        <w:gridCol w:w="3037"/>
        <w:gridCol w:w="836"/>
        <w:gridCol w:w="881"/>
        <w:gridCol w:w="861"/>
        <w:gridCol w:w="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3"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分类</w:t>
            </w: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序号</w:t>
            </w:r>
          </w:p>
        </w:tc>
        <w:tc>
          <w:tcPr>
            <w:tcW w:w="3037" w:type="dxa"/>
            <w:vAlign w:val="center"/>
          </w:tcPr>
          <w:p>
            <w:pPr>
              <w:widowControl/>
              <w:spacing w:line="240" w:lineRule="auto"/>
              <w:ind w:firstLine="0" w:firstLineChars="0"/>
              <w:jc w:val="center"/>
              <w:rPr>
                <w:rFonts w:ascii="仿宋" w:hAnsi="仿宋"/>
                <w:sz w:val="21"/>
                <w:szCs w:val="21"/>
              </w:rPr>
            </w:pPr>
            <w:r>
              <w:rPr>
                <w:rFonts w:ascii="仿宋" w:hAnsi="仿宋"/>
                <w:sz w:val="21"/>
                <w:szCs w:val="21"/>
              </w:rPr>
              <w:t>主要指标</w:t>
            </w:r>
          </w:p>
        </w:tc>
        <w:tc>
          <w:tcPr>
            <w:tcW w:w="836"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单位</w:t>
            </w:r>
          </w:p>
        </w:tc>
        <w:tc>
          <w:tcPr>
            <w:tcW w:w="88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2020年基期值</w:t>
            </w:r>
          </w:p>
        </w:tc>
        <w:tc>
          <w:tcPr>
            <w:tcW w:w="861" w:type="dxa"/>
            <w:noWrap/>
            <w:vAlign w:val="center"/>
          </w:tcPr>
          <w:p>
            <w:pPr>
              <w:widowControl/>
              <w:spacing w:line="240" w:lineRule="auto"/>
              <w:ind w:firstLine="0" w:firstLineChars="0"/>
              <w:jc w:val="center"/>
              <w:rPr>
                <w:rFonts w:ascii="仿宋" w:hAnsi="仿宋"/>
                <w:sz w:val="21"/>
                <w:szCs w:val="21"/>
              </w:rPr>
            </w:pPr>
            <w:r>
              <w:rPr>
                <w:rFonts w:ascii="仿宋" w:hAnsi="仿宋"/>
                <w:sz w:val="20"/>
                <w:szCs w:val="20"/>
              </w:rPr>
              <w:t>2025年目标值</w:t>
            </w:r>
          </w:p>
        </w:tc>
        <w:tc>
          <w:tcPr>
            <w:tcW w:w="950"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restart"/>
            <w:noWrap/>
            <w:vAlign w:val="center"/>
          </w:tcPr>
          <w:p>
            <w:pPr>
              <w:widowControl/>
              <w:spacing w:line="240" w:lineRule="auto"/>
              <w:ind w:firstLine="0" w:firstLineChars="0"/>
              <w:jc w:val="center"/>
              <w:rPr>
                <w:rFonts w:ascii="仿宋" w:hAnsi="仿宋"/>
                <w:sz w:val="21"/>
                <w:szCs w:val="21"/>
              </w:rPr>
            </w:pPr>
            <w:r>
              <w:rPr>
                <w:rFonts w:hint="eastAsia" w:ascii="仿宋" w:hAnsi="仿宋"/>
                <w:sz w:val="21"/>
                <w:szCs w:val="21"/>
              </w:rPr>
              <w:t>农业综合生产能力</w:t>
            </w: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1</w:t>
            </w:r>
          </w:p>
        </w:tc>
        <w:tc>
          <w:tcPr>
            <w:tcW w:w="3037" w:type="dxa"/>
            <w:shd w:val="clear" w:color="auto" w:fill="auto"/>
            <w:vAlign w:val="center"/>
          </w:tcPr>
          <w:p>
            <w:pPr>
              <w:widowControl/>
              <w:spacing w:line="240" w:lineRule="auto"/>
              <w:ind w:firstLine="0" w:firstLineChars="0"/>
              <w:jc w:val="left"/>
              <w:rPr>
                <w:rFonts w:ascii="仿宋" w:hAnsi="仿宋"/>
                <w:sz w:val="21"/>
                <w:szCs w:val="21"/>
              </w:rPr>
            </w:pPr>
            <w:r>
              <w:rPr>
                <w:rFonts w:hint="eastAsia" w:ascii="仿宋" w:hAnsi="仿宋"/>
                <w:sz w:val="21"/>
                <w:szCs w:val="21"/>
              </w:rPr>
              <w:t>农业总产值</w:t>
            </w:r>
          </w:p>
        </w:tc>
        <w:tc>
          <w:tcPr>
            <w:tcW w:w="836" w:type="dxa"/>
            <w:shd w:val="clear" w:color="auto" w:fill="auto"/>
            <w:noWrap/>
            <w:vAlign w:val="center"/>
          </w:tcPr>
          <w:p>
            <w:pPr>
              <w:widowControl/>
              <w:spacing w:line="240" w:lineRule="auto"/>
              <w:ind w:firstLine="0" w:firstLineChars="0"/>
              <w:jc w:val="center"/>
              <w:rPr>
                <w:rFonts w:ascii="仿宋" w:hAnsi="仿宋"/>
                <w:sz w:val="21"/>
                <w:szCs w:val="21"/>
              </w:rPr>
            </w:pPr>
            <w:r>
              <w:rPr>
                <w:rFonts w:hint="eastAsia" w:ascii="仿宋" w:hAnsi="仿宋"/>
                <w:sz w:val="21"/>
                <w:szCs w:val="21"/>
              </w:rPr>
              <w:t>亿元</w:t>
            </w:r>
          </w:p>
        </w:tc>
        <w:tc>
          <w:tcPr>
            <w:tcW w:w="881"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111.28</w:t>
            </w:r>
          </w:p>
        </w:tc>
        <w:tc>
          <w:tcPr>
            <w:tcW w:w="861"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&gt;120</w:t>
            </w:r>
          </w:p>
        </w:tc>
        <w:tc>
          <w:tcPr>
            <w:tcW w:w="950"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noWrap/>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2</w:t>
            </w:r>
          </w:p>
        </w:tc>
        <w:tc>
          <w:tcPr>
            <w:tcW w:w="3037" w:type="dxa"/>
            <w:shd w:val="clear" w:color="auto" w:fill="auto"/>
            <w:vAlign w:val="center"/>
          </w:tcPr>
          <w:p>
            <w:pPr>
              <w:widowControl/>
              <w:spacing w:line="240" w:lineRule="auto"/>
              <w:ind w:firstLine="0" w:firstLineChars="0"/>
              <w:jc w:val="left"/>
              <w:rPr>
                <w:rFonts w:ascii="仿宋" w:hAnsi="仿宋"/>
                <w:sz w:val="21"/>
                <w:szCs w:val="21"/>
              </w:rPr>
            </w:pPr>
            <w:r>
              <w:rPr>
                <w:rFonts w:ascii="仿宋" w:hAnsi="仿宋"/>
                <w:sz w:val="21"/>
                <w:szCs w:val="21"/>
              </w:rPr>
              <w:t>高标准农田面积</w:t>
            </w:r>
          </w:p>
        </w:tc>
        <w:tc>
          <w:tcPr>
            <w:tcW w:w="836"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万亩</w:t>
            </w:r>
          </w:p>
        </w:tc>
        <w:tc>
          <w:tcPr>
            <w:tcW w:w="881"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45.52</w:t>
            </w:r>
          </w:p>
        </w:tc>
        <w:tc>
          <w:tcPr>
            <w:tcW w:w="861"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&gt;55</w:t>
            </w:r>
          </w:p>
        </w:tc>
        <w:tc>
          <w:tcPr>
            <w:tcW w:w="950"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noWrap/>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3</w:t>
            </w:r>
          </w:p>
        </w:tc>
        <w:tc>
          <w:tcPr>
            <w:tcW w:w="3037" w:type="dxa"/>
            <w:shd w:val="clear" w:color="auto" w:fill="auto"/>
            <w:vAlign w:val="center"/>
          </w:tcPr>
          <w:p>
            <w:pPr>
              <w:widowControl/>
              <w:spacing w:line="240" w:lineRule="auto"/>
              <w:ind w:firstLine="0" w:firstLineChars="0"/>
              <w:jc w:val="left"/>
              <w:rPr>
                <w:rFonts w:ascii="仿宋" w:hAnsi="仿宋"/>
                <w:sz w:val="21"/>
                <w:szCs w:val="21"/>
              </w:rPr>
            </w:pPr>
            <w:r>
              <w:rPr>
                <w:rFonts w:ascii="仿宋" w:hAnsi="仿宋"/>
                <w:sz w:val="21"/>
                <w:szCs w:val="21"/>
              </w:rPr>
              <w:t>粮食综合生产能力</w:t>
            </w:r>
          </w:p>
        </w:tc>
        <w:tc>
          <w:tcPr>
            <w:tcW w:w="836"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万吨</w:t>
            </w:r>
          </w:p>
        </w:tc>
        <w:tc>
          <w:tcPr>
            <w:tcW w:w="881"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15.27</w:t>
            </w:r>
          </w:p>
        </w:tc>
        <w:tc>
          <w:tcPr>
            <w:tcW w:w="861"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16</w:t>
            </w:r>
          </w:p>
        </w:tc>
        <w:tc>
          <w:tcPr>
            <w:tcW w:w="950" w:type="dxa"/>
            <w:shd w:val="clear" w:color="auto" w:fill="auto"/>
            <w:noWrap/>
            <w:vAlign w:val="center"/>
          </w:tcPr>
          <w:p>
            <w:pPr>
              <w:widowControl/>
              <w:spacing w:line="240" w:lineRule="auto"/>
              <w:ind w:firstLine="0" w:firstLineChars="0"/>
              <w:jc w:val="center"/>
              <w:rPr>
                <w:rFonts w:ascii="仿宋" w:hAnsi="仿宋"/>
                <w:sz w:val="21"/>
                <w:szCs w:val="21"/>
              </w:rPr>
            </w:pPr>
            <w:r>
              <w:rPr>
                <w:rFonts w:hint="eastAsia" w:ascii="仿宋" w:hAnsi="仿宋"/>
                <w:sz w:val="21"/>
                <w:szCs w:val="21"/>
              </w:rPr>
              <w:t>预期</w:t>
            </w:r>
            <w:r>
              <w:rPr>
                <w:rFonts w:ascii="仿宋" w:hAnsi="仿宋"/>
                <w:sz w:val="21"/>
                <w:szCs w:val="21"/>
              </w:rPr>
              <w:t>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noWrap/>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4</w:t>
            </w:r>
          </w:p>
        </w:tc>
        <w:tc>
          <w:tcPr>
            <w:tcW w:w="3037" w:type="dxa"/>
            <w:shd w:val="clear" w:color="auto" w:fill="auto"/>
            <w:vAlign w:val="center"/>
          </w:tcPr>
          <w:p>
            <w:pPr>
              <w:widowControl/>
              <w:spacing w:line="240" w:lineRule="auto"/>
              <w:ind w:firstLine="0" w:firstLineChars="0"/>
              <w:jc w:val="left"/>
              <w:rPr>
                <w:rFonts w:ascii="仿宋" w:hAnsi="仿宋"/>
                <w:sz w:val="21"/>
                <w:szCs w:val="21"/>
              </w:rPr>
            </w:pPr>
            <w:r>
              <w:rPr>
                <w:rFonts w:hint="eastAsia" w:ascii="仿宋" w:hAnsi="仿宋"/>
                <w:sz w:val="21"/>
                <w:szCs w:val="21"/>
              </w:rPr>
              <w:t>蔬菜产量</w:t>
            </w:r>
          </w:p>
        </w:tc>
        <w:tc>
          <w:tcPr>
            <w:tcW w:w="836" w:type="dxa"/>
            <w:shd w:val="clear" w:color="auto" w:fill="auto"/>
            <w:noWrap/>
          </w:tcPr>
          <w:p>
            <w:pPr>
              <w:spacing w:line="240" w:lineRule="auto"/>
              <w:ind w:firstLine="0" w:firstLineChars="0"/>
              <w:jc w:val="center"/>
              <w:rPr>
                <w:rFonts w:ascii="仿宋" w:hAnsi="仿宋"/>
                <w:sz w:val="21"/>
                <w:szCs w:val="21"/>
              </w:rPr>
            </w:pPr>
            <w:r>
              <w:rPr>
                <w:rFonts w:ascii="仿宋" w:hAnsi="仿宋"/>
                <w:sz w:val="21"/>
                <w:szCs w:val="21"/>
              </w:rPr>
              <w:t>万吨</w:t>
            </w:r>
          </w:p>
        </w:tc>
        <w:tc>
          <w:tcPr>
            <w:tcW w:w="881"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101.17</w:t>
            </w:r>
          </w:p>
        </w:tc>
        <w:tc>
          <w:tcPr>
            <w:tcW w:w="861"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110</w:t>
            </w:r>
          </w:p>
        </w:tc>
        <w:tc>
          <w:tcPr>
            <w:tcW w:w="950" w:type="dxa"/>
            <w:shd w:val="clear" w:color="auto" w:fill="auto"/>
            <w:noWrap/>
          </w:tcPr>
          <w:p>
            <w:pPr>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5</w:t>
            </w:r>
          </w:p>
        </w:tc>
        <w:tc>
          <w:tcPr>
            <w:tcW w:w="3037" w:type="dxa"/>
            <w:shd w:val="clear" w:color="auto" w:fill="auto"/>
            <w:vAlign w:val="center"/>
          </w:tcPr>
          <w:p>
            <w:pPr>
              <w:widowControl/>
              <w:spacing w:line="240" w:lineRule="auto"/>
              <w:ind w:firstLine="0" w:firstLineChars="0"/>
              <w:jc w:val="left"/>
              <w:rPr>
                <w:rFonts w:ascii="仿宋" w:hAnsi="仿宋"/>
                <w:sz w:val="21"/>
                <w:szCs w:val="21"/>
              </w:rPr>
            </w:pPr>
            <w:r>
              <w:rPr>
                <w:rFonts w:hint="eastAsia" w:ascii="仿宋" w:hAnsi="仿宋"/>
                <w:sz w:val="21"/>
                <w:szCs w:val="21"/>
              </w:rPr>
              <w:t>肉类产量</w:t>
            </w:r>
          </w:p>
        </w:tc>
        <w:tc>
          <w:tcPr>
            <w:tcW w:w="836" w:type="dxa"/>
            <w:shd w:val="clear" w:color="auto" w:fill="auto"/>
            <w:noWrap/>
          </w:tcPr>
          <w:p>
            <w:pPr>
              <w:spacing w:line="240" w:lineRule="auto"/>
              <w:ind w:firstLine="0" w:firstLineChars="0"/>
              <w:jc w:val="center"/>
              <w:rPr>
                <w:rFonts w:ascii="仿宋" w:hAnsi="仿宋"/>
                <w:sz w:val="21"/>
                <w:szCs w:val="21"/>
              </w:rPr>
            </w:pPr>
            <w:r>
              <w:rPr>
                <w:rFonts w:ascii="仿宋" w:hAnsi="仿宋"/>
                <w:sz w:val="21"/>
                <w:szCs w:val="21"/>
              </w:rPr>
              <w:t>万吨</w:t>
            </w:r>
          </w:p>
        </w:tc>
        <w:tc>
          <w:tcPr>
            <w:tcW w:w="881"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6.96</w:t>
            </w:r>
          </w:p>
        </w:tc>
        <w:tc>
          <w:tcPr>
            <w:tcW w:w="861"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8</w:t>
            </w:r>
          </w:p>
        </w:tc>
        <w:tc>
          <w:tcPr>
            <w:tcW w:w="950" w:type="dxa"/>
            <w:shd w:val="clear" w:color="auto" w:fill="auto"/>
            <w:noWrap/>
          </w:tcPr>
          <w:p>
            <w:pPr>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6</w:t>
            </w:r>
          </w:p>
        </w:tc>
        <w:tc>
          <w:tcPr>
            <w:tcW w:w="3037" w:type="dxa"/>
            <w:shd w:val="clear" w:color="auto" w:fill="auto"/>
            <w:vAlign w:val="center"/>
          </w:tcPr>
          <w:p>
            <w:pPr>
              <w:widowControl/>
              <w:spacing w:line="240" w:lineRule="auto"/>
              <w:ind w:firstLine="0" w:firstLineChars="0"/>
              <w:jc w:val="left"/>
              <w:rPr>
                <w:rFonts w:ascii="仿宋" w:hAnsi="仿宋"/>
                <w:sz w:val="21"/>
                <w:szCs w:val="21"/>
              </w:rPr>
            </w:pPr>
            <w:r>
              <w:rPr>
                <w:rFonts w:hint="eastAsia" w:ascii="仿宋" w:hAnsi="仿宋"/>
                <w:sz w:val="21"/>
                <w:szCs w:val="21"/>
              </w:rPr>
              <w:t>禽蛋产量</w:t>
            </w:r>
          </w:p>
        </w:tc>
        <w:tc>
          <w:tcPr>
            <w:tcW w:w="836" w:type="dxa"/>
            <w:shd w:val="clear" w:color="auto" w:fill="auto"/>
            <w:noWrap/>
          </w:tcPr>
          <w:p>
            <w:pPr>
              <w:spacing w:line="240" w:lineRule="auto"/>
              <w:ind w:firstLine="0" w:firstLineChars="0"/>
              <w:jc w:val="center"/>
              <w:rPr>
                <w:rFonts w:ascii="仿宋" w:hAnsi="仿宋"/>
                <w:sz w:val="21"/>
                <w:szCs w:val="21"/>
              </w:rPr>
            </w:pPr>
            <w:r>
              <w:rPr>
                <w:rFonts w:ascii="仿宋" w:hAnsi="仿宋"/>
                <w:sz w:val="21"/>
                <w:szCs w:val="21"/>
              </w:rPr>
              <w:t>吨</w:t>
            </w:r>
          </w:p>
        </w:tc>
        <w:tc>
          <w:tcPr>
            <w:tcW w:w="881"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4236</w:t>
            </w:r>
          </w:p>
        </w:tc>
        <w:tc>
          <w:tcPr>
            <w:tcW w:w="861"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4500</w:t>
            </w:r>
          </w:p>
        </w:tc>
        <w:tc>
          <w:tcPr>
            <w:tcW w:w="950" w:type="dxa"/>
            <w:shd w:val="clear" w:color="auto" w:fill="auto"/>
            <w:noWrap/>
          </w:tcPr>
          <w:p>
            <w:pPr>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color w:val="FF0000"/>
                <w:sz w:val="21"/>
                <w:szCs w:val="21"/>
              </w:rPr>
            </w:pPr>
            <w:r>
              <w:rPr>
                <w:rFonts w:ascii="仿宋" w:hAnsi="仿宋"/>
                <w:sz w:val="21"/>
                <w:szCs w:val="21"/>
              </w:rPr>
              <w:t>7</w:t>
            </w:r>
          </w:p>
        </w:tc>
        <w:tc>
          <w:tcPr>
            <w:tcW w:w="3037" w:type="dxa"/>
            <w:shd w:val="clear" w:color="auto" w:fill="auto"/>
            <w:vAlign w:val="center"/>
          </w:tcPr>
          <w:p>
            <w:pPr>
              <w:widowControl/>
              <w:spacing w:line="240" w:lineRule="auto"/>
              <w:ind w:firstLine="0" w:firstLineChars="0"/>
              <w:jc w:val="left"/>
              <w:rPr>
                <w:rFonts w:ascii="仿宋" w:hAnsi="仿宋"/>
                <w:sz w:val="21"/>
                <w:szCs w:val="21"/>
              </w:rPr>
            </w:pPr>
            <w:r>
              <w:rPr>
                <w:rFonts w:hint="eastAsia" w:ascii="仿宋" w:hAnsi="仿宋"/>
                <w:sz w:val="21"/>
                <w:szCs w:val="21"/>
              </w:rPr>
              <w:t>水产品产量</w:t>
            </w:r>
          </w:p>
        </w:tc>
        <w:tc>
          <w:tcPr>
            <w:tcW w:w="836" w:type="dxa"/>
            <w:shd w:val="clear" w:color="auto" w:fill="auto"/>
            <w:noWrap/>
          </w:tcPr>
          <w:p>
            <w:pPr>
              <w:spacing w:line="240" w:lineRule="auto"/>
              <w:ind w:firstLine="0" w:firstLineChars="0"/>
              <w:jc w:val="center"/>
              <w:rPr>
                <w:rFonts w:ascii="仿宋" w:hAnsi="仿宋"/>
                <w:sz w:val="21"/>
                <w:szCs w:val="21"/>
              </w:rPr>
            </w:pPr>
            <w:r>
              <w:rPr>
                <w:rFonts w:ascii="仿宋" w:hAnsi="仿宋"/>
                <w:sz w:val="21"/>
                <w:szCs w:val="21"/>
              </w:rPr>
              <w:t>万吨</w:t>
            </w:r>
          </w:p>
        </w:tc>
        <w:tc>
          <w:tcPr>
            <w:tcW w:w="881" w:type="dxa"/>
            <w:shd w:val="clear" w:color="auto" w:fill="auto"/>
            <w:noWrap/>
            <w:vAlign w:val="center"/>
          </w:tcPr>
          <w:p>
            <w:pPr>
              <w:widowControl/>
              <w:spacing w:line="240" w:lineRule="auto"/>
              <w:ind w:firstLine="0" w:firstLineChars="0"/>
              <w:jc w:val="center"/>
              <w:rPr>
                <w:rFonts w:ascii="仿宋" w:hAnsi="仿宋"/>
                <w:sz w:val="21"/>
                <w:szCs w:val="21"/>
              </w:rPr>
            </w:pPr>
            <w:r>
              <w:rPr>
                <w:rFonts w:hint="eastAsia" w:ascii="仿宋" w:hAnsi="仿宋"/>
                <w:sz w:val="21"/>
                <w:szCs w:val="21"/>
              </w:rPr>
              <w:t>3.26</w:t>
            </w:r>
          </w:p>
        </w:tc>
        <w:tc>
          <w:tcPr>
            <w:tcW w:w="861"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9.5</w:t>
            </w:r>
          </w:p>
        </w:tc>
        <w:tc>
          <w:tcPr>
            <w:tcW w:w="950" w:type="dxa"/>
            <w:shd w:val="clear" w:color="auto" w:fill="auto"/>
            <w:noWrap/>
          </w:tcPr>
          <w:p>
            <w:pPr>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8</w:t>
            </w:r>
          </w:p>
        </w:tc>
        <w:tc>
          <w:tcPr>
            <w:tcW w:w="3037" w:type="dxa"/>
            <w:shd w:val="clear" w:color="auto" w:fill="auto"/>
            <w:vAlign w:val="center"/>
          </w:tcPr>
          <w:p>
            <w:pPr>
              <w:widowControl/>
              <w:spacing w:line="240" w:lineRule="auto"/>
              <w:ind w:firstLine="0" w:firstLineChars="0"/>
              <w:jc w:val="left"/>
              <w:rPr>
                <w:rFonts w:ascii="仿宋" w:hAnsi="仿宋"/>
                <w:sz w:val="21"/>
                <w:szCs w:val="21"/>
              </w:rPr>
            </w:pPr>
            <w:r>
              <w:rPr>
                <w:rFonts w:hint="eastAsia" w:ascii="仿宋" w:hAnsi="仿宋"/>
                <w:sz w:val="21"/>
                <w:szCs w:val="21"/>
              </w:rPr>
              <w:t>水稻</w:t>
            </w:r>
            <w:r>
              <w:rPr>
                <w:rFonts w:ascii="仿宋" w:hAnsi="仿宋"/>
                <w:sz w:val="21"/>
                <w:szCs w:val="21"/>
              </w:rPr>
              <w:t>耕种收综合机械化率</w:t>
            </w:r>
          </w:p>
        </w:tc>
        <w:tc>
          <w:tcPr>
            <w:tcW w:w="836"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w:t>
            </w:r>
          </w:p>
        </w:tc>
        <w:tc>
          <w:tcPr>
            <w:tcW w:w="881"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79.13</w:t>
            </w:r>
          </w:p>
        </w:tc>
        <w:tc>
          <w:tcPr>
            <w:tcW w:w="861" w:type="dxa"/>
            <w:shd w:val="clear" w:color="auto" w:fill="auto"/>
            <w:noWrap/>
            <w:vAlign w:val="center"/>
          </w:tcPr>
          <w:p>
            <w:pPr>
              <w:widowControl/>
              <w:spacing w:line="240" w:lineRule="auto"/>
              <w:ind w:firstLine="0" w:firstLineChars="0"/>
              <w:jc w:val="center"/>
              <w:rPr>
                <w:rFonts w:ascii="仿宋" w:hAnsi="仿宋"/>
                <w:sz w:val="21"/>
                <w:szCs w:val="21"/>
              </w:rPr>
            </w:pPr>
            <w:r>
              <w:rPr>
                <w:rFonts w:hint="eastAsia" w:ascii="仿宋" w:hAnsi="仿宋"/>
                <w:sz w:val="21"/>
                <w:szCs w:val="21"/>
              </w:rPr>
              <w:t>8</w:t>
            </w:r>
            <w:r>
              <w:rPr>
                <w:rFonts w:ascii="仿宋" w:hAnsi="仿宋"/>
                <w:sz w:val="21"/>
                <w:szCs w:val="21"/>
              </w:rPr>
              <w:t>5</w:t>
            </w:r>
          </w:p>
        </w:tc>
        <w:tc>
          <w:tcPr>
            <w:tcW w:w="950"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9</w:t>
            </w:r>
          </w:p>
        </w:tc>
        <w:tc>
          <w:tcPr>
            <w:tcW w:w="3037" w:type="dxa"/>
            <w:shd w:val="clear" w:color="auto" w:fill="auto"/>
            <w:vAlign w:val="center"/>
          </w:tcPr>
          <w:p>
            <w:pPr>
              <w:widowControl/>
              <w:spacing w:line="240" w:lineRule="auto"/>
              <w:ind w:firstLine="0" w:firstLineChars="0"/>
              <w:jc w:val="left"/>
              <w:rPr>
                <w:rFonts w:ascii="仿宋" w:hAnsi="仿宋"/>
                <w:sz w:val="21"/>
                <w:szCs w:val="21"/>
              </w:rPr>
            </w:pPr>
            <w:r>
              <w:rPr>
                <w:rFonts w:ascii="仿宋" w:hAnsi="仿宋"/>
                <w:sz w:val="21"/>
                <w:szCs w:val="21"/>
              </w:rPr>
              <w:t>农业劳动生产率</w:t>
            </w:r>
          </w:p>
        </w:tc>
        <w:tc>
          <w:tcPr>
            <w:tcW w:w="836"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16"/>
                <w:szCs w:val="16"/>
              </w:rPr>
              <w:t>万元/人</w:t>
            </w:r>
          </w:p>
        </w:tc>
        <w:tc>
          <w:tcPr>
            <w:tcW w:w="881"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4.2</w:t>
            </w:r>
          </w:p>
        </w:tc>
        <w:tc>
          <w:tcPr>
            <w:tcW w:w="861"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5.5</w:t>
            </w:r>
          </w:p>
        </w:tc>
        <w:tc>
          <w:tcPr>
            <w:tcW w:w="950"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10</w:t>
            </w:r>
          </w:p>
        </w:tc>
        <w:tc>
          <w:tcPr>
            <w:tcW w:w="3037" w:type="dxa"/>
            <w:shd w:val="clear" w:color="auto" w:fill="auto"/>
            <w:vAlign w:val="center"/>
          </w:tcPr>
          <w:p>
            <w:pPr>
              <w:widowControl/>
              <w:spacing w:line="240" w:lineRule="auto"/>
              <w:ind w:firstLine="0" w:firstLineChars="0"/>
              <w:jc w:val="left"/>
              <w:rPr>
                <w:rFonts w:ascii="仿宋" w:hAnsi="仿宋"/>
                <w:sz w:val="21"/>
                <w:szCs w:val="21"/>
              </w:rPr>
            </w:pPr>
            <w:r>
              <w:rPr>
                <w:rFonts w:ascii="仿宋" w:hAnsi="仿宋"/>
                <w:sz w:val="21"/>
                <w:szCs w:val="21"/>
              </w:rPr>
              <w:t>农业土地产出率</w:t>
            </w:r>
          </w:p>
        </w:tc>
        <w:tc>
          <w:tcPr>
            <w:tcW w:w="836"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16"/>
                <w:szCs w:val="16"/>
              </w:rPr>
              <w:t>万元/亩</w:t>
            </w:r>
          </w:p>
        </w:tc>
        <w:tc>
          <w:tcPr>
            <w:tcW w:w="881"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1.6</w:t>
            </w:r>
          </w:p>
        </w:tc>
        <w:tc>
          <w:tcPr>
            <w:tcW w:w="861"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2.2</w:t>
            </w:r>
          </w:p>
        </w:tc>
        <w:tc>
          <w:tcPr>
            <w:tcW w:w="950"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hint="eastAsia" w:ascii="仿宋" w:hAnsi="仿宋"/>
                <w:sz w:val="21"/>
                <w:szCs w:val="21"/>
              </w:rPr>
              <w:t>1</w:t>
            </w:r>
            <w:r>
              <w:rPr>
                <w:rFonts w:ascii="仿宋" w:hAnsi="仿宋"/>
                <w:sz w:val="21"/>
                <w:szCs w:val="21"/>
              </w:rPr>
              <w:t>1</w:t>
            </w:r>
          </w:p>
        </w:tc>
        <w:tc>
          <w:tcPr>
            <w:tcW w:w="3037" w:type="dxa"/>
            <w:shd w:val="clear" w:color="auto" w:fill="auto"/>
            <w:vAlign w:val="center"/>
          </w:tcPr>
          <w:p>
            <w:pPr>
              <w:widowControl/>
              <w:spacing w:line="240" w:lineRule="auto"/>
              <w:ind w:firstLine="0" w:firstLineChars="0"/>
              <w:jc w:val="left"/>
              <w:rPr>
                <w:rFonts w:ascii="仿宋" w:hAnsi="仿宋"/>
                <w:sz w:val="21"/>
                <w:szCs w:val="21"/>
              </w:rPr>
            </w:pPr>
            <w:r>
              <w:rPr>
                <w:rFonts w:ascii="仿宋" w:hAnsi="仿宋"/>
                <w:sz w:val="21"/>
                <w:szCs w:val="21"/>
              </w:rPr>
              <w:t>土地经营规模化率</w:t>
            </w:r>
          </w:p>
        </w:tc>
        <w:tc>
          <w:tcPr>
            <w:tcW w:w="836"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w:t>
            </w:r>
          </w:p>
        </w:tc>
        <w:tc>
          <w:tcPr>
            <w:tcW w:w="881"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4</w:t>
            </w:r>
            <w:r>
              <w:rPr>
                <w:rFonts w:hint="eastAsia" w:ascii="仿宋" w:hAnsi="仿宋"/>
                <w:sz w:val="21"/>
                <w:szCs w:val="21"/>
              </w:rPr>
              <w:t>3</w:t>
            </w:r>
          </w:p>
        </w:tc>
        <w:tc>
          <w:tcPr>
            <w:tcW w:w="861"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50</w:t>
            </w:r>
          </w:p>
        </w:tc>
        <w:tc>
          <w:tcPr>
            <w:tcW w:w="950"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12</w:t>
            </w:r>
          </w:p>
        </w:tc>
        <w:tc>
          <w:tcPr>
            <w:tcW w:w="3037" w:type="dxa"/>
            <w:shd w:val="clear" w:color="auto" w:fill="auto"/>
            <w:vAlign w:val="center"/>
          </w:tcPr>
          <w:p>
            <w:pPr>
              <w:widowControl/>
              <w:spacing w:line="240" w:lineRule="auto"/>
              <w:ind w:firstLine="0" w:firstLineChars="0"/>
              <w:jc w:val="left"/>
              <w:rPr>
                <w:rFonts w:ascii="仿宋" w:hAnsi="仿宋"/>
                <w:sz w:val="21"/>
                <w:szCs w:val="21"/>
              </w:rPr>
            </w:pPr>
            <w:r>
              <w:rPr>
                <w:rFonts w:ascii="仿宋" w:hAnsi="仿宋"/>
                <w:sz w:val="21"/>
                <w:szCs w:val="21"/>
              </w:rPr>
              <w:t>畜禽粪污综合利用率</w:t>
            </w:r>
          </w:p>
        </w:tc>
        <w:tc>
          <w:tcPr>
            <w:tcW w:w="836"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w:t>
            </w:r>
          </w:p>
        </w:tc>
        <w:tc>
          <w:tcPr>
            <w:tcW w:w="881"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80</w:t>
            </w:r>
          </w:p>
        </w:tc>
        <w:tc>
          <w:tcPr>
            <w:tcW w:w="861"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&gt;85</w:t>
            </w:r>
          </w:p>
        </w:tc>
        <w:tc>
          <w:tcPr>
            <w:tcW w:w="950" w:type="dxa"/>
            <w:shd w:val="clear" w:color="auto" w:fill="auto"/>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13</w:t>
            </w:r>
          </w:p>
        </w:tc>
        <w:tc>
          <w:tcPr>
            <w:tcW w:w="3037" w:type="dxa"/>
            <w:vAlign w:val="center"/>
          </w:tcPr>
          <w:p>
            <w:pPr>
              <w:widowControl/>
              <w:spacing w:line="240" w:lineRule="auto"/>
              <w:ind w:firstLine="0" w:firstLineChars="0"/>
              <w:jc w:val="left"/>
              <w:rPr>
                <w:rFonts w:ascii="仿宋" w:hAnsi="仿宋"/>
                <w:sz w:val="21"/>
                <w:szCs w:val="21"/>
              </w:rPr>
            </w:pPr>
            <w:r>
              <w:rPr>
                <w:rFonts w:ascii="仿宋" w:hAnsi="仿宋"/>
                <w:sz w:val="21"/>
                <w:szCs w:val="21"/>
              </w:rPr>
              <w:t>休闲农业与乡村旅游接待人次</w:t>
            </w:r>
          </w:p>
        </w:tc>
        <w:tc>
          <w:tcPr>
            <w:tcW w:w="836" w:type="dxa"/>
            <w:noWrap/>
            <w:vAlign w:val="center"/>
          </w:tcPr>
          <w:p>
            <w:pPr>
              <w:widowControl/>
              <w:spacing w:line="240" w:lineRule="auto"/>
              <w:ind w:firstLine="0" w:firstLineChars="0"/>
              <w:jc w:val="center"/>
              <w:rPr>
                <w:rFonts w:ascii="仿宋" w:hAnsi="仿宋"/>
                <w:sz w:val="21"/>
                <w:szCs w:val="21"/>
              </w:rPr>
            </w:pPr>
            <w:r>
              <w:rPr>
                <w:rFonts w:ascii="仿宋" w:hAnsi="仿宋"/>
                <w:sz w:val="18"/>
                <w:szCs w:val="18"/>
              </w:rPr>
              <w:t>万人次</w:t>
            </w:r>
          </w:p>
        </w:tc>
        <w:tc>
          <w:tcPr>
            <w:tcW w:w="881" w:type="dxa"/>
            <w:noWrap/>
            <w:vAlign w:val="center"/>
          </w:tcPr>
          <w:p>
            <w:pPr>
              <w:widowControl/>
              <w:spacing w:line="240" w:lineRule="auto"/>
              <w:ind w:firstLine="0" w:firstLineChars="0"/>
              <w:jc w:val="center"/>
              <w:rPr>
                <w:rFonts w:ascii="仿宋" w:hAnsi="仿宋"/>
                <w:sz w:val="21"/>
                <w:szCs w:val="21"/>
              </w:rPr>
            </w:pPr>
            <w:r>
              <w:rPr>
                <w:rFonts w:hint="eastAsia" w:ascii="仿宋" w:hAnsi="仿宋"/>
                <w:sz w:val="21"/>
                <w:szCs w:val="21"/>
              </w:rPr>
              <w:t>6</w:t>
            </w:r>
            <w:r>
              <w:rPr>
                <w:rFonts w:ascii="仿宋" w:hAnsi="仿宋"/>
                <w:sz w:val="21"/>
                <w:szCs w:val="21"/>
              </w:rPr>
              <w:t>36</w:t>
            </w:r>
          </w:p>
        </w:tc>
        <w:tc>
          <w:tcPr>
            <w:tcW w:w="861" w:type="dxa"/>
            <w:noWrap/>
            <w:vAlign w:val="center"/>
          </w:tcPr>
          <w:p>
            <w:pPr>
              <w:widowControl/>
              <w:spacing w:line="240" w:lineRule="auto"/>
              <w:ind w:firstLine="0" w:firstLineChars="0"/>
              <w:jc w:val="center"/>
              <w:rPr>
                <w:rFonts w:ascii="仿宋" w:hAnsi="仿宋"/>
                <w:sz w:val="21"/>
                <w:szCs w:val="21"/>
              </w:rPr>
            </w:pPr>
            <w:r>
              <w:rPr>
                <w:rFonts w:hint="eastAsia" w:ascii="仿宋" w:hAnsi="仿宋"/>
                <w:sz w:val="21"/>
                <w:szCs w:val="21"/>
              </w:rPr>
              <w:t>9</w:t>
            </w:r>
            <w:r>
              <w:rPr>
                <w:rFonts w:ascii="仿宋" w:hAnsi="仿宋"/>
                <w:sz w:val="21"/>
                <w:szCs w:val="21"/>
              </w:rPr>
              <w:t>00</w:t>
            </w:r>
          </w:p>
        </w:tc>
        <w:tc>
          <w:tcPr>
            <w:tcW w:w="950"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14</w:t>
            </w:r>
          </w:p>
        </w:tc>
        <w:tc>
          <w:tcPr>
            <w:tcW w:w="3037" w:type="dxa"/>
            <w:vAlign w:val="center"/>
          </w:tcPr>
          <w:p>
            <w:pPr>
              <w:widowControl/>
              <w:spacing w:line="240" w:lineRule="auto"/>
              <w:ind w:firstLine="0" w:firstLineChars="0"/>
              <w:jc w:val="left"/>
              <w:rPr>
                <w:rFonts w:ascii="仿宋" w:hAnsi="仿宋"/>
                <w:sz w:val="21"/>
                <w:szCs w:val="21"/>
              </w:rPr>
            </w:pPr>
            <w:r>
              <w:rPr>
                <w:rFonts w:hint="eastAsia" w:ascii="仿宋" w:hAnsi="仿宋"/>
                <w:sz w:val="21"/>
                <w:szCs w:val="21"/>
              </w:rPr>
              <w:t>农业保险深度</w:t>
            </w:r>
          </w:p>
        </w:tc>
        <w:tc>
          <w:tcPr>
            <w:tcW w:w="836" w:type="dxa"/>
            <w:noWrap/>
            <w:vAlign w:val="center"/>
          </w:tcPr>
          <w:p>
            <w:pPr>
              <w:widowControl/>
              <w:spacing w:line="240" w:lineRule="auto"/>
              <w:ind w:firstLine="0" w:firstLineChars="0"/>
              <w:jc w:val="center"/>
              <w:rPr>
                <w:rFonts w:ascii="仿宋" w:hAnsi="仿宋" w:cs="微软雅黑"/>
                <w:sz w:val="21"/>
                <w:szCs w:val="21"/>
              </w:rPr>
            </w:pPr>
            <w:r>
              <w:rPr>
                <w:rFonts w:hint="eastAsia" w:ascii="仿宋" w:hAnsi="仿宋" w:cs="微软雅黑"/>
                <w:sz w:val="21"/>
                <w:szCs w:val="21"/>
              </w:rPr>
              <w:t>%</w:t>
            </w:r>
          </w:p>
        </w:tc>
        <w:tc>
          <w:tcPr>
            <w:tcW w:w="881" w:type="dxa"/>
            <w:noWrap/>
            <w:vAlign w:val="center"/>
          </w:tcPr>
          <w:p>
            <w:pPr>
              <w:widowControl/>
              <w:spacing w:line="240" w:lineRule="auto"/>
              <w:ind w:firstLine="0" w:firstLineChars="0"/>
              <w:jc w:val="center"/>
              <w:rPr>
                <w:rFonts w:ascii="仿宋" w:hAnsi="仿宋"/>
                <w:sz w:val="21"/>
                <w:szCs w:val="21"/>
              </w:rPr>
            </w:pPr>
            <w:r>
              <w:rPr>
                <w:rFonts w:hint="eastAsia" w:ascii="仿宋" w:hAnsi="仿宋"/>
                <w:sz w:val="21"/>
                <w:szCs w:val="21"/>
              </w:rPr>
              <w:t>0.4</w:t>
            </w:r>
          </w:p>
        </w:tc>
        <w:tc>
          <w:tcPr>
            <w:tcW w:w="861" w:type="dxa"/>
            <w:noWrap/>
            <w:vAlign w:val="center"/>
          </w:tcPr>
          <w:p>
            <w:pPr>
              <w:widowControl/>
              <w:spacing w:line="240" w:lineRule="auto"/>
              <w:ind w:firstLine="0" w:firstLineChars="0"/>
              <w:jc w:val="center"/>
              <w:rPr>
                <w:rFonts w:ascii="仿宋" w:hAnsi="仿宋"/>
                <w:sz w:val="21"/>
                <w:szCs w:val="21"/>
              </w:rPr>
            </w:pPr>
            <w:r>
              <w:rPr>
                <w:rFonts w:hint="eastAsia" w:ascii="仿宋" w:hAnsi="仿宋"/>
                <w:sz w:val="21"/>
                <w:szCs w:val="21"/>
              </w:rPr>
              <w:t>0.6</w:t>
            </w:r>
          </w:p>
        </w:tc>
        <w:tc>
          <w:tcPr>
            <w:tcW w:w="950" w:type="dxa"/>
            <w:noWrap/>
            <w:vAlign w:val="center"/>
          </w:tcPr>
          <w:p>
            <w:pPr>
              <w:widowControl/>
              <w:spacing w:line="240" w:lineRule="auto"/>
              <w:ind w:firstLine="0" w:firstLineChars="0"/>
              <w:jc w:val="center"/>
              <w:rPr>
                <w:rFonts w:ascii="仿宋" w:hAnsi="仿宋" w:cs="微软雅黑"/>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733" w:type="dxa"/>
            <w:vMerge w:val="restart"/>
            <w:noWrap/>
            <w:vAlign w:val="center"/>
          </w:tcPr>
          <w:p>
            <w:pPr>
              <w:widowControl/>
              <w:spacing w:line="240" w:lineRule="auto"/>
              <w:ind w:firstLine="0" w:firstLineChars="0"/>
              <w:jc w:val="center"/>
              <w:rPr>
                <w:rFonts w:ascii="仿宋" w:hAnsi="仿宋"/>
                <w:sz w:val="21"/>
                <w:szCs w:val="21"/>
              </w:rPr>
            </w:pPr>
            <w:r>
              <w:rPr>
                <w:rFonts w:hint="eastAsia" w:ascii="仿宋" w:hAnsi="仿宋"/>
                <w:sz w:val="21"/>
                <w:szCs w:val="21"/>
              </w:rPr>
              <w:t>美丽乡村建设</w:t>
            </w: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15</w:t>
            </w:r>
          </w:p>
        </w:tc>
        <w:tc>
          <w:tcPr>
            <w:tcW w:w="3037" w:type="dxa"/>
            <w:vAlign w:val="center"/>
          </w:tcPr>
          <w:p>
            <w:pPr>
              <w:widowControl/>
              <w:spacing w:line="240" w:lineRule="auto"/>
              <w:ind w:firstLine="0" w:firstLineChars="0"/>
              <w:jc w:val="left"/>
              <w:rPr>
                <w:rFonts w:ascii="仿宋" w:hAnsi="仿宋"/>
                <w:sz w:val="21"/>
                <w:szCs w:val="21"/>
              </w:rPr>
            </w:pPr>
            <w:r>
              <w:rPr>
                <w:rFonts w:ascii="仿宋" w:hAnsi="仿宋"/>
                <w:sz w:val="21"/>
                <w:szCs w:val="21"/>
              </w:rPr>
              <w:t>村庄绿化覆盖率</w:t>
            </w:r>
          </w:p>
        </w:tc>
        <w:tc>
          <w:tcPr>
            <w:tcW w:w="836"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w:t>
            </w:r>
          </w:p>
        </w:tc>
        <w:tc>
          <w:tcPr>
            <w:tcW w:w="88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&gt;30</w:t>
            </w:r>
          </w:p>
        </w:tc>
        <w:tc>
          <w:tcPr>
            <w:tcW w:w="86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35</w:t>
            </w:r>
          </w:p>
        </w:tc>
        <w:tc>
          <w:tcPr>
            <w:tcW w:w="950"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16</w:t>
            </w:r>
          </w:p>
        </w:tc>
        <w:tc>
          <w:tcPr>
            <w:tcW w:w="3037" w:type="dxa"/>
            <w:vAlign w:val="center"/>
          </w:tcPr>
          <w:p>
            <w:pPr>
              <w:widowControl/>
              <w:spacing w:line="240" w:lineRule="auto"/>
              <w:ind w:firstLine="0" w:firstLineChars="0"/>
              <w:jc w:val="left"/>
              <w:rPr>
                <w:rFonts w:ascii="仿宋" w:hAnsi="仿宋"/>
                <w:sz w:val="21"/>
                <w:szCs w:val="21"/>
              </w:rPr>
            </w:pPr>
            <w:r>
              <w:rPr>
                <w:rFonts w:ascii="仿宋" w:hAnsi="仿宋"/>
                <w:sz w:val="21"/>
                <w:szCs w:val="21"/>
              </w:rPr>
              <w:t>美丽宜居村达标率</w:t>
            </w:r>
          </w:p>
        </w:tc>
        <w:tc>
          <w:tcPr>
            <w:tcW w:w="836"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w:t>
            </w:r>
          </w:p>
        </w:tc>
        <w:tc>
          <w:tcPr>
            <w:tcW w:w="88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55</w:t>
            </w:r>
          </w:p>
        </w:tc>
        <w:tc>
          <w:tcPr>
            <w:tcW w:w="86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w:t>
            </w:r>
            <w:r>
              <w:rPr>
                <w:rFonts w:hint="eastAsia" w:ascii="仿宋" w:hAnsi="仿宋"/>
                <w:sz w:val="21"/>
                <w:szCs w:val="21"/>
              </w:rPr>
              <w:t>8</w:t>
            </w:r>
            <w:r>
              <w:rPr>
                <w:rFonts w:ascii="仿宋" w:hAnsi="仿宋"/>
                <w:sz w:val="21"/>
                <w:szCs w:val="21"/>
              </w:rPr>
              <w:t>0</w:t>
            </w:r>
          </w:p>
        </w:tc>
        <w:tc>
          <w:tcPr>
            <w:tcW w:w="950"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17</w:t>
            </w:r>
          </w:p>
        </w:tc>
        <w:tc>
          <w:tcPr>
            <w:tcW w:w="3037" w:type="dxa"/>
            <w:vAlign w:val="center"/>
          </w:tcPr>
          <w:p>
            <w:pPr>
              <w:widowControl/>
              <w:spacing w:line="240" w:lineRule="auto"/>
              <w:ind w:firstLine="0" w:firstLineChars="0"/>
              <w:jc w:val="left"/>
              <w:rPr>
                <w:rFonts w:ascii="仿宋" w:hAnsi="仿宋"/>
                <w:sz w:val="21"/>
                <w:szCs w:val="21"/>
              </w:rPr>
            </w:pPr>
            <w:r>
              <w:rPr>
                <w:rFonts w:hint="eastAsia" w:ascii="仿宋" w:hAnsi="仿宋"/>
                <w:sz w:val="21"/>
                <w:szCs w:val="21"/>
              </w:rPr>
              <w:t>村庄</w:t>
            </w:r>
            <w:r>
              <w:rPr>
                <w:rFonts w:ascii="仿宋" w:hAnsi="仿宋"/>
                <w:sz w:val="21"/>
                <w:szCs w:val="21"/>
              </w:rPr>
              <w:t>污水治理率</w:t>
            </w:r>
          </w:p>
        </w:tc>
        <w:tc>
          <w:tcPr>
            <w:tcW w:w="836"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w:t>
            </w:r>
          </w:p>
        </w:tc>
        <w:tc>
          <w:tcPr>
            <w:tcW w:w="88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71.29</w:t>
            </w:r>
          </w:p>
        </w:tc>
        <w:tc>
          <w:tcPr>
            <w:tcW w:w="861" w:type="dxa"/>
            <w:noWrap/>
            <w:vAlign w:val="center"/>
          </w:tcPr>
          <w:p>
            <w:pPr>
              <w:widowControl/>
              <w:spacing w:line="240" w:lineRule="auto"/>
              <w:ind w:firstLine="0" w:firstLineChars="0"/>
              <w:jc w:val="center"/>
              <w:rPr>
                <w:rFonts w:ascii="仿宋" w:hAnsi="仿宋"/>
                <w:sz w:val="21"/>
                <w:szCs w:val="21"/>
              </w:rPr>
            </w:pPr>
            <w:r>
              <w:rPr>
                <w:rFonts w:hint="eastAsia" w:ascii="仿宋" w:hAnsi="仿宋" w:cs="宋体"/>
                <w:sz w:val="21"/>
                <w:szCs w:val="21"/>
              </w:rPr>
              <w:t>≧</w:t>
            </w:r>
            <w:r>
              <w:rPr>
                <w:rFonts w:ascii="仿宋" w:hAnsi="仿宋"/>
                <w:sz w:val="21"/>
                <w:szCs w:val="21"/>
              </w:rPr>
              <w:t>80</w:t>
            </w:r>
          </w:p>
        </w:tc>
        <w:tc>
          <w:tcPr>
            <w:tcW w:w="950"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18</w:t>
            </w:r>
          </w:p>
        </w:tc>
        <w:tc>
          <w:tcPr>
            <w:tcW w:w="3037" w:type="dxa"/>
            <w:vAlign w:val="center"/>
          </w:tcPr>
          <w:p>
            <w:pPr>
              <w:widowControl/>
              <w:spacing w:line="240" w:lineRule="auto"/>
              <w:ind w:firstLine="0" w:firstLineChars="0"/>
              <w:jc w:val="left"/>
              <w:rPr>
                <w:rFonts w:ascii="仿宋" w:hAnsi="仿宋"/>
                <w:sz w:val="21"/>
                <w:szCs w:val="21"/>
              </w:rPr>
            </w:pPr>
            <w:r>
              <w:rPr>
                <w:rFonts w:hint="eastAsia" w:ascii="仿宋" w:hAnsi="仿宋"/>
                <w:sz w:val="21"/>
                <w:szCs w:val="21"/>
              </w:rPr>
              <w:t>农村</w:t>
            </w:r>
            <w:r>
              <w:rPr>
                <w:rFonts w:ascii="仿宋" w:hAnsi="仿宋"/>
                <w:sz w:val="21"/>
                <w:szCs w:val="21"/>
              </w:rPr>
              <w:t>生活垃圾资源回收利用率</w:t>
            </w:r>
          </w:p>
        </w:tc>
        <w:tc>
          <w:tcPr>
            <w:tcW w:w="836"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w:t>
            </w:r>
          </w:p>
        </w:tc>
        <w:tc>
          <w:tcPr>
            <w:tcW w:w="88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20</w:t>
            </w:r>
          </w:p>
        </w:tc>
        <w:tc>
          <w:tcPr>
            <w:tcW w:w="86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60</w:t>
            </w:r>
          </w:p>
        </w:tc>
        <w:tc>
          <w:tcPr>
            <w:tcW w:w="950"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19</w:t>
            </w:r>
          </w:p>
        </w:tc>
        <w:tc>
          <w:tcPr>
            <w:tcW w:w="3037" w:type="dxa"/>
            <w:vAlign w:val="center"/>
          </w:tcPr>
          <w:p>
            <w:pPr>
              <w:widowControl/>
              <w:spacing w:line="240" w:lineRule="auto"/>
              <w:ind w:firstLine="0" w:firstLineChars="0"/>
              <w:jc w:val="left"/>
              <w:rPr>
                <w:rFonts w:ascii="仿宋" w:hAnsi="仿宋"/>
                <w:sz w:val="21"/>
                <w:szCs w:val="21"/>
              </w:rPr>
            </w:pPr>
            <w:r>
              <w:rPr>
                <w:rFonts w:ascii="仿宋" w:hAnsi="仿宋"/>
                <w:sz w:val="21"/>
                <w:szCs w:val="21"/>
              </w:rPr>
              <w:t>县级及以上文明村镇占比</w:t>
            </w:r>
          </w:p>
        </w:tc>
        <w:tc>
          <w:tcPr>
            <w:tcW w:w="836"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w:t>
            </w:r>
          </w:p>
        </w:tc>
        <w:tc>
          <w:tcPr>
            <w:tcW w:w="88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95</w:t>
            </w:r>
          </w:p>
        </w:tc>
        <w:tc>
          <w:tcPr>
            <w:tcW w:w="86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100</w:t>
            </w:r>
          </w:p>
        </w:tc>
        <w:tc>
          <w:tcPr>
            <w:tcW w:w="950"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20</w:t>
            </w:r>
          </w:p>
        </w:tc>
        <w:tc>
          <w:tcPr>
            <w:tcW w:w="3037"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both"/>
              <w:textAlignment w:val="auto"/>
              <w:rPr>
                <w:rFonts w:ascii="仿宋" w:hAnsi="仿宋"/>
                <w:sz w:val="21"/>
                <w:szCs w:val="21"/>
              </w:rPr>
            </w:pPr>
            <w:r>
              <w:rPr>
                <w:rFonts w:hint="eastAsia" w:ascii="仿宋" w:hAnsi="仿宋"/>
                <w:sz w:val="20"/>
                <w:szCs w:val="20"/>
              </w:rPr>
              <w:t>村党组织书记担任村委会主任和集体经济组织负责人的村占比</w:t>
            </w:r>
          </w:p>
        </w:tc>
        <w:tc>
          <w:tcPr>
            <w:tcW w:w="836" w:type="dxa"/>
            <w:noWrap/>
            <w:vAlign w:val="center"/>
          </w:tcPr>
          <w:p>
            <w:pPr>
              <w:widowControl/>
              <w:spacing w:line="240" w:lineRule="auto"/>
              <w:ind w:firstLine="0" w:firstLineChars="0"/>
              <w:jc w:val="center"/>
              <w:rPr>
                <w:rFonts w:ascii="仿宋" w:hAnsi="仿宋"/>
                <w:sz w:val="21"/>
                <w:szCs w:val="21"/>
              </w:rPr>
            </w:pPr>
            <w:r>
              <w:rPr>
                <w:rFonts w:hint="eastAsia" w:ascii="仿宋" w:hAnsi="仿宋"/>
                <w:sz w:val="21"/>
                <w:szCs w:val="21"/>
              </w:rPr>
              <w:t>%</w:t>
            </w:r>
          </w:p>
        </w:tc>
        <w:tc>
          <w:tcPr>
            <w:tcW w:w="881" w:type="dxa"/>
            <w:noWrap/>
            <w:vAlign w:val="center"/>
          </w:tcPr>
          <w:p>
            <w:pPr>
              <w:widowControl/>
              <w:spacing w:line="240" w:lineRule="auto"/>
              <w:ind w:firstLine="0" w:firstLineChars="0"/>
              <w:jc w:val="center"/>
              <w:rPr>
                <w:rFonts w:ascii="仿宋" w:hAnsi="仿宋"/>
                <w:sz w:val="21"/>
                <w:szCs w:val="21"/>
              </w:rPr>
            </w:pPr>
            <w:r>
              <w:rPr>
                <w:rFonts w:hint="eastAsia" w:ascii="仿宋" w:hAnsi="仿宋"/>
                <w:sz w:val="21"/>
                <w:szCs w:val="21"/>
              </w:rPr>
              <w:t>90</w:t>
            </w:r>
          </w:p>
        </w:tc>
        <w:tc>
          <w:tcPr>
            <w:tcW w:w="861" w:type="dxa"/>
            <w:noWrap/>
            <w:vAlign w:val="center"/>
          </w:tcPr>
          <w:p>
            <w:pPr>
              <w:widowControl/>
              <w:spacing w:line="240" w:lineRule="auto"/>
              <w:ind w:firstLine="0" w:firstLineChars="0"/>
              <w:jc w:val="center"/>
              <w:rPr>
                <w:rFonts w:ascii="仿宋" w:hAnsi="仿宋"/>
                <w:sz w:val="21"/>
                <w:szCs w:val="21"/>
              </w:rPr>
            </w:pPr>
            <w:r>
              <w:rPr>
                <w:rFonts w:hint="eastAsia" w:ascii="仿宋" w:hAnsi="仿宋"/>
                <w:sz w:val="21"/>
                <w:szCs w:val="21"/>
              </w:rPr>
              <w:t>100</w:t>
            </w:r>
          </w:p>
        </w:tc>
        <w:tc>
          <w:tcPr>
            <w:tcW w:w="950"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21</w:t>
            </w:r>
          </w:p>
        </w:tc>
        <w:tc>
          <w:tcPr>
            <w:tcW w:w="3037" w:type="dxa"/>
            <w:vAlign w:val="center"/>
          </w:tcPr>
          <w:p>
            <w:pPr>
              <w:widowControl/>
              <w:spacing w:line="240" w:lineRule="auto"/>
              <w:ind w:firstLine="0" w:firstLineChars="0"/>
              <w:jc w:val="left"/>
              <w:rPr>
                <w:rFonts w:ascii="仿宋" w:hAnsi="仿宋"/>
                <w:sz w:val="21"/>
                <w:szCs w:val="21"/>
              </w:rPr>
            </w:pPr>
            <w:r>
              <w:rPr>
                <w:rFonts w:ascii="仿宋" w:hAnsi="仿宋"/>
                <w:sz w:val="21"/>
                <w:szCs w:val="21"/>
              </w:rPr>
              <w:t>村规民约普及率</w:t>
            </w:r>
          </w:p>
        </w:tc>
        <w:tc>
          <w:tcPr>
            <w:tcW w:w="836"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w:t>
            </w:r>
          </w:p>
        </w:tc>
        <w:tc>
          <w:tcPr>
            <w:tcW w:w="88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85</w:t>
            </w:r>
          </w:p>
        </w:tc>
        <w:tc>
          <w:tcPr>
            <w:tcW w:w="86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100</w:t>
            </w:r>
          </w:p>
        </w:tc>
        <w:tc>
          <w:tcPr>
            <w:tcW w:w="950"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22</w:t>
            </w:r>
          </w:p>
        </w:tc>
        <w:tc>
          <w:tcPr>
            <w:tcW w:w="3037" w:type="dxa"/>
            <w:vAlign w:val="center"/>
          </w:tcPr>
          <w:p>
            <w:pPr>
              <w:widowControl/>
              <w:spacing w:line="240" w:lineRule="auto"/>
              <w:ind w:firstLine="0" w:firstLineChars="0"/>
              <w:jc w:val="left"/>
              <w:rPr>
                <w:rFonts w:ascii="仿宋" w:hAnsi="仿宋"/>
                <w:sz w:val="21"/>
                <w:szCs w:val="21"/>
              </w:rPr>
            </w:pPr>
            <w:r>
              <w:rPr>
                <w:rFonts w:ascii="仿宋" w:hAnsi="仿宋"/>
                <w:sz w:val="21"/>
                <w:szCs w:val="21"/>
              </w:rPr>
              <w:t>集体经济强村占比</w:t>
            </w:r>
          </w:p>
        </w:tc>
        <w:tc>
          <w:tcPr>
            <w:tcW w:w="836"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w:t>
            </w:r>
          </w:p>
        </w:tc>
        <w:tc>
          <w:tcPr>
            <w:tcW w:w="88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51</w:t>
            </w:r>
          </w:p>
        </w:tc>
        <w:tc>
          <w:tcPr>
            <w:tcW w:w="86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60</w:t>
            </w:r>
          </w:p>
        </w:tc>
        <w:tc>
          <w:tcPr>
            <w:tcW w:w="950"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restart"/>
            <w:vAlign w:val="center"/>
          </w:tcPr>
          <w:p>
            <w:pPr>
              <w:widowControl/>
              <w:spacing w:line="240" w:lineRule="auto"/>
              <w:ind w:firstLine="0" w:firstLineChars="0"/>
              <w:jc w:val="center"/>
              <w:rPr>
                <w:rFonts w:ascii="仿宋" w:hAnsi="仿宋"/>
                <w:sz w:val="21"/>
                <w:szCs w:val="21"/>
              </w:rPr>
            </w:pPr>
            <w:r>
              <w:rPr>
                <w:rFonts w:hint="eastAsia" w:ascii="仿宋" w:hAnsi="仿宋"/>
                <w:sz w:val="21"/>
                <w:szCs w:val="21"/>
              </w:rPr>
              <w:t>农民技能培育</w:t>
            </w: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23</w:t>
            </w:r>
          </w:p>
        </w:tc>
        <w:tc>
          <w:tcPr>
            <w:tcW w:w="3037" w:type="dxa"/>
            <w:vAlign w:val="center"/>
          </w:tcPr>
          <w:p>
            <w:pPr>
              <w:keepNext w:val="0"/>
              <w:keepLines w:val="0"/>
              <w:pageBreakBefore w:val="0"/>
              <w:widowControl/>
              <w:kinsoku/>
              <w:wordWrap/>
              <w:overflowPunct/>
              <w:topLinePunct w:val="0"/>
              <w:autoSpaceDE/>
              <w:autoSpaceDN/>
              <w:bidi w:val="0"/>
              <w:adjustRightInd/>
              <w:snapToGrid/>
              <w:spacing w:line="240" w:lineRule="exact"/>
              <w:ind w:firstLine="0" w:firstLineChars="0"/>
              <w:jc w:val="left"/>
              <w:textAlignment w:val="auto"/>
              <w:rPr>
                <w:rFonts w:ascii="仿宋" w:hAnsi="仿宋"/>
                <w:sz w:val="21"/>
                <w:szCs w:val="21"/>
              </w:rPr>
            </w:pPr>
            <w:r>
              <w:rPr>
                <w:rFonts w:hint="eastAsia" w:ascii="仿宋" w:hAnsi="仿宋"/>
                <w:sz w:val="21"/>
                <w:szCs w:val="21"/>
              </w:rPr>
              <w:t>“粤菜师傅”“广东技工”“南粤家政”三项工程培训人次</w:t>
            </w:r>
          </w:p>
        </w:tc>
        <w:tc>
          <w:tcPr>
            <w:tcW w:w="836" w:type="dxa"/>
            <w:noWrap/>
            <w:vAlign w:val="center"/>
          </w:tcPr>
          <w:p>
            <w:pPr>
              <w:widowControl/>
              <w:spacing w:line="240" w:lineRule="auto"/>
              <w:ind w:firstLine="0" w:firstLineChars="0"/>
              <w:jc w:val="center"/>
              <w:rPr>
                <w:rFonts w:ascii="仿宋" w:hAnsi="仿宋"/>
                <w:sz w:val="21"/>
                <w:szCs w:val="21"/>
              </w:rPr>
            </w:pPr>
            <w:r>
              <w:rPr>
                <w:rFonts w:hint="eastAsia" w:ascii="仿宋" w:hAnsi="仿宋"/>
                <w:sz w:val="21"/>
                <w:szCs w:val="21"/>
              </w:rPr>
              <w:t>人</w:t>
            </w:r>
          </w:p>
        </w:tc>
        <w:tc>
          <w:tcPr>
            <w:tcW w:w="881" w:type="dxa"/>
            <w:noWrap/>
            <w:vAlign w:val="center"/>
          </w:tcPr>
          <w:p>
            <w:pPr>
              <w:widowControl/>
              <w:spacing w:line="240" w:lineRule="auto"/>
              <w:ind w:firstLine="0" w:firstLineChars="0"/>
              <w:jc w:val="center"/>
              <w:rPr>
                <w:rFonts w:ascii="仿宋" w:hAnsi="仿宋"/>
                <w:sz w:val="21"/>
                <w:szCs w:val="21"/>
              </w:rPr>
            </w:pPr>
            <w:r>
              <w:rPr>
                <w:rFonts w:hint="eastAsia" w:ascii="仿宋" w:hAnsi="仿宋"/>
                <w:sz w:val="21"/>
                <w:szCs w:val="21"/>
              </w:rPr>
              <w:t>2</w:t>
            </w:r>
            <w:r>
              <w:rPr>
                <w:rFonts w:ascii="仿宋" w:hAnsi="仿宋"/>
                <w:sz w:val="21"/>
                <w:szCs w:val="21"/>
              </w:rPr>
              <w:t>9260</w:t>
            </w:r>
          </w:p>
        </w:tc>
        <w:tc>
          <w:tcPr>
            <w:tcW w:w="861" w:type="dxa"/>
            <w:noWrap/>
            <w:vAlign w:val="center"/>
          </w:tcPr>
          <w:p>
            <w:pPr>
              <w:widowControl/>
              <w:spacing w:line="240" w:lineRule="auto"/>
              <w:ind w:firstLine="0" w:firstLineChars="0"/>
              <w:jc w:val="center"/>
              <w:rPr>
                <w:rFonts w:ascii="仿宋" w:hAnsi="仿宋"/>
                <w:sz w:val="21"/>
                <w:szCs w:val="21"/>
              </w:rPr>
            </w:pPr>
            <w:r>
              <w:rPr>
                <w:rFonts w:hint="eastAsia" w:ascii="仿宋" w:hAnsi="仿宋"/>
                <w:sz w:val="21"/>
                <w:szCs w:val="21"/>
              </w:rPr>
              <w:t>6</w:t>
            </w:r>
            <w:r>
              <w:rPr>
                <w:rFonts w:ascii="仿宋" w:hAnsi="仿宋"/>
                <w:sz w:val="21"/>
                <w:szCs w:val="21"/>
              </w:rPr>
              <w:t>6900</w:t>
            </w:r>
          </w:p>
        </w:tc>
        <w:tc>
          <w:tcPr>
            <w:tcW w:w="950"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24</w:t>
            </w:r>
          </w:p>
        </w:tc>
        <w:tc>
          <w:tcPr>
            <w:tcW w:w="3037" w:type="dxa"/>
            <w:vAlign w:val="center"/>
          </w:tcPr>
          <w:p>
            <w:pPr>
              <w:widowControl/>
              <w:spacing w:line="240" w:lineRule="auto"/>
              <w:ind w:firstLine="0" w:firstLineChars="0"/>
              <w:jc w:val="left"/>
              <w:rPr>
                <w:rFonts w:ascii="仿宋" w:hAnsi="仿宋"/>
                <w:sz w:val="21"/>
                <w:szCs w:val="21"/>
              </w:rPr>
            </w:pPr>
            <w:r>
              <w:rPr>
                <w:rFonts w:ascii="仿宋" w:hAnsi="仿宋"/>
                <w:sz w:val="21"/>
                <w:szCs w:val="21"/>
              </w:rPr>
              <w:t>农村居民人均可支配收入</w:t>
            </w:r>
          </w:p>
        </w:tc>
        <w:tc>
          <w:tcPr>
            <w:tcW w:w="836" w:type="dxa"/>
            <w:noWrap/>
            <w:vAlign w:val="center"/>
          </w:tcPr>
          <w:p>
            <w:pPr>
              <w:widowControl/>
              <w:spacing w:line="240" w:lineRule="auto"/>
              <w:ind w:firstLine="0" w:firstLineChars="0"/>
              <w:jc w:val="center"/>
              <w:rPr>
                <w:rFonts w:ascii="仿宋" w:hAnsi="仿宋"/>
                <w:sz w:val="21"/>
                <w:szCs w:val="21"/>
              </w:rPr>
            </w:pPr>
            <w:r>
              <w:rPr>
                <w:rFonts w:hint="eastAsia" w:ascii="仿宋" w:hAnsi="仿宋"/>
                <w:sz w:val="21"/>
                <w:szCs w:val="21"/>
              </w:rPr>
              <w:t>万</w:t>
            </w:r>
            <w:r>
              <w:rPr>
                <w:rFonts w:ascii="仿宋" w:hAnsi="仿宋"/>
                <w:sz w:val="21"/>
                <w:szCs w:val="21"/>
              </w:rPr>
              <w:t>元</w:t>
            </w:r>
          </w:p>
        </w:tc>
        <w:tc>
          <w:tcPr>
            <w:tcW w:w="88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2.3</w:t>
            </w:r>
          </w:p>
        </w:tc>
        <w:tc>
          <w:tcPr>
            <w:tcW w:w="86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3.5</w:t>
            </w:r>
          </w:p>
        </w:tc>
        <w:tc>
          <w:tcPr>
            <w:tcW w:w="950"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25</w:t>
            </w:r>
          </w:p>
        </w:tc>
        <w:tc>
          <w:tcPr>
            <w:tcW w:w="3037" w:type="dxa"/>
            <w:vAlign w:val="center"/>
          </w:tcPr>
          <w:p>
            <w:pPr>
              <w:widowControl/>
              <w:spacing w:line="240" w:lineRule="auto"/>
              <w:ind w:firstLine="0" w:firstLineChars="0"/>
              <w:jc w:val="left"/>
              <w:rPr>
                <w:rFonts w:ascii="仿宋" w:hAnsi="仿宋"/>
                <w:sz w:val="21"/>
                <w:szCs w:val="21"/>
              </w:rPr>
            </w:pPr>
            <w:r>
              <w:rPr>
                <w:rFonts w:ascii="仿宋" w:hAnsi="仿宋"/>
                <w:sz w:val="21"/>
                <w:szCs w:val="21"/>
              </w:rPr>
              <w:t>农村居民恩格尔系数</w:t>
            </w:r>
          </w:p>
        </w:tc>
        <w:tc>
          <w:tcPr>
            <w:tcW w:w="836"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w:t>
            </w:r>
          </w:p>
        </w:tc>
        <w:tc>
          <w:tcPr>
            <w:tcW w:w="88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38.1</w:t>
            </w:r>
          </w:p>
        </w:tc>
        <w:tc>
          <w:tcPr>
            <w:tcW w:w="86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&lt;37.0</w:t>
            </w:r>
          </w:p>
        </w:tc>
        <w:tc>
          <w:tcPr>
            <w:tcW w:w="950"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restart"/>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城乡融合</w:t>
            </w:r>
            <w:r>
              <w:rPr>
                <w:rFonts w:hint="eastAsia" w:ascii="仿宋" w:hAnsi="仿宋"/>
                <w:sz w:val="21"/>
                <w:szCs w:val="21"/>
              </w:rPr>
              <w:t>发展</w:t>
            </w: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26</w:t>
            </w:r>
          </w:p>
        </w:tc>
        <w:tc>
          <w:tcPr>
            <w:tcW w:w="3037" w:type="dxa"/>
            <w:vAlign w:val="center"/>
          </w:tcPr>
          <w:p>
            <w:pPr>
              <w:widowControl/>
              <w:spacing w:line="240" w:lineRule="auto"/>
              <w:ind w:firstLine="0" w:firstLineChars="0"/>
              <w:jc w:val="left"/>
              <w:rPr>
                <w:rFonts w:ascii="仿宋" w:hAnsi="仿宋"/>
                <w:sz w:val="21"/>
                <w:szCs w:val="21"/>
              </w:rPr>
            </w:pPr>
            <w:r>
              <w:rPr>
                <w:rFonts w:ascii="仿宋" w:hAnsi="仿宋"/>
                <w:sz w:val="21"/>
                <w:szCs w:val="21"/>
              </w:rPr>
              <w:t>农村自来水检测合格率</w:t>
            </w:r>
          </w:p>
        </w:tc>
        <w:tc>
          <w:tcPr>
            <w:tcW w:w="836"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w:t>
            </w:r>
          </w:p>
        </w:tc>
        <w:tc>
          <w:tcPr>
            <w:tcW w:w="88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95</w:t>
            </w:r>
          </w:p>
        </w:tc>
        <w:tc>
          <w:tcPr>
            <w:tcW w:w="86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&gt;99</w:t>
            </w:r>
          </w:p>
        </w:tc>
        <w:tc>
          <w:tcPr>
            <w:tcW w:w="950"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27</w:t>
            </w:r>
          </w:p>
        </w:tc>
        <w:tc>
          <w:tcPr>
            <w:tcW w:w="3037" w:type="dxa"/>
            <w:vAlign w:val="center"/>
          </w:tcPr>
          <w:p>
            <w:pPr>
              <w:widowControl/>
              <w:spacing w:line="240" w:lineRule="auto"/>
              <w:ind w:firstLine="0" w:firstLineChars="0"/>
              <w:jc w:val="left"/>
              <w:rPr>
                <w:rFonts w:ascii="仿宋" w:hAnsi="仿宋"/>
                <w:sz w:val="21"/>
                <w:szCs w:val="21"/>
              </w:rPr>
            </w:pPr>
            <w:r>
              <w:rPr>
                <w:rFonts w:ascii="仿宋" w:hAnsi="仿宋"/>
                <w:sz w:val="21"/>
                <w:szCs w:val="21"/>
              </w:rPr>
              <w:t>城乡居民收入比</w:t>
            </w:r>
          </w:p>
        </w:tc>
        <w:tc>
          <w:tcPr>
            <w:tcW w:w="836"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w:t>
            </w:r>
          </w:p>
        </w:tc>
        <w:tc>
          <w:tcPr>
            <w:tcW w:w="88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1.8</w:t>
            </w:r>
            <w:r>
              <w:rPr>
                <w:rFonts w:hint="eastAsia" w:ascii="仿宋" w:hAnsi="仿宋"/>
                <w:sz w:val="21"/>
                <w:szCs w:val="21"/>
              </w:rPr>
              <w:t>2</w:t>
            </w:r>
          </w:p>
        </w:tc>
        <w:tc>
          <w:tcPr>
            <w:tcW w:w="86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&lt;1.8</w:t>
            </w:r>
            <w:r>
              <w:rPr>
                <w:rFonts w:hint="eastAsia" w:ascii="仿宋" w:hAnsi="仿宋"/>
                <w:sz w:val="21"/>
                <w:szCs w:val="21"/>
              </w:rPr>
              <w:t>0</w:t>
            </w:r>
          </w:p>
        </w:tc>
        <w:tc>
          <w:tcPr>
            <w:tcW w:w="950"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28</w:t>
            </w:r>
          </w:p>
        </w:tc>
        <w:tc>
          <w:tcPr>
            <w:tcW w:w="3037" w:type="dxa"/>
            <w:vAlign w:val="center"/>
          </w:tcPr>
          <w:p>
            <w:pPr>
              <w:widowControl/>
              <w:spacing w:line="240" w:lineRule="auto"/>
              <w:ind w:firstLine="0" w:firstLineChars="0"/>
              <w:jc w:val="left"/>
              <w:rPr>
                <w:rFonts w:ascii="仿宋" w:hAnsi="仿宋"/>
                <w:sz w:val="21"/>
                <w:szCs w:val="21"/>
              </w:rPr>
            </w:pPr>
            <w:r>
              <w:rPr>
                <w:rFonts w:ascii="仿宋" w:hAnsi="仿宋"/>
                <w:sz w:val="20"/>
                <w:szCs w:val="20"/>
              </w:rPr>
              <w:t>农林水事务支出占财政支出比重</w:t>
            </w:r>
          </w:p>
        </w:tc>
        <w:tc>
          <w:tcPr>
            <w:tcW w:w="836"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w:t>
            </w:r>
          </w:p>
        </w:tc>
        <w:tc>
          <w:tcPr>
            <w:tcW w:w="88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7.4</w:t>
            </w:r>
          </w:p>
        </w:tc>
        <w:tc>
          <w:tcPr>
            <w:tcW w:w="861"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10</w:t>
            </w:r>
          </w:p>
        </w:tc>
        <w:tc>
          <w:tcPr>
            <w:tcW w:w="950" w:type="dxa"/>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restart"/>
            <w:vAlign w:val="center"/>
          </w:tcPr>
          <w:p>
            <w:pPr>
              <w:widowControl/>
              <w:spacing w:line="240" w:lineRule="auto"/>
              <w:ind w:firstLine="0" w:firstLineChars="0"/>
              <w:jc w:val="center"/>
              <w:rPr>
                <w:rFonts w:ascii="仿宋" w:hAnsi="仿宋"/>
                <w:sz w:val="21"/>
                <w:szCs w:val="21"/>
              </w:rPr>
            </w:pPr>
            <w:r>
              <w:rPr>
                <w:rFonts w:hint="eastAsia" w:ascii="仿宋" w:hAnsi="仿宋"/>
                <w:sz w:val="21"/>
                <w:szCs w:val="21"/>
              </w:rPr>
              <w:t>现代农业经营体系</w:t>
            </w:r>
          </w:p>
        </w:tc>
        <w:tc>
          <w:tcPr>
            <w:tcW w:w="632"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29</w:t>
            </w:r>
          </w:p>
        </w:tc>
        <w:tc>
          <w:tcPr>
            <w:tcW w:w="3037"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 w:hAnsi="仿宋"/>
                <w:sz w:val="21"/>
                <w:szCs w:val="21"/>
              </w:rPr>
            </w:pPr>
            <w:r>
              <w:rPr>
                <w:rFonts w:ascii="仿宋" w:hAnsi="仿宋"/>
                <w:kern w:val="0"/>
                <w:sz w:val="21"/>
                <w:szCs w:val="21"/>
              </w:rPr>
              <w:t>市级</w:t>
            </w:r>
            <w:r>
              <w:rPr>
                <w:rFonts w:hint="eastAsia" w:ascii="仿宋" w:hAnsi="仿宋"/>
                <w:kern w:val="0"/>
                <w:sz w:val="21"/>
                <w:szCs w:val="21"/>
              </w:rPr>
              <w:t>以上</w:t>
            </w:r>
            <w:r>
              <w:rPr>
                <w:rFonts w:ascii="仿宋" w:hAnsi="仿宋"/>
                <w:kern w:val="0"/>
                <w:sz w:val="21"/>
                <w:szCs w:val="21"/>
              </w:rPr>
              <w:t>示范家庭农场</w:t>
            </w:r>
          </w:p>
        </w:tc>
        <w:tc>
          <w:tcPr>
            <w:tcW w:w="836"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ascii="仿宋" w:hAnsi="仿宋"/>
                <w:sz w:val="21"/>
                <w:szCs w:val="21"/>
              </w:rPr>
            </w:pPr>
            <w:r>
              <w:rPr>
                <w:rFonts w:ascii="仿宋" w:hAnsi="仿宋"/>
                <w:kern w:val="0"/>
                <w:sz w:val="21"/>
                <w:szCs w:val="21"/>
              </w:rPr>
              <w:t>家</w:t>
            </w:r>
          </w:p>
        </w:tc>
        <w:tc>
          <w:tcPr>
            <w:tcW w:w="88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ascii="仿宋" w:hAnsi="仿宋"/>
                <w:sz w:val="21"/>
                <w:szCs w:val="21"/>
              </w:rPr>
            </w:pPr>
            <w:r>
              <w:rPr>
                <w:rFonts w:ascii="仿宋" w:hAnsi="仿宋"/>
                <w:kern w:val="0"/>
                <w:sz w:val="21"/>
                <w:szCs w:val="21"/>
              </w:rPr>
              <w:t>35</w:t>
            </w:r>
          </w:p>
        </w:tc>
        <w:tc>
          <w:tcPr>
            <w:tcW w:w="86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hint="default" w:ascii="仿宋" w:hAnsi="仿宋" w:eastAsia="仿宋"/>
                <w:sz w:val="21"/>
                <w:szCs w:val="21"/>
                <w:lang w:val="en-US" w:eastAsia="zh-CN"/>
              </w:rPr>
            </w:pPr>
            <w:r>
              <w:rPr>
                <w:rFonts w:hint="eastAsia" w:ascii="仿宋" w:hAnsi="仿宋"/>
                <w:kern w:val="0"/>
                <w:sz w:val="21"/>
                <w:szCs w:val="21"/>
                <w:lang w:val="en-US" w:eastAsia="zh-CN"/>
              </w:rPr>
              <w:t>50</w:t>
            </w:r>
          </w:p>
        </w:tc>
        <w:tc>
          <w:tcPr>
            <w:tcW w:w="950"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30</w:t>
            </w:r>
          </w:p>
        </w:tc>
        <w:tc>
          <w:tcPr>
            <w:tcW w:w="3037"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 w:hAnsi="仿宋"/>
                <w:sz w:val="21"/>
                <w:szCs w:val="21"/>
              </w:rPr>
            </w:pPr>
            <w:r>
              <w:rPr>
                <w:rFonts w:ascii="仿宋" w:hAnsi="仿宋"/>
                <w:kern w:val="0"/>
                <w:sz w:val="21"/>
                <w:szCs w:val="21"/>
              </w:rPr>
              <w:t>农民专业合作社</w:t>
            </w:r>
          </w:p>
        </w:tc>
        <w:tc>
          <w:tcPr>
            <w:tcW w:w="836"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ascii="仿宋" w:hAnsi="仿宋"/>
                <w:sz w:val="21"/>
                <w:szCs w:val="21"/>
              </w:rPr>
            </w:pPr>
            <w:r>
              <w:rPr>
                <w:rFonts w:ascii="仿宋" w:hAnsi="仿宋"/>
                <w:kern w:val="0"/>
                <w:sz w:val="21"/>
                <w:szCs w:val="21"/>
              </w:rPr>
              <w:t>家</w:t>
            </w:r>
          </w:p>
        </w:tc>
        <w:tc>
          <w:tcPr>
            <w:tcW w:w="88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hint="default" w:ascii="仿宋" w:hAnsi="仿宋" w:eastAsia="仿宋"/>
                <w:sz w:val="21"/>
                <w:szCs w:val="21"/>
                <w:lang w:val="en-US" w:eastAsia="zh-CN"/>
              </w:rPr>
            </w:pPr>
            <w:r>
              <w:rPr>
                <w:rFonts w:hint="eastAsia" w:ascii="仿宋" w:hAnsi="仿宋"/>
                <w:kern w:val="0"/>
                <w:sz w:val="21"/>
                <w:szCs w:val="21"/>
                <w:lang w:val="en-US" w:eastAsia="zh-CN"/>
              </w:rPr>
              <w:t>740</w:t>
            </w:r>
          </w:p>
        </w:tc>
        <w:tc>
          <w:tcPr>
            <w:tcW w:w="86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hint="default" w:ascii="仿宋" w:hAnsi="仿宋" w:eastAsia="仿宋"/>
                <w:sz w:val="21"/>
                <w:szCs w:val="21"/>
                <w:lang w:val="en-US" w:eastAsia="zh-CN"/>
              </w:rPr>
            </w:pPr>
            <w:r>
              <w:rPr>
                <w:rFonts w:hint="eastAsia" w:ascii="仿宋" w:hAnsi="仿宋"/>
                <w:sz w:val="21"/>
                <w:szCs w:val="21"/>
                <w:lang w:val="en-US" w:eastAsia="zh-CN"/>
              </w:rPr>
              <w:t>780</w:t>
            </w:r>
          </w:p>
        </w:tc>
        <w:tc>
          <w:tcPr>
            <w:tcW w:w="950"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vAlign w:val="center"/>
          </w:tcPr>
          <w:p>
            <w:pPr>
              <w:widowControl/>
              <w:spacing w:line="240" w:lineRule="auto"/>
              <w:ind w:firstLine="0" w:firstLineChars="0"/>
              <w:jc w:val="center"/>
              <w:rPr>
                <w:rFonts w:ascii="仿宋" w:hAnsi="仿宋"/>
                <w:sz w:val="21"/>
                <w:szCs w:val="21"/>
              </w:rPr>
            </w:pPr>
          </w:p>
        </w:tc>
        <w:tc>
          <w:tcPr>
            <w:tcW w:w="632"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31</w:t>
            </w:r>
          </w:p>
        </w:tc>
        <w:tc>
          <w:tcPr>
            <w:tcW w:w="3037"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 w:hAnsi="仿宋"/>
                <w:sz w:val="21"/>
                <w:szCs w:val="21"/>
              </w:rPr>
            </w:pPr>
            <w:r>
              <w:rPr>
                <w:rFonts w:hint="eastAsia" w:ascii="仿宋" w:hAnsi="仿宋"/>
                <w:kern w:val="0"/>
                <w:sz w:val="21"/>
                <w:szCs w:val="21"/>
              </w:rPr>
              <w:t>农业园区</w:t>
            </w:r>
          </w:p>
        </w:tc>
        <w:tc>
          <w:tcPr>
            <w:tcW w:w="836"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ascii="仿宋" w:hAnsi="仿宋"/>
                <w:sz w:val="21"/>
                <w:szCs w:val="21"/>
              </w:rPr>
            </w:pPr>
            <w:r>
              <w:rPr>
                <w:rFonts w:ascii="仿宋" w:hAnsi="仿宋"/>
                <w:kern w:val="0"/>
                <w:sz w:val="21"/>
                <w:szCs w:val="21"/>
              </w:rPr>
              <w:t>个</w:t>
            </w:r>
          </w:p>
        </w:tc>
        <w:tc>
          <w:tcPr>
            <w:tcW w:w="88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ascii="仿宋" w:hAnsi="仿宋"/>
                <w:sz w:val="21"/>
                <w:szCs w:val="21"/>
              </w:rPr>
            </w:pPr>
            <w:r>
              <w:rPr>
                <w:rFonts w:ascii="仿宋" w:hAnsi="仿宋"/>
                <w:kern w:val="0"/>
                <w:sz w:val="21"/>
                <w:szCs w:val="21"/>
              </w:rPr>
              <w:t>3</w:t>
            </w:r>
          </w:p>
        </w:tc>
        <w:tc>
          <w:tcPr>
            <w:tcW w:w="86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ascii="仿宋" w:hAnsi="仿宋"/>
                <w:sz w:val="21"/>
                <w:szCs w:val="21"/>
              </w:rPr>
            </w:pPr>
            <w:r>
              <w:rPr>
                <w:rFonts w:ascii="仿宋" w:hAnsi="仿宋"/>
                <w:kern w:val="0"/>
                <w:sz w:val="21"/>
                <w:szCs w:val="21"/>
              </w:rPr>
              <w:t>5</w:t>
            </w:r>
          </w:p>
        </w:tc>
        <w:tc>
          <w:tcPr>
            <w:tcW w:w="950"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vAlign w:val="center"/>
          </w:tcPr>
          <w:p>
            <w:pPr>
              <w:widowControl/>
              <w:spacing w:line="240" w:lineRule="auto"/>
              <w:ind w:firstLine="0" w:firstLineChars="0"/>
              <w:rPr>
                <w:rFonts w:ascii="仿宋" w:hAnsi="仿宋"/>
                <w:sz w:val="21"/>
                <w:szCs w:val="21"/>
              </w:rPr>
            </w:pPr>
          </w:p>
        </w:tc>
        <w:tc>
          <w:tcPr>
            <w:tcW w:w="632"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hint="eastAsia" w:ascii="仿宋" w:hAnsi="仿宋" w:eastAsia="仿宋"/>
                <w:sz w:val="21"/>
                <w:szCs w:val="21"/>
                <w:lang w:eastAsia="zh-CN"/>
              </w:rPr>
            </w:pPr>
            <w:r>
              <w:rPr>
                <w:rFonts w:ascii="仿宋" w:hAnsi="仿宋"/>
                <w:sz w:val="21"/>
                <w:szCs w:val="21"/>
              </w:rPr>
              <w:t>3</w:t>
            </w:r>
            <w:r>
              <w:rPr>
                <w:rFonts w:hint="eastAsia" w:ascii="仿宋" w:hAnsi="仿宋"/>
                <w:sz w:val="21"/>
                <w:szCs w:val="21"/>
                <w:lang w:val="en-US" w:eastAsia="zh-CN"/>
              </w:rPr>
              <w:t>2</w:t>
            </w:r>
          </w:p>
        </w:tc>
        <w:tc>
          <w:tcPr>
            <w:tcW w:w="3037"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 w:hAnsi="仿宋"/>
                <w:kern w:val="0"/>
                <w:sz w:val="21"/>
                <w:szCs w:val="21"/>
              </w:rPr>
            </w:pPr>
            <w:r>
              <w:rPr>
                <w:rFonts w:ascii="仿宋" w:hAnsi="仿宋"/>
                <w:kern w:val="0"/>
                <w:sz w:val="21"/>
                <w:szCs w:val="21"/>
              </w:rPr>
              <w:t>龙头企业</w:t>
            </w:r>
          </w:p>
        </w:tc>
        <w:tc>
          <w:tcPr>
            <w:tcW w:w="836"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ascii="仿宋" w:hAnsi="仿宋"/>
                <w:sz w:val="21"/>
                <w:szCs w:val="21"/>
              </w:rPr>
            </w:pPr>
            <w:r>
              <w:rPr>
                <w:rFonts w:ascii="仿宋" w:hAnsi="仿宋"/>
                <w:kern w:val="0"/>
                <w:sz w:val="21"/>
                <w:szCs w:val="21"/>
              </w:rPr>
              <w:t>家</w:t>
            </w:r>
          </w:p>
        </w:tc>
        <w:tc>
          <w:tcPr>
            <w:tcW w:w="88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ascii="仿宋" w:hAnsi="仿宋"/>
                <w:sz w:val="21"/>
                <w:szCs w:val="21"/>
              </w:rPr>
            </w:pPr>
            <w:r>
              <w:rPr>
                <w:rFonts w:ascii="仿宋" w:hAnsi="仿宋"/>
                <w:kern w:val="0"/>
                <w:sz w:val="21"/>
                <w:szCs w:val="21"/>
              </w:rPr>
              <w:t>74</w:t>
            </w:r>
          </w:p>
        </w:tc>
        <w:tc>
          <w:tcPr>
            <w:tcW w:w="86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ascii="仿宋" w:hAnsi="仿宋"/>
                <w:sz w:val="21"/>
                <w:szCs w:val="21"/>
              </w:rPr>
            </w:pPr>
            <w:r>
              <w:rPr>
                <w:rFonts w:hint="eastAsia" w:ascii="仿宋" w:hAnsi="仿宋"/>
                <w:kern w:val="0"/>
                <w:sz w:val="21"/>
                <w:szCs w:val="21"/>
              </w:rPr>
              <w:t>8</w:t>
            </w:r>
            <w:r>
              <w:rPr>
                <w:rFonts w:ascii="仿宋" w:hAnsi="仿宋"/>
                <w:kern w:val="0"/>
                <w:sz w:val="21"/>
                <w:szCs w:val="21"/>
              </w:rPr>
              <w:t>0</w:t>
            </w:r>
          </w:p>
        </w:tc>
        <w:tc>
          <w:tcPr>
            <w:tcW w:w="950"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vAlign w:val="center"/>
          </w:tcPr>
          <w:p>
            <w:pPr>
              <w:widowControl/>
              <w:spacing w:line="240" w:lineRule="auto"/>
              <w:ind w:firstLine="0" w:firstLineChars="0"/>
              <w:rPr>
                <w:rFonts w:ascii="仿宋" w:hAnsi="仿宋"/>
                <w:sz w:val="21"/>
                <w:szCs w:val="21"/>
              </w:rPr>
            </w:pPr>
          </w:p>
        </w:tc>
        <w:tc>
          <w:tcPr>
            <w:tcW w:w="632"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hint="eastAsia" w:ascii="仿宋" w:hAnsi="仿宋" w:eastAsia="仿宋"/>
                <w:sz w:val="21"/>
                <w:szCs w:val="21"/>
                <w:lang w:eastAsia="zh-CN"/>
              </w:rPr>
            </w:pPr>
            <w:r>
              <w:rPr>
                <w:rFonts w:hint="eastAsia" w:ascii="仿宋" w:hAnsi="仿宋"/>
                <w:sz w:val="21"/>
                <w:szCs w:val="21"/>
              </w:rPr>
              <w:t>3</w:t>
            </w:r>
            <w:r>
              <w:rPr>
                <w:rFonts w:hint="eastAsia" w:ascii="仿宋" w:hAnsi="仿宋"/>
                <w:sz w:val="21"/>
                <w:szCs w:val="21"/>
                <w:lang w:val="en-US" w:eastAsia="zh-CN"/>
              </w:rPr>
              <w:t>3</w:t>
            </w:r>
          </w:p>
        </w:tc>
        <w:tc>
          <w:tcPr>
            <w:tcW w:w="3037"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jc w:val="left"/>
              <w:rPr>
                <w:rFonts w:ascii="仿宋" w:hAnsi="仿宋"/>
                <w:kern w:val="0"/>
                <w:sz w:val="21"/>
                <w:szCs w:val="21"/>
              </w:rPr>
            </w:pPr>
            <w:r>
              <w:rPr>
                <w:rFonts w:ascii="仿宋" w:hAnsi="仿宋"/>
                <w:kern w:val="0"/>
                <w:sz w:val="21"/>
                <w:szCs w:val="21"/>
              </w:rPr>
              <w:t>其中：省级</w:t>
            </w:r>
          </w:p>
        </w:tc>
        <w:tc>
          <w:tcPr>
            <w:tcW w:w="836"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ascii="仿宋" w:hAnsi="仿宋"/>
                <w:sz w:val="21"/>
                <w:szCs w:val="21"/>
              </w:rPr>
            </w:pPr>
            <w:r>
              <w:rPr>
                <w:rFonts w:ascii="仿宋" w:hAnsi="仿宋"/>
                <w:kern w:val="0"/>
                <w:sz w:val="21"/>
                <w:szCs w:val="21"/>
              </w:rPr>
              <w:t>家</w:t>
            </w:r>
          </w:p>
        </w:tc>
        <w:tc>
          <w:tcPr>
            <w:tcW w:w="88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ascii="仿宋" w:hAnsi="仿宋"/>
                <w:sz w:val="21"/>
                <w:szCs w:val="21"/>
              </w:rPr>
            </w:pPr>
            <w:r>
              <w:rPr>
                <w:rFonts w:ascii="仿宋" w:hAnsi="仿宋"/>
                <w:kern w:val="0"/>
                <w:sz w:val="21"/>
                <w:szCs w:val="21"/>
              </w:rPr>
              <w:t>13</w:t>
            </w:r>
          </w:p>
        </w:tc>
        <w:tc>
          <w:tcPr>
            <w:tcW w:w="86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ascii="仿宋" w:hAnsi="仿宋"/>
                <w:sz w:val="21"/>
                <w:szCs w:val="21"/>
              </w:rPr>
            </w:pPr>
            <w:r>
              <w:rPr>
                <w:rFonts w:hint="eastAsia" w:ascii="仿宋" w:hAnsi="仿宋"/>
                <w:kern w:val="0"/>
                <w:sz w:val="21"/>
                <w:szCs w:val="21"/>
              </w:rPr>
              <w:t>1</w:t>
            </w:r>
            <w:r>
              <w:rPr>
                <w:rFonts w:ascii="仿宋" w:hAnsi="仿宋"/>
                <w:kern w:val="0"/>
                <w:sz w:val="21"/>
                <w:szCs w:val="21"/>
              </w:rPr>
              <w:t>5</w:t>
            </w:r>
          </w:p>
        </w:tc>
        <w:tc>
          <w:tcPr>
            <w:tcW w:w="950"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733" w:type="dxa"/>
            <w:vMerge w:val="continue"/>
            <w:vAlign w:val="center"/>
          </w:tcPr>
          <w:p>
            <w:pPr>
              <w:widowControl/>
              <w:spacing w:line="240" w:lineRule="auto"/>
              <w:ind w:firstLine="0" w:firstLineChars="0"/>
              <w:rPr>
                <w:rFonts w:ascii="仿宋" w:hAnsi="仿宋"/>
                <w:sz w:val="21"/>
                <w:szCs w:val="21"/>
              </w:rPr>
            </w:pPr>
          </w:p>
        </w:tc>
        <w:tc>
          <w:tcPr>
            <w:tcW w:w="632"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hint="eastAsia" w:ascii="仿宋" w:hAnsi="仿宋" w:eastAsia="仿宋"/>
                <w:sz w:val="21"/>
                <w:szCs w:val="21"/>
                <w:lang w:eastAsia="zh-CN"/>
              </w:rPr>
            </w:pPr>
            <w:r>
              <w:rPr>
                <w:rFonts w:hint="eastAsia" w:ascii="仿宋" w:hAnsi="仿宋"/>
                <w:sz w:val="21"/>
                <w:szCs w:val="21"/>
              </w:rPr>
              <w:t>3</w:t>
            </w:r>
            <w:r>
              <w:rPr>
                <w:rFonts w:hint="eastAsia" w:ascii="仿宋" w:hAnsi="仿宋"/>
                <w:sz w:val="21"/>
                <w:szCs w:val="21"/>
                <w:lang w:val="en-US" w:eastAsia="zh-CN"/>
              </w:rPr>
              <w:t>4</w:t>
            </w:r>
          </w:p>
        </w:tc>
        <w:tc>
          <w:tcPr>
            <w:tcW w:w="3037"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left"/>
              <w:rPr>
                <w:rFonts w:ascii="仿宋" w:hAnsi="仿宋"/>
                <w:kern w:val="0"/>
                <w:sz w:val="21"/>
                <w:szCs w:val="21"/>
              </w:rPr>
            </w:pPr>
            <w:r>
              <w:rPr>
                <w:rFonts w:ascii="仿宋" w:hAnsi="仿宋"/>
                <w:kern w:val="0"/>
                <w:sz w:val="21"/>
                <w:szCs w:val="21"/>
              </w:rPr>
              <w:t xml:space="preserve">          市级</w:t>
            </w:r>
          </w:p>
        </w:tc>
        <w:tc>
          <w:tcPr>
            <w:tcW w:w="836"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ascii="仿宋" w:hAnsi="仿宋"/>
                <w:sz w:val="21"/>
                <w:szCs w:val="21"/>
              </w:rPr>
            </w:pPr>
            <w:r>
              <w:rPr>
                <w:rFonts w:ascii="仿宋" w:hAnsi="仿宋"/>
                <w:kern w:val="0"/>
                <w:sz w:val="21"/>
                <w:szCs w:val="21"/>
              </w:rPr>
              <w:t>家</w:t>
            </w:r>
          </w:p>
        </w:tc>
        <w:tc>
          <w:tcPr>
            <w:tcW w:w="88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ascii="仿宋" w:hAnsi="仿宋"/>
                <w:sz w:val="21"/>
                <w:szCs w:val="21"/>
              </w:rPr>
            </w:pPr>
            <w:r>
              <w:rPr>
                <w:rFonts w:ascii="仿宋" w:hAnsi="仿宋"/>
                <w:kern w:val="0"/>
                <w:sz w:val="21"/>
                <w:szCs w:val="21"/>
              </w:rPr>
              <w:t>21</w:t>
            </w:r>
          </w:p>
        </w:tc>
        <w:tc>
          <w:tcPr>
            <w:tcW w:w="86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ascii="仿宋" w:hAnsi="仿宋"/>
                <w:sz w:val="21"/>
                <w:szCs w:val="21"/>
              </w:rPr>
            </w:pPr>
            <w:r>
              <w:rPr>
                <w:rFonts w:hint="eastAsia" w:ascii="仿宋" w:hAnsi="仿宋"/>
                <w:kern w:val="0"/>
                <w:sz w:val="21"/>
                <w:szCs w:val="21"/>
              </w:rPr>
              <w:t>3</w:t>
            </w:r>
            <w:r>
              <w:rPr>
                <w:rFonts w:ascii="仿宋" w:hAnsi="仿宋"/>
                <w:kern w:val="0"/>
                <w:sz w:val="21"/>
                <w:szCs w:val="21"/>
              </w:rPr>
              <w:t>0</w:t>
            </w:r>
          </w:p>
        </w:tc>
        <w:tc>
          <w:tcPr>
            <w:tcW w:w="950"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ascii="仿宋" w:hAnsi="仿宋"/>
                <w:sz w:val="21"/>
                <w:szCs w:val="21"/>
              </w:rPr>
            </w:pPr>
            <w:r>
              <w:rPr>
                <w:rFonts w:ascii="仿宋" w:hAnsi="仿宋"/>
                <w:sz w:val="21"/>
                <w:szCs w:val="21"/>
              </w:rPr>
              <w:t>预期性</w:t>
            </w:r>
          </w:p>
        </w:tc>
      </w:tr>
    </w:tbl>
    <w:p>
      <w:pPr>
        <w:pStyle w:val="4"/>
        <w:ind w:firstLine="602" w:firstLineChars="200"/>
      </w:pPr>
      <w:bookmarkStart w:id="34" w:name="_Toc107350575"/>
      <w:r>
        <w:rPr>
          <w:rFonts w:hint="eastAsia"/>
        </w:rPr>
        <w:t>五、空间布局</w:t>
      </w:r>
      <w:bookmarkEnd w:id="34"/>
    </w:p>
    <w:p>
      <w:pPr>
        <w:ind w:firstLine="560"/>
      </w:pPr>
      <w:r>
        <w:rPr>
          <w:rFonts w:hint="eastAsia"/>
        </w:rPr>
        <w:t>依据《博罗县县城总体规划（2</w:t>
      </w:r>
      <w:r>
        <w:t>011-2035</w:t>
      </w:r>
      <w:r>
        <w:rPr>
          <w:rFonts w:hint="eastAsia"/>
        </w:rPr>
        <w:t>年）》，发挥博罗县区位优势、资源禀赋、产业发展特点，结合全县“十四五”期间农业与农村发展方向，打造“环罗浮山文化康养区”、“中北部文旅休闲区”、“博东特色产业示范区”、“博西优势产业核心区”四大片区错位互补，总体联动发展的总体发展格局。</w:t>
      </w:r>
    </w:p>
    <w:p>
      <w:pPr>
        <w:ind w:firstLine="560"/>
      </w:pPr>
      <w:r>
        <w:rPr>
          <w:rFonts w:hint="eastAsia"/>
        </w:rPr>
        <w:t>（一）环罗浮山文化康养区</w:t>
      </w:r>
    </w:p>
    <w:p>
      <w:pPr>
        <w:ind w:firstLine="560"/>
      </w:pPr>
      <w:r>
        <w:rPr>
          <w:rFonts w:hint="eastAsia"/>
        </w:rPr>
        <w:t>区域范围包括罗浮山、福田镇、长宁镇、湖镇镇、横河镇，围绕罗浮山旅游资源、医药资源，打造“环罗浮山生态旅游区”、“生态康养区”、“中药产业核心发展区”。主动融入粤港澳大湾区，建设为世界级康养产业基地、罗浮山文化休闲旅游目的地、国际一流中医药大学小镇、珠江东岸健康产业合作新平台和粤港澳大湾区绿色发展新引擎。充分发挥罗浮山旅游优势，升级博罗县长宁旅游接待中心，提升旅游接待能力；完善基础设施，提升游客体验；创新旅游项目，吸引更多游客；加强监督管理，培育博罗县旅游品牌。同时挖掘罗浮山周边村、镇的人文资源、自然资源，结合罗浮山旅游，加大美丽乡村建设，打造“七星耀罗浮”等多条乡村旅游线路，带动更多农民参与旅游业的发展，拓宽农民增收渠道，以乡村旅游发展助力乡村振兴战略。</w:t>
      </w:r>
    </w:p>
    <w:p>
      <w:pPr>
        <w:ind w:firstLine="560"/>
      </w:pPr>
      <w:r>
        <w:rPr>
          <w:rFonts w:hint="eastAsia"/>
        </w:rPr>
        <w:t>（二）中北部文旅休闲区</w:t>
      </w:r>
    </w:p>
    <w:p>
      <w:pPr>
        <w:ind w:firstLine="560"/>
      </w:pPr>
      <w:r>
        <w:rPr>
          <w:rFonts w:hint="eastAsia"/>
        </w:rPr>
        <w:t>区域范围包括公庄镇、柏塘镇、罗阳街道，以博罗县多元文化交融的文化特色为核心，充分挖掘龙华镇旭日村、湖镇镇湖镇围、湖镇镇大田村、公庄镇吉水围村、龙溪街道办苏村、罗阳街道办莲湖缚娄文化古村等历史文化名村文化价值，结合美丽乡村建设，升级旅游服务设施，探索乡村振兴的多功能模式，打造旅游线路和旅游节点，将中北部打造成文旅休闲区。</w:t>
      </w:r>
    </w:p>
    <w:p>
      <w:pPr>
        <w:ind w:firstLine="560"/>
      </w:pPr>
      <w:r>
        <w:rPr>
          <w:rFonts w:hint="eastAsia"/>
        </w:rPr>
        <w:t>（三）博东特色产业示范区</w:t>
      </w:r>
    </w:p>
    <w:p>
      <w:pPr>
        <w:ind w:firstLine="560"/>
      </w:pPr>
      <w:r>
        <w:rPr>
          <w:rFonts w:hint="eastAsia"/>
        </w:rPr>
        <w:t>区域范围包括石坝镇、麻陂镇、杨侨镇、杨村镇、观音阁镇、泰美镇，以果蔬、畜牧、茶叶、花卉等农业特色产业种植养殖为主导产业，加大科技创新，引进现代生产技术、科学管理理念，促进博罗县农业集约化、标准化、规模化、智能化、生态友好化发展；发展精深加工，延长产业链，拓宽价值链，提升农产品附加值；挖掘农业多业态，探索“农业+”发展模式，拓宽农业多功能价值，促进一二三产业融合发展，将博东打造成特色产业融合发展示范区。</w:t>
      </w:r>
    </w:p>
    <w:p>
      <w:pPr>
        <w:ind w:firstLine="560"/>
      </w:pPr>
      <w:r>
        <w:rPr>
          <w:rFonts w:hint="eastAsia"/>
        </w:rPr>
        <w:t>（四）博西优势产业核心区</w:t>
      </w:r>
    </w:p>
    <w:p>
      <w:pPr>
        <w:ind w:firstLine="560"/>
        <w:rPr>
          <w:rFonts w:ascii="仿宋" w:hAnsi="仿宋"/>
          <w:color w:val="000000" w:themeColor="text1"/>
          <w:szCs w:val="28"/>
          <w14:textFill>
            <w14:solidFill>
              <w14:schemeClr w14:val="tx1"/>
            </w14:solidFill>
          </w14:textFill>
        </w:rPr>
      </w:pPr>
      <w:r>
        <w:rPr>
          <w:rFonts w:hint="eastAsia"/>
        </w:rPr>
        <w:t>区域范围包括石湾镇、园洲镇、龙华镇、龙溪街道，以博罗县丝苗米等粮食作物种植为核心，在现有基础上，继续加强高标准农田建设，同时建设</w:t>
      </w:r>
      <w:r>
        <w:rPr>
          <w:rFonts w:hint="eastAsia" w:ascii="仿宋" w:hAnsi="仿宋"/>
          <w:color w:val="000000" w:themeColor="text1"/>
          <w:szCs w:val="28"/>
          <w14:textFill>
            <w14:solidFill>
              <w14:schemeClr w14:val="tx1"/>
            </w14:solidFill>
          </w14:textFill>
        </w:rPr>
        <w:t>以“北斗”定位为基础的农机精准作业系统、“天空地”一体化大田农情监测系统、农业生产精准管理决策系统和农业高效生产公共服务系统，促进大田作物生产节本增效、提升产量，提高农机作业质量与效率，减少化肥、农药施用，增强农业可持续发展能力，提高博罗县农业科技水平，将博西建设成农业现代化、智能化、集约化、规模化的现代农业核心区。</w:t>
      </w:r>
    </w:p>
    <w:p>
      <w:pPr>
        <w:ind w:firstLine="643"/>
        <w:rPr>
          <w:b/>
          <w:bCs/>
          <w:kern w:val="44"/>
          <w:sz w:val="32"/>
          <w:szCs w:val="44"/>
        </w:rPr>
        <w:sectPr>
          <w:pgSz w:w="11906" w:h="16838"/>
          <w:pgMar w:top="1440" w:right="1797" w:bottom="1440" w:left="1797" w:header="851" w:footer="992" w:gutter="0"/>
          <w:pgNumType w:start="1"/>
          <w:cols w:space="425" w:num="1"/>
          <w:docGrid w:type="lines" w:linePitch="381" w:charSpace="0"/>
        </w:sectPr>
      </w:pPr>
    </w:p>
    <w:p>
      <w:pPr>
        <w:ind w:firstLine="173" w:firstLineChars="62"/>
        <w:jc w:val="center"/>
        <w:rPr>
          <w:b/>
          <w:bCs/>
          <w:kern w:val="44"/>
          <w:sz w:val="32"/>
          <w:szCs w:val="44"/>
        </w:rPr>
      </w:pPr>
      <w:r>
        <w:drawing>
          <wp:inline distT="0" distB="0" distL="0" distR="0">
            <wp:extent cx="6182360" cy="4708525"/>
            <wp:effectExtent l="0" t="0" r="889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6192119" cy="4715860"/>
                    </a:xfrm>
                    <a:prstGeom prst="rect">
                      <a:avLst/>
                    </a:prstGeom>
                    <a:noFill/>
                    <a:ln>
                      <a:noFill/>
                    </a:ln>
                  </pic:spPr>
                </pic:pic>
              </a:graphicData>
            </a:graphic>
          </wp:inline>
        </w:drawing>
      </w:r>
    </w:p>
    <w:p>
      <w:pPr>
        <w:ind w:firstLine="173" w:firstLineChars="62"/>
        <w:jc w:val="center"/>
        <w:rPr>
          <w:rFonts w:ascii="黑体" w:hAnsi="黑体" w:eastAsia="黑体"/>
          <w:kern w:val="44"/>
          <w:szCs w:val="28"/>
        </w:rPr>
      </w:pPr>
      <w:r>
        <w:rPr>
          <w:rFonts w:hint="eastAsia" w:ascii="黑体" w:hAnsi="黑体" w:eastAsia="黑体"/>
          <w:kern w:val="44"/>
          <w:szCs w:val="28"/>
        </w:rPr>
        <w:t>图</w:t>
      </w:r>
      <w:r>
        <w:rPr>
          <w:rFonts w:ascii="黑体" w:hAnsi="黑体" w:eastAsia="黑体"/>
          <w:kern w:val="44"/>
          <w:szCs w:val="28"/>
        </w:rPr>
        <w:t xml:space="preserve">4-1 </w:t>
      </w:r>
      <w:r>
        <w:rPr>
          <w:rFonts w:hint="eastAsia" w:ascii="黑体" w:hAnsi="黑体" w:eastAsia="黑体"/>
          <w:kern w:val="44"/>
          <w:szCs w:val="28"/>
        </w:rPr>
        <w:t>博罗县农业农村发展总体布局图</w:t>
      </w:r>
    </w:p>
    <w:p>
      <w:pPr>
        <w:pStyle w:val="3"/>
        <w:sectPr>
          <w:pgSz w:w="16838" w:h="11906" w:orient="landscape"/>
          <w:pgMar w:top="1797" w:right="1440" w:bottom="1797" w:left="1440" w:header="851" w:footer="992" w:gutter="0"/>
          <w:cols w:space="425" w:num="1"/>
          <w:docGrid w:type="lines" w:linePitch="381" w:charSpace="0"/>
        </w:sectPr>
      </w:pPr>
    </w:p>
    <w:p>
      <w:pPr>
        <w:pStyle w:val="3"/>
      </w:pPr>
      <w:bookmarkStart w:id="35" w:name="_Toc107350576"/>
      <w:r>
        <w:rPr>
          <w:rFonts w:hint="eastAsia"/>
        </w:rPr>
        <w:t>第四章 产业发展规划</w:t>
      </w:r>
      <w:bookmarkEnd w:id="35"/>
    </w:p>
    <w:p>
      <w:pPr>
        <w:pStyle w:val="4"/>
        <w:ind w:firstLine="602" w:firstLineChars="200"/>
      </w:pPr>
      <w:bookmarkStart w:id="36" w:name="_Toc107350577"/>
      <w:r>
        <w:rPr>
          <w:rFonts w:hint="eastAsia"/>
        </w:rPr>
        <w:t>一、全面提升农业优势产业</w:t>
      </w:r>
      <w:bookmarkEnd w:id="36"/>
    </w:p>
    <w:p>
      <w:pPr>
        <w:pStyle w:val="5"/>
        <w:ind w:firstLine="562"/>
      </w:pPr>
      <w:bookmarkStart w:id="37" w:name="_Toc472585805"/>
      <w:bookmarkStart w:id="38" w:name="_Toc440966415"/>
      <w:bookmarkStart w:id="39" w:name="_Toc440790434"/>
      <w:bookmarkStart w:id="40" w:name="_Toc107350578"/>
      <w:r>
        <w:t>（一）</w:t>
      </w:r>
      <w:bookmarkEnd w:id="37"/>
      <w:bookmarkEnd w:id="38"/>
      <w:bookmarkEnd w:id="39"/>
      <w:r>
        <w:rPr>
          <w:rFonts w:hint="eastAsia"/>
        </w:rPr>
        <w:t>优质粮食</w:t>
      </w:r>
      <w:bookmarkEnd w:id="40"/>
    </w:p>
    <w:p>
      <w:pPr>
        <w:adjustRightInd w:val="0"/>
        <w:snapToGrid w:val="0"/>
        <w:ind w:firstLine="560"/>
        <w:rPr>
          <w:rFonts w:ascii="仿宋" w:hAnsi="仿宋"/>
          <w:color w:val="000000" w:themeColor="text1"/>
          <w:szCs w:val="28"/>
          <w14:textFill>
            <w14:solidFill>
              <w14:schemeClr w14:val="tx1"/>
            </w14:solidFill>
          </w14:textFill>
        </w:rPr>
      </w:pPr>
      <w:r>
        <w:rPr>
          <w:rFonts w:hint="eastAsia" w:ascii="仿宋" w:hAnsi="仿宋"/>
          <w:color w:val="000000" w:themeColor="text1"/>
          <w:szCs w:val="28"/>
          <w14:textFill>
            <w14:solidFill>
              <w14:schemeClr w14:val="tx1"/>
            </w14:solidFill>
          </w14:textFill>
        </w:rPr>
        <w:t>1</w:t>
      </w:r>
      <w:r>
        <w:rPr>
          <w:rFonts w:ascii="仿宋" w:hAnsi="仿宋"/>
          <w:color w:val="000000" w:themeColor="text1"/>
          <w:szCs w:val="28"/>
          <w14:textFill>
            <w14:solidFill>
              <w14:schemeClr w14:val="tx1"/>
            </w14:solidFill>
          </w14:textFill>
        </w:rPr>
        <w:t>.</w:t>
      </w:r>
      <w:r>
        <w:rPr>
          <w:rFonts w:hint="eastAsia" w:ascii="仿宋" w:hAnsi="仿宋"/>
          <w:color w:val="000000" w:themeColor="text1"/>
          <w:szCs w:val="28"/>
          <w14:textFill>
            <w14:solidFill>
              <w14:schemeClr w14:val="tx1"/>
            </w14:solidFill>
          </w14:textFill>
        </w:rPr>
        <w:t>发展思路</w:t>
      </w:r>
    </w:p>
    <w:p>
      <w:pPr>
        <w:adjustRightInd w:val="0"/>
        <w:snapToGrid w:val="0"/>
        <w:ind w:firstLine="560"/>
        <w:rPr>
          <w:rFonts w:ascii="仿宋" w:hAnsi="仿宋"/>
          <w:color w:val="000000" w:themeColor="text1"/>
          <w:szCs w:val="28"/>
          <w14:textFill>
            <w14:solidFill>
              <w14:schemeClr w14:val="tx1"/>
            </w14:solidFill>
          </w14:textFill>
        </w:rPr>
      </w:pPr>
      <w:r>
        <w:rPr>
          <w:rFonts w:hint="eastAsia" w:ascii="仿宋" w:hAnsi="仿宋"/>
          <w:color w:val="000000" w:themeColor="text1"/>
          <w:szCs w:val="28"/>
          <w14:textFill>
            <w14:solidFill>
              <w14:schemeClr w14:val="tx1"/>
            </w14:solidFill>
          </w14:textFill>
        </w:rPr>
        <w:t>按照“稳产、提质、增效、环保”的发展思路，以企业为主体，政府引导，加快土地流转，促进粮食种植规模化、标准化、集约化、数字化发展；加大科技投入，提升生产技术水平，打造数字农业示范区；减少化肥农药投入，推广统防统控、生物防控等，保障农产品品质，实现生态友好发展。最终将博罗打造成技术先进、高产高效、生态文明的现代农业生产示范区。</w:t>
      </w:r>
    </w:p>
    <w:p>
      <w:pPr>
        <w:adjustRightInd w:val="0"/>
        <w:snapToGrid w:val="0"/>
        <w:ind w:firstLine="560"/>
        <w:rPr>
          <w:rFonts w:ascii="仿宋" w:hAnsi="仿宋"/>
          <w:color w:val="000000" w:themeColor="text1"/>
          <w:szCs w:val="28"/>
          <w14:textFill>
            <w14:solidFill>
              <w14:schemeClr w14:val="tx1"/>
            </w14:solidFill>
          </w14:textFill>
        </w:rPr>
      </w:pPr>
      <w:r>
        <w:rPr>
          <w:rFonts w:hint="eastAsia" w:ascii="仿宋" w:hAnsi="仿宋"/>
          <w:color w:val="000000" w:themeColor="text1"/>
          <w:szCs w:val="28"/>
          <w14:textFill>
            <w14:solidFill>
              <w14:schemeClr w14:val="tx1"/>
            </w14:solidFill>
          </w14:textFill>
        </w:rPr>
        <w:t>2</w:t>
      </w:r>
      <w:r>
        <w:rPr>
          <w:rFonts w:ascii="仿宋" w:hAnsi="仿宋"/>
          <w:color w:val="000000" w:themeColor="text1"/>
          <w:szCs w:val="28"/>
          <w14:textFill>
            <w14:solidFill>
              <w14:schemeClr w14:val="tx1"/>
            </w14:solidFill>
          </w14:textFill>
        </w:rPr>
        <w:t>.</w:t>
      </w:r>
      <w:r>
        <w:rPr>
          <w:rFonts w:hint="eastAsia" w:ascii="仿宋" w:hAnsi="仿宋"/>
          <w:color w:val="000000" w:themeColor="text1"/>
          <w:szCs w:val="28"/>
          <w14:textFill>
            <w14:solidFill>
              <w14:schemeClr w14:val="tx1"/>
            </w14:solidFill>
          </w14:textFill>
        </w:rPr>
        <w:t>重点布局</w:t>
      </w:r>
    </w:p>
    <w:p>
      <w:pPr>
        <w:adjustRightInd w:val="0"/>
        <w:snapToGrid w:val="0"/>
        <w:ind w:firstLine="560"/>
        <w:rPr>
          <w:rFonts w:ascii="仿宋" w:hAnsi="仿宋"/>
          <w:color w:val="000000" w:themeColor="text1"/>
          <w:szCs w:val="28"/>
          <w14:textFill>
            <w14:solidFill>
              <w14:schemeClr w14:val="tx1"/>
            </w14:solidFill>
          </w14:textFill>
        </w:rPr>
      </w:pPr>
      <w:r>
        <w:rPr>
          <w:rFonts w:hint="eastAsia" w:ascii="仿宋" w:hAnsi="仿宋"/>
          <w:color w:val="000000" w:themeColor="text1"/>
          <w:szCs w:val="28"/>
          <w14:textFill>
            <w14:solidFill>
              <w14:schemeClr w14:val="tx1"/>
            </w14:solidFill>
          </w14:textFill>
        </w:rPr>
        <w:t>“十四五”期间，以粮食功能生产区为重点，以石湾镇水稻产业为核心，推动丝苗米产业园建设。继续推动高标准农田建设，鼓励企业集中流转土地；加强与科研院所合作，建立健全育繁推一体化体系；加大科学技术投入，优先开展数字</w:t>
      </w:r>
      <w:r>
        <w:rPr>
          <w:rFonts w:hint="eastAsia" w:ascii="仿宋" w:hAnsi="仿宋"/>
          <w:szCs w:val="28"/>
        </w:rPr>
        <w:t>田园建设，推动智能感知、智能分析、智能控制技术与装备在大田种植上的集成应用，构建“天空地”</w:t>
      </w:r>
      <w:r>
        <w:rPr>
          <w:rFonts w:hint="eastAsia" w:ascii="仿宋" w:hAnsi="仿宋"/>
          <w:color w:val="000000" w:themeColor="text1"/>
          <w:szCs w:val="28"/>
          <w14:textFill>
            <w14:solidFill>
              <w14:schemeClr w14:val="tx1"/>
            </w14:solidFill>
          </w14:textFill>
        </w:rPr>
        <w:t>一体化的农业生产感知系统，开展作物空间分布、水肥状况、气象灾害、病虫害、长势与产量等农情数据快速测报，建立环境控制、水肥药精准施用、农机智能作业、智能分等分级等决策系统，提升生产精准化、智慧化水平。</w:t>
      </w:r>
    </w:p>
    <w:p>
      <w:pPr>
        <w:adjustRightInd w:val="0"/>
        <w:snapToGrid w:val="0"/>
        <w:ind w:firstLine="560"/>
        <w:rPr>
          <w:rFonts w:ascii="仿宋" w:hAnsi="仿宋"/>
          <w:color w:val="000000" w:themeColor="text1"/>
          <w:szCs w:val="28"/>
          <w14:textFill>
            <w14:solidFill>
              <w14:schemeClr w14:val="tx1"/>
            </w14:solidFill>
          </w14:textFill>
        </w:rPr>
      </w:pPr>
      <w:r>
        <w:rPr>
          <w:rFonts w:hint="eastAsia" w:ascii="仿宋" w:hAnsi="仿宋"/>
          <w:color w:val="000000" w:themeColor="text1"/>
          <w:szCs w:val="28"/>
          <w14:textFill>
            <w14:solidFill>
              <w14:schemeClr w14:val="tx1"/>
            </w14:solidFill>
          </w14:textFill>
        </w:rPr>
        <w:t>3</w:t>
      </w:r>
      <w:r>
        <w:rPr>
          <w:rFonts w:ascii="仿宋" w:hAnsi="仿宋"/>
          <w:color w:val="000000" w:themeColor="text1"/>
          <w:szCs w:val="28"/>
          <w14:textFill>
            <w14:solidFill>
              <w14:schemeClr w14:val="tx1"/>
            </w14:solidFill>
          </w14:textFill>
        </w:rPr>
        <w:t>.</w:t>
      </w:r>
      <w:r>
        <w:rPr>
          <w:rFonts w:hint="eastAsia" w:ascii="仿宋" w:hAnsi="仿宋"/>
          <w:color w:val="000000" w:themeColor="text1"/>
          <w:szCs w:val="28"/>
          <w14:textFill>
            <w14:solidFill>
              <w14:schemeClr w14:val="tx1"/>
            </w14:solidFill>
          </w14:textFill>
        </w:rPr>
        <w:t>建设重点</w:t>
      </w:r>
    </w:p>
    <w:p>
      <w:pPr>
        <w:adjustRightInd w:val="0"/>
        <w:snapToGrid w:val="0"/>
        <w:ind w:firstLine="560"/>
        <w:rPr>
          <w:rFonts w:ascii="仿宋" w:hAnsi="仿宋"/>
          <w:szCs w:val="28"/>
        </w:rPr>
      </w:pPr>
      <w:r>
        <w:rPr>
          <w:rFonts w:hint="eastAsia" w:ascii="仿宋" w:hAnsi="仿宋"/>
          <w:color w:val="000000" w:themeColor="text1"/>
          <w:szCs w:val="28"/>
          <w14:textFill>
            <w14:solidFill>
              <w14:schemeClr w14:val="tx1"/>
            </w14:solidFill>
          </w14:textFill>
        </w:rPr>
        <w:t>一是加大高标准农田建设力度。以测土施肥为数据依据，将地块分等分级，针对不同级别的地块，针对性制定建设方案，通过土地平整、土壤改良、水利设施建设、田间道路配套等，全力开展高标准农田建设，争取到2</w:t>
      </w:r>
      <w:r>
        <w:rPr>
          <w:rFonts w:ascii="仿宋" w:hAnsi="仿宋"/>
          <w:color w:val="000000" w:themeColor="text1"/>
          <w:szCs w:val="28"/>
          <w14:textFill>
            <w14:solidFill>
              <w14:schemeClr w14:val="tx1"/>
            </w14:solidFill>
          </w14:textFill>
        </w:rPr>
        <w:t>025</w:t>
      </w:r>
      <w:r>
        <w:rPr>
          <w:rFonts w:hint="eastAsia" w:ascii="仿宋" w:hAnsi="仿宋"/>
          <w:color w:val="000000" w:themeColor="text1"/>
          <w:szCs w:val="28"/>
          <w14:textFill>
            <w14:solidFill>
              <w14:schemeClr w14:val="tx1"/>
            </w14:solidFill>
          </w14:textFill>
        </w:rPr>
        <w:t>年，实现粮食生产功能区全覆盖。对完成高标准农田建</w:t>
      </w:r>
      <w:r>
        <w:rPr>
          <w:rFonts w:hint="eastAsia" w:ascii="仿宋" w:hAnsi="仿宋"/>
          <w:szCs w:val="28"/>
        </w:rPr>
        <w:t>设的地块，再次进行提升打造，提高机械化、数字化水平。</w:t>
      </w:r>
    </w:p>
    <w:p>
      <w:pPr>
        <w:adjustRightInd w:val="0"/>
        <w:snapToGrid w:val="0"/>
        <w:ind w:firstLine="560"/>
        <w:rPr>
          <w:rFonts w:ascii="仿宋" w:hAnsi="仿宋"/>
          <w:szCs w:val="28"/>
        </w:rPr>
      </w:pPr>
      <w:r>
        <w:rPr>
          <w:rFonts w:hint="eastAsia" w:ascii="仿宋" w:hAnsi="仿宋"/>
          <w:szCs w:val="28"/>
        </w:rPr>
        <w:t>二是探索数字大田示范基地。选取集中连片，土地平整，自然条件优越的地块，建设以“北斗”定位为基础的农机精准作业系统、“天空地”一体化大田农情监测系统、农业生产精准管理决策系统和农业高效生产公共服务系统，促进大田作物生产节本增效、提升产量，提高农机作业质量与效率，减少化肥、农药施用，增强农业可持续发展能力。</w:t>
      </w:r>
    </w:p>
    <w:p>
      <w:pPr>
        <w:adjustRightInd w:val="0"/>
        <w:snapToGrid w:val="0"/>
        <w:ind w:firstLine="560"/>
        <w:rPr>
          <w:rFonts w:ascii="仿宋" w:hAnsi="仿宋"/>
          <w:szCs w:val="28"/>
        </w:rPr>
      </w:pPr>
      <w:r>
        <w:rPr>
          <w:rFonts w:hint="eastAsia" w:ascii="仿宋" w:hAnsi="仿宋"/>
          <w:szCs w:val="28"/>
        </w:rPr>
        <w:t>三是加大新品种的培育和推广力度。依托博罗县农业科技示范场，建立新品培育示范推广基地，加大新品种引进、筛选、培育及推广力度，通过标准化示范种植，带动新品种在全县范围内推广种植。探索打造农业产业创新联合体，引导龙头企业与科研单位建立合作协议，通过“企业+种植基地+农户”的模式带动新品种的种植，建立统一种植标准，提高科研成果转化率。</w:t>
      </w:r>
    </w:p>
    <w:p>
      <w:pPr>
        <w:adjustRightInd w:val="0"/>
        <w:snapToGrid w:val="0"/>
        <w:ind w:firstLine="560"/>
        <w:rPr>
          <w:rFonts w:ascii="仿宋" w:hAnsi="仿宋"/>
          <w:szCs w:val="28"/>
        </w:rPr>
      </w:pPr>
      <w:r>
        <w:rPr>
          <w:rFonts w:hint="eastAsia" w:ascii="仿宋" w:hAnsi="仿宋"/>
          <w:szCs w:val="28"/>
        </w:rPr>
        <w:t>四是延伸产业链，促进三产融合发展。以龙头企业为主体，加大对粮食作物加工的投入和新产品的研发，促进其由初加工向精深加工转变，延长产业链，提升附加值；引导更多第三方农业服务主体进入农业产业，提供农技农机服务、农业信息咨询服务等；结合各个镇村实际情况，以特色农业为基础发展乡村旅游、工厂旅游、研学游等。最终将博罗打造成技术先进、产业链长、三产服务业占比高的三产融合示范区。</w:t>
      </w:r>
    </w:p>
    <w:p>
      <w:pPr>
        <w:adjustRightInd w:val="0"/>
        <w:snapToGrid w:val="0"/>
        <w:ind w:firstLine="560"/>
        <w:rPr>
          <w:rFonts w:ascii="仿宋" w:hAnsi="仿宋"/>
          <w:color w:val="000000" w:themeColor="text1"/>
          <w:szCs w:val="28"/>
          <w14:textFill>
            <w14:solidFill>
              <w14:schemeClr w14:val="tx1"/>
            </w14:solidFill>
          </w14:textFill>
        </w:rPr>
      </w:pPr>
      <w:r>
        <w:rPr>
          <w:rFonts w:hint="eastAsia" w:ascii="仿宋" w:hAnsi="仿宋"/>
          <w:color w:val="000000" w:themeColor="text1"/>
          <w:szCs w:val="28"/>
          <w14:textFill>
            <w14:solidFill>
              <w14:schemeClr w14:val="tx1"/>
            </w14:solidFill>
          </w14:textFill>
        </w:rPr>
        <w:t>五是加强品牌培育和保护力度。加强地理标志农产品的培育，建立统一规范的种植标准和加工标准，保障农产品质量，并对符合标准的农产品积极申报地理标志农产品。加大对现有地理标志农产品的保护力度，如“罗浮山大米”、“观音阁花生”等，申报创建统一品牌标识，建立健全品牌保护管理办法和使用标准，禁止不符合标准的产品使用；加大执法力度，严厉打击假冒伪劣农产品。</w:t>
      </w:r>
    </w:p>
    <w:p>
      <w:pPr>
        <w:pStyle w:val="5"/>
        <w:ind w:firstLine="562"/>
      </w:pPr>
      <w:bookmarkStart w:id="41" w:name="_Toc107350579"/>
      <w:r>
        <w:rPr>
          <w:rFonts w:hint="eastAsia"/>
        </w:rPr>
        <w:t>（二）生态畜牧</w:t>
      </w:r>
      <w:bookmarkEnd w:id="41"/>
    </w:p>
    <w:p>
      <w:pPr>
        <w:ind w:firstLine="560"/>
      </w:pPr>
      <w:r>
        <w:rPr>
          <w:rFonts w:hint="eastAsia"/>
        </w:rPr>
        <w:t>1</w:t>
      </w:r>
      <w:r>
        <w:t>.</w:t>
      </w:r>
      <w:r>
        <w:rPr>
          <w:rFonts w:hint="eastAsia"/>
        </w:rPr>
        <w:t>发展思路</w:t>
      </w:r>
    </w:p>
    <w:p>
      <w:pPr>
        <w:ind w:firstLine="560"/>
      </w:pPr>
      <w:r>
        <w:rPr>
          <w:rFonts w:hint="eastAsia"/>
        </w:rPr>
        <w:t>以“满足人民群众生产生活所需”为宗旨，以畜牧业高质量发展为主线，坚持“以环境为底线，以市场为导向，以质量为动力，以效益为中心”的发展目标，贯彻“疏堵并举、打建结合”的原则，加快推动畜牧业的转型升级、绿色发展，积极构建种养结合、农牧循环可持续发展新格局，助推畜禽养殖业向着规模化、标准化、生态化方向健康发展，实现博罗县畜牧业高质量发展的目标。</w:t>
      </w:r>
    </w:p>
    <w:p>
      <w:pPr>
        <w:ind w:firstLine="560"/>
      </w:pPr>
      <w:r>
        <w:rPr>
          <w:rFonts w:hint="eastAsia"/>
        </w:rPr>
        <w:t>2</w:t>
      </w:r>
      <w:r>
        <w:t>.</w:t>
      </w:r>
      <w:r>
        <w:rPr>
          <w:rFonts w:hint="eastAsia"/>
        </w:rPr>
        <w:t>重点布局</w:t>
      </w:r>
    </w:p>
    <w:p>
      <w:pPr>
        <w:ind w:firstLine="560"/>
      </w:pPr>
      <w:r>
        <w:rPr>
          <w:rFonts w:hint="eastAsia"/>
        </w:rPr>
        <w:t>以博东八镇为核心，推动黄羽鸡产业集群建设、养殖场标准化建设、屠宰加工冷链物流配送中心建设、粪污资源化利用中心建设，将博罗县打造成绿色养殖生态发展示范县。</w:t>
      </w:r>
    </w:p>
    <w:p>
      <w:pPr>
        <w:ind w:firstLine="560"/>
      </w:pPr>
      <w:r>
        <w:rPr>
          <w:rFonts w:hint="eastAsia"/>
        </w:rPr>
        <w:t>3</w:t>
      </w:r>
      <w:r>
        <w:t>.</w:t>
      </w:r>
      <w:r>
        <w:rPr>
          <w:rFonts w:hint="eastAsia"/>
        </w:rPr>
        <w:t>建设重点</w:t>
      </w:r>
    </w:p>
    <w:p>
      <w:pPr>
        <w:ind w:firstLine="560"/>
      </w:pPr>
      <w:r>
        <w:rPr>
          <w:rFonts w:hint="eastAsia"/>
        </w:rPr>
        <w:t>一是优化畜禽产业布局。以“沙河流域的7镇1管委会”和“博罗县县域（含罗阳、龙溪街道和县城中心区）”为全域禁养区，博东八镇畜禽禁养区在原有基础上进行局部优化调整，严格遵循现有畜禽禁养区、限养区、适养区划分，引导畜禽养殖合理布局。</w:t>
      </w:r>
    </w:p>
    <w:p>
      <w:pPr>
        <w:adjustRightInd w:val="0"/>
        <w:snapToGrid w:val="0"/>
        <w:ind w:firstLine="560"/>
        <w:rPr>
          <w:rFonts w:ascii="仿宋" w:hAnsi="仿宋"/>
          <w:color w:val="000000" w:themeColor="text1"/>
          <w:szCs w:val="28"/>
          <w14:textFill>
            <w14:solidFill>
              <w14:schemeClr w14:val="tx1"/>
            </w14:solidFill>
          </w14:textFill>
        </w:rPr>
      </w:pPr>
      <w:r>
        <w:rPr>
          <w:rFonts w:hint="eastAsia" w:ascii="仿宋" w:hAnsi="仿宋"/>
          <w:color w:val="000000" w:themeColor="text1"/>
          <w:szCs w:val="28"/>
          <w14:textFill>
            <w14:solidFill>
              <w14:schemeClr w14:val="tx1"/>
            </w14:solidFill>
          </w14:textFill>
        </w:rPr>
        <w:t>二是成体系推进“畜禽粪污资源化利用整县推进项目”建设。“畜禽粪污资源化利用整县推进项目”建设包括“畜禽养殖企业的配套升级改造、畜禽养殖农牧循环一体化示范区建设、畜禽粪污资源化处理中心（有机肥加工企业）建设、智慧畜牧在线监管云系统建设、病死畜禽无害化处理中心建设”五大方面的内容，需全面推进和实施。推动石坝镇的“众原”、湖镇镇“奇的”、杨村镇的“圣源”、杨村镇的“普农”、观音阁镇的“致远”等</w:t>
      </w:r>
      <w:r>
        <w:rPr>
          <w:rFonts w:ascii="仿宋" w:hAnsi="仿宋"/>
          <w:color w:val="000000" w:themeColor="text1"/>
          <w:szCs w:val="28"/>
          <w14:textFill>
            <w14:solidFill>
              <w14:schemeClr w14:val="tx1"/>
            </w14:solidFill>
          </w14:textFill>
        </w:rPr>
        <w:t>5个畜禽粪污有机肥加工厂升级改造或新建投产工作。</w:t>
      </w:r>
    </w:p>
    <w:p>
      <w:pPr>
        <w:adjustRightInd w:val="0"/>
        <w:snapToGrid w:val="0"/>
        <w:ind w:firstLine="560"/>
        <w:rPr>
          <w:rFonts w:ascii="仿宋" w:hAnsi="仿宋"/>
          <w:color w:val="000000" w:themeColor="text1"/>
          <w:szCs w:val="28"/>
          <w14:textFill>
            <w14:solidFill>
              <w14:schemeClr w14:val="tx1"/>
            </w14:solidFill>
          </w14:textFill>
        </w:rPr>
      </w:pPr>
      <w:r>
        <w:rPr>
          <w:rFonts w:hint="eastAsia" w:ascii="仿宋" w:hAnsi="仿宋"/>
          <w:color w:val="000000" w:themeColor="text1"/>
          <w:szCs w:val="28"/>
          <w14:textFill>
            <w14:solidFill>
              <w14:schemeClr w14:val="tx1"/>
            </w14:solidFill>
          </w14:textFill>
        </w:rPr>
        <w:t>三是推动新一轮畜禽养殖场升级改造工作。遵循“疏堵有致、打建结合”的原则，提速推动畜禽养殖场新一轮升级改造工作，</w:t>
      </w:r>
      <w:r>
        <w:rPr>
          <w:rFonts w:hint="eastAsia"/>
        </w:rPr>
        <w:t>深入开展养殖场雨污分流改造，引入干清粪工艺、垫料养殖工艺等先进养殖工艺，推广建设沼气池、配套消纳田、沉淀池等，鼓励“畜牧+种植”、“畜牧+种植+水产养殖”等多种模式融合发展，减少养殖对周边环境的污染。</w:t>
      </w:r>
      <w:r>
        <w:rPr>
          <w:rFonts w:hint="eastAsia" w:ascii="仿宋" w:hAnsi="仿宋"/>
          <w:color w:val="000000" w:themeColor="text1"/>
          <w:szCs w:val="28"/>
          <w14:textFill>
            <w14:solidFill>
              <w14:schemeClr w14:val="tx1"/>
            </w14:solidFill>
          </w14:textFill>
        </w:rPr>
        <w:t>持续推动规模畜禽养殖场升级改造工作进度，按照“畜禽养殖场规范化管理”《议案》结案的决议的要求，实现我县畜禽养殖业“规划布局科学、规模生态养殖、规范有序管理”的目标。</w:t>
      </w:r>
    </w:p>
    <w:p>
      <w:pPr>
        <w:adjustRightInd w:val="0"/>
        <w:snapToGrid w:val="0"/>
        <w:ind w:firstLine="560"/>
        <w:rPr>
          <w:rFonts w:ascii="仿宋" w:hAnsi="仿宋"/>
          <w:color w:val="000000" w:themeColor="text1"/>
          <w:szCs w:val="28"/>
          <w14:textFill>
            <w14:solidFill>
              <w14:schemeClr w14:val="tx1"/>
            </w14:solidFill>
          </w14:textFill>
        </w:rPr>
      </w:pPr>
      <w:r>
        <w:rPr>
          <w:rFonts w:hint="eastAsia" w:ascii="仿宋" w:hAnsi="仿宋"/>
          <w:color w:val="000000" w:themeColor="text1"/>
          <w:szCs w:val="28"/>
          <w14:textFill>
            <w14:solidFill>
              <w14:schemeClr w14:val="tx1"/>
            </w14:solidFill>
          </w14:textFill>
        </w:rPr>
        <w:t>四是打造“黄羽鸡优势特色产业集群”，培育“石坝三黄胡须鸡”优质品牌。以博罗县石坝镇为中心区域建设为产业要素融合核心，打造黄羽鸡研发、屠宰加工、食品开发、品牌营销、展示交易等功能的核心，主要带动强化养殖、种苗、屠宰加工、仓储物流与粪污综合利用等短板环节，促进现代要素集中、大型企业集聚发展。</w:t>
      </w:r>
    </w:p>
    <w:p>
      <w:pPr>
        <w:ind w:firstLine="560"/>
      </w:pPr>
      <w:r>
        <w:rPr>
          <w:rFonts w:hint="eastAsia"/>
        </w:rPr>
        <w:t>五是拓宽产业链，促进一二三产业融合发展。引进饲料加工企业、专业屠宰企业、冷链物流配送企业、精深加工企业、信息技术服务企业等，拓宽养殖业产业链。同时发展研学、科普、休闲观光等功能，促进一二三产业融合发展。</w:t>
      </w:r>
    </w:p>
    <w:p>
      <w:pPr>
        <w:ind w:firstLine="560"/>
      </w:pPr>
      <w:r>
        <w:rPr>
          <w:rFonts w:hint="eastAsia"/>
        </w:rPr>
        <w:t>六是加强防疫工作，保障食品安全。抓好“高致病性禽流感”、“猪瘟”、“高致病性猪蓝耳病”、“口蹄疫”等四种重大动物疫病强制免疫，实现免疫率达100%，做好动物疫病防控应急物资管理，确保不发生重大动物疫病；指导全区畜禽养殖场、屠宰场开展消毒灭源，加强源头净化；加强重大动物疫病监测，定期采样送检；做好产地、屠宰检验检疫，从源头上保障畜禽产品质量安全。完善突发疫情防控机制，确保疫情突发事件得到科学处理，防止疫情蔓延。</w:t>
      </w:r>
    </w:p>
    <w:p>
      <w:pPr>
        <w:pStyle w:val="5"/>
        <w:ind w:firstLine="562"/>
      </w:pPr>
      <w:bookmarkStart w:id="42" w:name="_Toc107350580"/>
      <w:r>
        <w:rPr>
          <w:rFonts w:hint="eastAsia"/>
        </w:rPr>
        <w:t>（三）品质果蔬</w:t>
      </w:r>
      <w:bookmarkEnd w:id="42"/>
    </w:p>
    <w:p>
      <w:pPr>
        <w:adjustRightInd w:val="0"/>
        <w:snapToGrid w:val="0"/>
        <w:ind w:firstLine="560"/>
        <w:rPr>
          <w:rFonts w:ascii="仿宋" w:hAnsi="仿宋"/>
          <w:szCs w:val="28"/>
        </w:rPr>
      </w:pPr>
      <w:r>
        <w:rPr>
          <w:rFonts w:hint="eastAsia" w:ascii="仿宋" w:hAnsi="仿宋"/>
          <w:szCs w:val="28"/>
        </w:rPr>
        <w:t>1</w:t>
      </w:r>
      <w:r>
        <w:rPr>
          <w:rFonts w:ascii="仿宋" w:hAnsi="仿宋"/>
          <w:szCs w:val="28"/>
        </w:rPr>
        <w:t>.</w:t>
      </w:r>
      <w:r>
        <w:rPr>
          <w:rFonts w:hint="eastAsia" w:ascii="仿宋" w:hAnsi="仿宋"/>
          <w:szCs w:val="28"/>
        </w:rPr>
        <w:t>发展思路</w:t>
      </w:r>
    </w:p>
    <w:p>
      <w:pPr>
        <w:adjustRightInd w:val="0"/>
        <w:snapToGrid w:val="0"/>
        <w:ind w:firstLine="560"/>
        <w:rPr>
          <w:rFonts w:ascii="仿宋" w:hAnsi="仿宋"/>
          <w:szCs w:val="28"/>
        </w:rPr>
      </w:pPr>
      <w:r>
        <w:rPr>
          <w:rFonts w:hint="eastAsia" w:ascii="仿宋" w:hAnsi="仿宋"/>
          <w:szCs w:val="28"/>
        </w:rPr>
        <w:t>按照“提质增效、生态友好、科技创新、品牌培育”的发展思路，以惠州粤港澳大湾区绿色农产品生产供应基地为依托，提升蔬菜生产基础设施，夯实产业基础，推进高品质蔬菜标准化生产，提升农产品品质；加大科技创新投入，提升现代物质装备，推进农业设施机械化、智能化；提升蔬菜生产全产业链数字信息化程度，发展“互联网+蔬菜”新模式；严格质量把控，加强品牌品质打造。推动博罗县蔬菜产业进入设施化、工厂化、信息化、品牌化新阶段，将博罗县打造为粤港澳大湾区“菜篮子”基地。</w:t>
      </w:r>
    </w:p>
    <w:p>
      <w:pPr>
        <w:adjustRightInd w:val="0"/>
        <w:snapToGrid w:val="0"/>
        <w:ind w:firstLine="560"/>
        <w:rPr>
          <w:rFonts w:ascii="仿宋" w:hAnsi="仿宋"/>
          <w:szCs w:val="28"/>
        </w:rPr>
      </w:pPr>
      <w:r>
        <w:rPr>
          <w:rFonts w:hint="eastAsia" w:ascii="仿宋" w:hAnsi="仿宋"/>
          <w:szCs w:val="28"/>
        </w:rPr>
        <w:t>2</w:t>
      </w:r>
      <w:r>
        <w:rPr>
          <w:rFonts w:ascii="仿宋" w:hAnsi="仿宋"/>
          <w:szCs w:val="28"/>
        </w:rPr>
        <w:t>.</w:t>
      </w:r>
      <w:r>
        <w:rPr>
          <w:rFonts w:hint="eastAsia" w:ascii="仿宋" w:hAnsi="仿宋"/>
          <w:szCs w:val="28"/>
        </w:rPr>
        <w:t>重点布局</w:t>
      </w:r>
    </w:p>
    <w:p>
      <w:pPr>
        <w:adjustRightInd w:val="0"/>
        <w:snapToGrid w:val="0"/>
        <w:ind w:firstLine="560"/>
        <w:rPr>
          <w:rFonts w:ascii="仿宋" w:hAnsi="仿宋"/>
          <w:color w:val="000000" w:themeColor="text1"/>
          <w:szCs w:val="28"/>
          <w14:textFill>
            <w14:solidFill>
              <w14:schemeClr w14:val="tx1"/>
            </w14:solidFill>
          </w14:textFill>
        </w:rPr>
      </w:pPr>
      <w:r>
        <w:rPr>
          <w:rFonts w:hint="eastAsia" w:ascii="仿宋" w:hAnsi="仿宋"/>
          <w:color w:val="000000" w:themeColor="text1"/>
          <w:szCs w:val="28"/>
          <w14:textFill>
            <w14:solidFill>
              <w14:schemeClr w14:val="tx1"/>
            </w14:solidFill>
          </w14:textFill>
        </w:rPr>
        <w:t>在博罗县泰美镇建立惠州粤港澳大湾区绿色农产品生产供应基地，打造农产品深加工园、冷链仓储物流园两个园区，以及供应链服务中心、数据服务中心、创新创业中心、农产品认证检测中心和跨境与电商中心五个中心，打造绿色环保加工区、孵化配套服务区、大数据体验区和国际农产品交易服务平台体验区等功能区。形成面向产地农户生产服务与面向大湾区市场供给服务的“产销服务一体”产业要素高度聚集、绿色和谐发展的农产品生产供应基地。</w:t>
      </w:r>
    </w:p>
    <w:p>
      <w:pPr>
        <w:adjustRightInd w:val="0"/>
        <w:snapToGrid w:val="0"/>
        <w:ind w:firstLine="560"/>
        <w:rPr>
          <w:rFonts w:ascii="仿宋" w:hAnsi="仿宋"/>
          <w:color w:val="000000" w:themeColor="text1"/>
          <w:szCs w:val="28"/>
          <w14:textFill>
            <w14:solidFill>
              <w14:schemeClr w14:val="tx1"/>
            </w14:solidFill>
          </w14:textFill>
        </w:rPr>
      </w:pPr>
      <w:r>
        <w:rPr>
          <w:rFonts w:hint="eastAsia" w:ascii="仿宋" w:hAnsi="仿宋"/>
          <w:color w:val="000000" w:themeColor="text1"/>
          <w:szCs w:val="28"/>
          <w14:textFill>
            <w14:solidFill>
              <w14:schemeClr w14:val="tx1"/>
            </w14:solidFill>
          </w14:textFill>
        </w:rPr>
        <w:t>3</w:t>
      </w:r>
      <w:r>
        <w:rPr>
          <w:rFonts w:ascii="仿宋" w:hAnsi="仿宋"/>
          <w:color w:val="000000" w:themeColor="text1"/>
          <w:szCs w:val="28"/>
          <w14:textFill>
            <w14:solidFill>
              <w14:schemeClr w14:val="tx1"/>
            </w14:solidFill>
          </w14:textFill>
        </w:rPr>
        <w:t>.</w:t>
      </w:r>
      <w:r>
        <w:rPr>
          <w:rFonts w:hint="eastAsia" w:ascii="仿宋" w:hAnsi="仿宋"/>
          <w:color w:val="000000" w:themeColor="text1"/>
          <w:szCs w:val="28"/>
          <w14:textFill>
            <w14:solidFill>
              <w14:schemeClr w14:val="tx1"/>
            </w14:solidFill>
          </w14:textFill>
        </w:rPr>
        <w:t>建设重点</w:t>
      </w:r>
    </w:p>
    <w:p>
      <w:pPr>
        <w:adjustRightInd w:val="0"/>
        <w:snapToGrid w:val="0"/>
        <w:ind w:firstLine="560"/>
        <w:rPr>
          <w:rFonts w:ascii="仿宋" w:hAnsi="仿宋"/>
          <w:color w:val="000000" w:themeColor="text1"/>
          <w:szCs w:val="28"/>
          <w14:textFill>
            <w14:solidFill>
              <w14:schemeClr w14:val="tx1"/>
            </w14:solidFill>
          </w14:textFill>
        </w:rPr>
      </w:pPr>
      <w:r>
        <w:rPr>
          <w:rFonts w:hint="eastAsia" w:ascii="仿宋" w:hAnsi="仿宋"/>
          <w:color w:val="000000" w:themeColor="text1"/>
          <w:szCs w:val="28"/>
          <w14:textFill>
            <w14:solidFill>
              <w14:schemeClr w14:val="tx1"/>
            </w14:solidFill>
          </w14:textFill>
        </w:rPr>
        <w:t>一是实施良种示范推广，健全种质资源体系。以博罗县农业农村综合服务中心、博罗县农业科技示范场为依托，联合高等院校、科研单位和育种企业，建立标准化育种示范基地，建立种质资源圃、蔬菜工厂化育苗示范基地、蔬菜良种示范基地，形成育繁推一体化的育种体系，优化品种品质，展示推广名优特新蔬菜新品种，巩固传统叶菜类、瓜类，增加茄果类、豆类、根茎类，推动蔬菜种苗向良种化、多样化方向发展。</w:t>
      </w:r>
    </w:p>
    <w:p>
      <w:pPr>
        <w:adjustRightInd w:val="0"/>
        <w:snapToGrid w:val="0"/>
        <w:ind w:firstLine="560"/>
        <w:rPr>
          <w:rFonts w:ascii="仿宋" w:hAnsi="仿宋"/>
          <w:color w:val="000000" w:themeColor="text1"/>
          <w:szCs w:val="28"/>
          <w14:textFill>
            <w14:solidFill>
              <w14:schemeClr w14:val="tx1"/>
            </w14:solidFill>
          </w14:textFill>
        </w:rPr>
      </w:pPr>
      <w:r>
        <w:rPr>
          <w:rFonts w:hint="eastAsia" w:ascii="仿宋" w:hAnsi="仿宋"/>
          <w:color w:val="000000" w:themeColor="text1"/>
          <w:szCs w:val="28"/>
          <w14:textFill>
            <w14:solidFill>
              <w14:schemeClr w14:val="tx1"/>
            </w14:solidFill>
          </w14:textFill>
        </w:rPr>
        <w:t>二是提升博罗蔬菜业种植科技水平。按照大田种植和设施农业种植两种模式，分类制定发展计划，提升蔬菜种植科技水平。大田蔬菜种植以优化品种结构、完善节水灌溉系统、物联网设施等为主要发展方向；设施农业种植以发展立体栽培、提升智能化水平为主要发展方向。建立覆盖全县的大数据信息平台，提升蔬菜的生产、加工、销售、运输等过程中信息化水平；建立专家资源库，为农户线上线下同时开展技术咨询服务；加大农机补贴力度和先进农用机械补贴强度，推广植保无人机、先进种植机械、收割机械等，提高蔬菜种植机械化水平。</w:t>
      </w:r>
    </w:p>
    <w:p>
      <w:pPr>
        <w:adjustRightInd w:val="0"/>
        <w:snapToGrid w:val="0"/>
        <w:ind w:firstLine="560"/>
        <w:rPr>
          <w:rFonts w:ascii="仿宋" w:hAnsi="仿宋"/>
          <w:color w:val="000000" w:themeColor="text1"/>
          <w:szCs w:val="28"/>
          <w14:textFill>
            <w14:solidFill>
              <w14:schemeClr w14:val="tx1"/>
            </w14:solidFill>
          </w14:textFill>
        </w:rPr>
      </w:pPr>
      <w:r>
        <w:rPr>
          <w:rFonts w:hint="eastAsia" w:ascii="仿宋" w:hAnsi="仿宋"/>
          <w:color w:val="000000" w:themeColor="text1"/>
          <w:szCs w:val="28"/>
          <w14:textFill>
            <w14:solidFill>
              <w14:schemeClr w14:val="tx1"/>
            </w14:solidFill>
          </w14:textFill>
        </w:rPr>
        <w:t>三是加大惠州粤港澳大湾区绿色农产品生产供应基地建设。整合农产品批发集散、农产品精深加工、智能冷链仓储等优势业务，打造面向粤港澳大湾区，集农产品批发交易、仓储冷链配送、生鲜加工、信息发布功能于一体的新型现代化绿色农产品生产供应基地。建设农产品深加工园、冷链仓储物流园两个园区，以及供应链服务中心、数据服务中心、创新创业中心、农产品认证检测中心和跨境与电商中心五个中心。同时打造绿色环保加工区、孵化配套服务区、大数据体验区和国际农产品交易服务平台体验区等功能区。引入以5G为代表的先进物联网技术，建设新型农产品供应链服务平台以及农产品物流大数据服务平台和线上新媒体营销平台，建设全链条数字化服务体系，推动周边绿色农产品的加工增值与品牌建设，深化农村一二三产业的有机融合，促进农产品流通向高质量与价值链高端转移。</w:t>
      </w:r>
    </w:p>
    <w:p>
      <w:pPr>
        <w:adjustRightInd w:val="0"/>
        <w:snapToGrid w:val="0"/>
        <w:ind w:firstLine="560"/>
        <w:rPr>
          <w:rFonts w:ascii="仿宋" w:hAnsi="仿宋"/>
          <w:color w:val="000000" w:themeColor="text1"/>
          <w:szCs w:val="28"/>
          <w14:textFill>
            <w14:solidFill>
              <w14:schemeClr w14:val="tx1"/>
            </w14:solidFill>
          </w14:textFill>
        </w:rPr>
      </w:pPr>
      <w:r>
        <w:rPr>
          <w:rFonts w:hint="eastAsia" w:ascii="仿宋" w:hAnsi="仿宋"/>
          <w:color w:val="000000" w:themeColor="text1"/>
          <w:szCs w:val="28"/>
          <w14:textFill>
            <w14:solidFill>
              <w14:schemeClr w14:val="tx1"/>
            </w14:solidFill>
          </w14:textFill>
        </w:rPr>
        <w:t>四是积极探索创新农业发展模式。引入“农业+文创+科技”概念，将农田打造成“蔬果花卉博物馆”，吸引游客特别是青少年走上田埂，在进行农耕文化科普教育的同时展示优质农产品，形成一产健康蔬果、二产精深加工、三产旅游服务的新农耕产营销模式。积极探索“互联网+现代农业”发展方式，坚持“市场主导、政府引导、区域错位发展”原则，积极培育农村电子商务市场主体，加强农村电子商务在农产品生产、检测、流通、销售等关键环节的应用，形成农产品网络销售为主、线上线下融合的农村电子商务发展格局。</w:t>
      </w:r>
    </w:p>
    <w:p>
      <w:pPr>
        <w:pStyle w:val="5"/>
        <w:ind w:firstLine="562"/>
      </w:pPr>
      <w:bookmarkStart w:id="43" w:name="_Toc107350581"/>
      <w:r>
        <w:t>（</w:t>
      </w:r>
      <w:r>
        <w:rPr>
          <w:rFonts w:hint="eastAsia"/>
        </w:rPr>
        <w:t>四</w:t>
      </w:r>
      <w:r>
        <w:t>）特色</w:t>
      </w:r>
      <w:r>
        <w:rPr>
          <w:rFonts w:hint="eastAsia"/>
        </w:rPr>
        <w:t>茶叶</w:t>
      </w:r>
      <w:bookmarkEnd w:id="43"/>
    </w:p>
    <w:p>
      <w:pPr>
        <w:ind w:firstLine="560"/>
      </w:pPr>
      <w:r>
        <w:rPr>
          <w:rFonts w:hint="eastAsia"/>
        </w:rPr>
        <w:t>1</w:t>
      </w:r>
      <w:r>
        <w:t>.</w:t>
      </w:r>
      <w:r>
        <w:rPr>
          <w:rFonts w:hint="eastAsia"/>
        </w:rPr>
        <w:t>发展思路</w:t>
      </w:r>
    </w:p>
    <w:p>
      <w:pPr>
        <w:ind w:firstLine="560"/>
      </w:pPr>
      <w:r>
        <w:rPr>
          <w:rFonts w:ascii="Arial" w:hAnsi="Arial" w:cs="Arial"/>
          <w:color w:val="191919"/>
          <w:shd w:val="clear" w:color="auto" w:fill="FFFFFF"/>
        </w:rPr>
        <w:t>将按照“扩（改）茶园、提质量、创品牌、促融合”的建设思路，</w:t>
      </w:r>
      <w:r>
        <w:rPr>
          <w:rFonts w:hint="eastAsia" w:ascii="Arial" w:hAnsi="Arial" w:cs="Arial"/>
          <w:color w:val="191919"/>
          <w:shd w:val="clear" w:color="auto" w:fill="FFFFFF"/>
        </w:rPr>
        <w:t>建立农业产业化创新联合体，探索</w:t>
      </w:r>
      <w:r>
        <w:rPr>
          <w:rFonts w:ascii="Arial" w:hAnsi="Arial" w:cs="Arial"/>
          <w:color w:val="191919"/>
          <w:shd w:val="clear" w:color="auto" w:fill="FFFFFF"/>
        </w:rPr>
        <w:t>“公司（合作社）＋基地＋农户”</w:t>
      </w:r>
      <w:r>
        <w:rPr>
          <w:rFonts w:hint="eastAsia" w:ascii="Arial" w:hAnsi="Arial" w:cs="Arial"/>
          <w:color w:val="191919"/>
          <w:shd w:val="clear" w:color="auto" w:fill="FFFFFF"/>
        </w:rPr>
        <w:t>等多种合作方式</w:t>
      </w:r>
      <w:r>
        <w:rPr>
          <w:rFonts w:ascii="Arial" w:hAnsi="Arial" w:cs="Arial"/>
          <w:color w:val="191919"/>
          <w:shd w:val="clear" w:color="auto" w:fill="FFFFFF"/>
        </w:rPr>
        <w:t>，形成“市场牵龙头、龙头带基地、基地连茶农，产供销一条龙、农工贸一体化”的产业格局。同时，通过实施多样化的联农带农形式，如吸纳就业、入社参股、承包种植、订单作业、保价收购等，帮助周边农户增收。</w:t>
      </w:r>
    </w:p>
    <w:p>
      <w:pPr>
        <w:ind w:firstLine="560"/>
      </w:pPr>
      <w:r>
        <w:rPr>
          <w:rFonts w:hint="eastAsia"/>
        </w:rPr>
        <w:t>2</w:t>
      </w:r>
      <w:r>
        <w:t>.</w:t>
      </w:r>
      <w:r>
        <w:rPr>
          <w:rFonts w:hint="eastAsia"/>
        </w:rPr>
        <w:t>重点布局</w:t>
      </w:r>
    </w:p>
    <w:p>
      <w:pPr>
        <w:ind w:firstLine="560"/>
      </w:pPr>
      <w:r>
        <w:rPr>
          <w:rFonts w:hint="eastAsia"/>
        </w:rPr>
        <w:t>以柏塘镇、泰美镇为核心，推动茶叶产业园建设，在柏塘镇打造1</w:t>
      </w:r>
      <w:r>
        <w:t>0</w:t>
      </w:r>
      <w:r>
        <w:rPr>
          <w:rFonts w:hint="eastAsia"/>
        </w:rPr>
        <w:t>万亩有机茶叶种植基地，制定标准化种植标准，加大基础设施投入，打造生态有机茶叶种植基地。</w:t>
      </w:r>
    </w:p>
    <w:p>
      <w:pPr>
        <w:ind w:firstLine="560"/>
      </w:pPr>
      <w:r>
        <w:rPr>
          <w:rFonts w:hint="eastAsia"/>
        </w:rPr>
        <w:t>3</w:t>
      </w:r>
      <w:r>
        <w:t>.</w:t>
      </w:r>
      <w:r>
        <w:rPr>
          <w:rFonts w:hint="eastAsia"/>
        </w:rPr>
        <w:t>建设重点</w:t>
      </w:r>
    </w:p>
    <w:p>
      <w:pPr>
        <w:ind w:firstLine="560"/>
      </w:pPr>
      <w:r>
        <w:rPr>
          <w:rFonts w:hint="eastAsia"/>
        </w:rPr>
        <w:t>一是提升茶树良种化普及和新品选育。从源头布局产品差异化发展，以能同时兼顾地域特性与产品创新弹性、契合原产地茶叶生产工艺、适宜产地气候条件的特色良种作为茶园扩张与良种化改造的首选。同时，加强新品种推广工作，健全配套良种繁育体系，加快良种茶苗繁育速度，确保茶园管理建设，满足茶叶发展的需要。</w:t>
      </w:r>
    </w:p>
    <w:p>
      <w:pPr>
        <w:ind w:firstLine="560"/>
      </w:pPr>
      <w:r>
        <w:rPr>
          <w:rFonts w:hint="eastAsia"/>
        </w:rPr>
        <w:t>二是推进生态有机茶园建设。以企业为载体，鼓励引导企业与农户在现有基地茶园上合作建设，最大限度的降低生态有机茶园建设成本，加强对茶园的整体规划建设，通过增加套种植被，配套灭虫灯、生物激素等病虫害防治设备，推进生态有机茶园建设，打造绿色生态茶产业。</w:t>
      </w:r>
    </w:p>
    <w:p>
      <w:pPr>
        <w:ind w:firstLine="560"/>
      </w:pPr>
      <w:r>
        <w:rPr>
          <w:rFonts w:hint="eastAsia"/>
        </w:rPr>
        <w:t>三是提高茶园机械化生产水平。以企业、专业合作社为载体，加快以茶园机械采摘和机械修剪为主的科技推广应用工作，提升茶园机械化生产水平，大幅降低茶园管理、采摘成本，有效解决“采茶难”、“管理难”问题，显著提高茶园效益。</w:t>
      </w:r>
    </w:p>
    <w:p>
      <w:pPr>
        <w:ind w:firstLine="560"/>
      </w:pPr>
      <w:r>
        <w:rPr>
          <w:rFonts w:hint="eastAsia"/>
        </w:rPr>
        <w:t>四是完善茶叶标准体系。政府应加强标准化工作理念，紧跟国家标准化工作前进步伐，发挥其引导作用，促使企业作为实施主体推动茶叶标准体系的建立和完善，加强知识、技术、信息在产业链上的传递和扩散。</w:t>
      </w:r>
    </w:p>
    <w:p>
      <w:pPr>
        <w:ind w:firstLine="560"/>
      </w:pPr>
      <w:r>
        <w:rPr>
          <w:rFonts w:hint="eastAsia"/>
        </w:rPr>
        <w:t>五是加强品牌建设，提升产业效益。重点支持企业自主品牌建设。牢固树立质量兴茶、品牌兴业的理念，鼓励支持企业注重品牌策划，重视品牌打造，重视品牌宣传，提升企业形象，提高企业知名度，增强企业竞争力。着力打造区域公共品牌。规范区域品牌的制定、准入、使用、管理，建立健全品牌保护机制和体系，以之为纽带整合相关产业资源，促进产业集群，形成合力，深化品牌形象建设，强化品牌宣传力度，推进区域公共品牌和企业品牌协同发展，提升产业整体效益。不断强化品牌营销理念。通过多种平台和方式进行品牌宣传推介，强力打造国茶品牌形象，扩大品牌影响力，有效整合区域茶业资源，发展形成更为强大的茶叶经济综合体，获得更高的宣传平台和更为广阔的发展空间，促成产业集聚，提升茶叶产品市场竞争力。</w:t>
      </w:r>
    </w:p>
    <w:p>
      <w:pPr>
        <w:pStyle w:val="5"/>
        <w:ind w:firstLine="562"/>
      </w:pPr>
      <w:bookmarkStart w:id="44" w:name="_Toc107350582"/>
      <w:r>
        <w:t>（</w:t>
      </w:r>
      <w:r>
        <w:rPr>
          <w:rFonts w:hint="eastAsia"/>
        </w:rPr>
        <w:t>五</w:t>
      </w:r>
      <w:r>
        <w:t>）高值花卉</w:t>
      </w:r>
      <w:bookmarkEnd w:id="44"/>
    </w:p>
    <w:p>
      <w:pPr>
        <w:ind w:firstLine="560"/>
      </w:pPr>
      <w:r>
        <w:rPr>
          <w:rFonts w:hint="eastAsia"/>
        </w:rPr>
        <w:t>1</w:t>
      </w:r>
      <w:r>
        <w:t>.</w:t>
      </w:r>
      <w:r>
        <w:rPr>
          <w:rFonts w:hint="eastAsia"/>
        </w:rPr>
        <w:t>发展思路</w:t>
      </w:r>
    </w:p>
    <w:p>
      <w:pPr>
        <w:ind w:firstLine="560"/>
        <w:rPr>
          <w:lang w:val="en-GB"/>
        </w:rPr>
      </w:pPr>
      <w:r>
        <w:rPr>
          <w:rFonts w:hint="eastAsia"/>
          <w:lang w:val="en-GB"/>
        </w:rPr>
        <w:t>着眼省内外花卉市场和资源，以市场为导向，以农民为主体，以产业化经营企业为龙头，扩大蝴蝶兰种植规模；发展高值花卉、小型盆栽、盆景和绿化苗木等种植，扩大种植品种；继续加强花卉产业基础设施建设，推广半机械化半自动化种植模式，提升花卉种植科学技术贡献率；推动花卉产业电商化发展，探索“互联网+花卉”模式；统筹各种资源，切实地解决土地硬底化与人才稀缺等关键问题，切实保障企业生产、技术、运营等环节的高效运行，协助各企业完成转型，将羊和村花卉基地建设成全国最大的蝴蝶兰种植基地，带动博罗县花卉产业现代化发展。</w:t>
      </w:r>
    </w:p>
    <w:p>
      <w:pPr>
        <w:ind w:firstLine="560"/>
      </w:pPr>
      <w:r>
        <w:rPr>
          <w:rFonts w:hint="eastAsia"/>
        </w:rPr>
        <w:t>2</w:t>
      </w:r>
      <w:r>
        <w:t>.</w:t>
      </w:r>
      <w:r>
        <w:rPr>
          <w:rFonts w:hint="eastAsia"/>
        </w:rPr>
        <w:t>重点布局</w:t>
      </w:r>
    </w:p>
    <w:p>
      <w:pPr>
        <w:ind w:firstLine="560"/>
      </w:pPr>
      <w:r>
        <w:rPr>
          <w:rFonts w:hint="eastAsia"/>
        </w:rPr>
        <w:t>以羊和村蝴蝶兰种植基地为核心，建立覆盖杨村镇的花卉种植基地，加快土地流转和基础设施建设，提升规模化、标准化水平；引进先进生产技术和先进生产机械，提升机械化水平；向上下游延长产业链，增加花卉产品附加值，提高市场竞争力；结合美丽乡村建设和全域旅游推广，加强花卉景观打造、花卉文化挖掘，促进三产融合发展。将杨村镇打造成高产高效、技术先进、生态友好、三产融合程度高的花卉标准化种植基地。</w:t>
      </w:r>
    </w:p>
    <w:p>
      <w:pPr>
        <w:ind w:firstLine="560"/>
      </w:pPr>
      <w:r>
        <w:rPr>
          <w:rFonts w:hint="eastAsia"/>
        </w:rPr>
        <w:t>3</w:t>
      </w:r>
      <w:r>
        <w:t>.</w:t>
      </w:r>
      <w:r>
        <w:rPr>
          <w:rFonts w:hint="eastAsia"/>
        </w:rPr>
        <w:t>建设重点</w:t>
      </w:r>
    </w:p>
    <w:p>
      <w:pPr>
        <w:ind w:firstLine="560"/>
      </w:pPr>
      <w:r>
        <w:rPr>
          <w:rFonts w:hint="eastAsia"/>
        </w:rPr>
        <w:t>一是加大花卉新品种培育与研发。重视新品种、新技术的研发和推广，鼓励科研院校、花卉种植企业建立深度合作关系，加大科研投入和成果转化，推动产学研联合发展。培育自主高端花卉品种，鼓励建立花卉种质资源库，特别要注重广东乃至全国丰富的野生花卉种质资源、名特优品种的研发，对观赏价值高、有市场潜力的珍稀优质野生花卉资源开展引种驯化、种质保存、品种改良和杂交育种工作，同时注意知识产权的保护。</w:t>
      </w:r>
    </w:p>
    <w:p>
      <w:pPr>
        <w:ind w:firstLine="560"/>
      </w:pPr>
      <w:r>
        <w:rPr>
          <w:rFonts w:hint="eastAsia"/>
        </w:rPr>
        <w:t>二是提升花卉产业科技水平。鼓励科研院校、花卉种植龙头企业多方位开展合作，加大花期调控技术、组织培养快速育苗、专用基质、专用肥料、专用药剂及水质无害化处理技术、病虫害综合防治技术等新技术的应用与推广。建立专业化、规模化和标准化的花卉生产基地，逐步推广应用温室、遮荫棚、电动遮阳系统、自动化通风降温系统、微喷雾系统、喷淋系统、滴灌设施、滚动栽培床、加温机、防虫网等现代生产设备，使得花卉生产逐步向保护地栽培转变，即主要向光温可控温室（棚）转变。</w:t>
      </w:r>
    </w:p>
    <w:p>
      <w:pPr>
        <w:ind w:firstLine="560"/>
      </w:pPr>
      <w:r>
        <w:rPr>
          <w:rFonts w:hint="eastAsia"/>
        </w:rPr>
        <w:t>三是制定花卉产品质量标准和生产技术规程。为提高花卉产品的质量，增强市场竞争力，根据实际生产情况，联合科研单位、花卉种植企业、花卉产业协会等，制定花卉产品质量标准和生产技术规程，为博罗县花卉种植提供支持和指明方向。</w:t>
      </w:r>
    </w:p>
    <w:p>
      <w:pPr>
        <w:ind w:firstLine="560"/>
        <w:rPr>
          <w:rFonts w:ascii="Arial" w:hAnsi="Arial" w:cs="Arial"/>
          <w:shd w:val="clear" w:color="auto" w:fill="FFFFFF"/>
        </w:rPr>
      </w:pPr>
      <w:r>
        <w:rPr>
          <w:rFonts w:hint="eastAsia"/>
        </w:rPr>
        <w:t>四是</w:t>
      </w:r>
      <w:r>
        <w:rPr>
          <w:rFonts w:hint="eastAsia" w:ascii="Arial" w:hAnsi="Arial" w:cs="Arial"/>
          <w:shd w:val="clear" w:color="auto" w:fill="FFFFFF"/>
        </w:rPr>
        <w:t>优化产业发展格局，引导和培育社会服务组织。积极引导和培育社会化服务组织，发展花卉专业合作经济组织，提升博罗县花卉产业的组织化、专业化、规模化和产业化发展水平，提高花农和企业现代化发展意识和技能水平，提升花卉产业发展水平，优化产业发展格局，不断提高博罗县花卉产业的国内和国际市场竞争力。</w:t>
      </w:r>
    </w:p>
    <w:p>
      <w:pPr>
        <w:pStyle w:val="5"/>
        <w:ind w:firstLine="562"/>
      </w:pPr>
      <w:bookmarkStart w:id="45" w:name="_Toc107350583"/>
      <w:r>
        <w:rPr>
          <w:rFonts w:hint="eastAsia"/>
        </w:rPr>
        <w:t>（六）优质南药</w:t>
      </w:r>
      <w:bookmarkEnd w:id="45"/>
    </w:p>
    <w:p>
      <w:pPr>
        <w:ind w:firstLine="560"/>
      </w:pPr>
      <w:r>
        <w:rPr>
          <w:rFonts w:hint="eastAsia"/>
        </w:rPr>
        <w:t>1</w:t>
      </w:r>
      <w:r>
        <w:t>.</w:t>
      </w:r>
      <w:r>
        <w:rPr>
          <w:rFonts w:hint="eastAsia"/>
        </w:rPr>
        <w:t>发展思路</w:t>
      </w:r>
    </w:p>
    <w:p>
      <w:pPr>
        <w:ind w:firstLine="560"/>
      </w:pPr>
      <w:r>
        <w:rPr>
          <w:rFonts w:hint="eastAsia"/>
        </w:rPr>
        <w:t>充分发挥罗浮山药用资源禀赋，以南药产业园为抓手，以引进建设中医药龙头加工企业为突破口，促进中药材产品就地加工增值，带动传统中药材种植业生产方式和农民经营观念的转变，增强产业化的原动力。以科技创新为驱动、生态保护为原则，发掘优质药用植物，建立种质资源库；建立种植标准，打造南药标准化种植基地；加大科技投入，大力发展药材精深加工，延长产业链；发展产业集群，打造品牌优势，提升市场竞争力。将博罗县打造成高产高效高质的南药生产加工基地。</w:t>
      </w:r>
    </w:p>
    <w:p>
      <w:pPr>
        <w:ind w:firstLine="560"/>
      </w:pPr>
      <w:r>
        <w:rPr>
          <w:rFonts w:hint="eastAsia"/>
        </w:rPr>
        <w:t>2</w:t>
      </w:r>
      <w:r>
        <w:t>.</w:t>
      </w:r>
      <w:r>
        <w:rPr>
          <w:rFonts w:hint="eastAsia"/>
        </w:rPr>
        <w:t>重点布局</w:t>
      </w:r>
    </w:p>
    <w:p>
      <w:pPr>
        <w:ind w:firstLine="560"/>
      </w:pPr>
      <w:r>
        <w:rPr>
          <w:rFonts w:hint="eastAsia"/>
        </w:rPr>
        <w:t>依托博罗县药用植物资源丰富、种植面积大、品种多的资源优势，优化南药产业总体布局，形成布局合理、功能各异、优势互补的“点、线、面”发展新格局，以罗浮山（管委会）、罗阳街道、长宁镇、观音阁镇、柏塘镇等4个镇域1个管委会为核心，按照“一核、两翼、一带、多基地”发展蓝图，打造博罗县南药产业园，带动产业园内及周边南药规模化、标准化种植，围绕突出南药产业强县标准、突出产业特色、突出三产融合。</w:t>
      </w:r>
    </w:p>
    <w:p>
      <w:pPr>
        <w:ind w:firstLine="560"/>
      </w:pPr>
      <w:r>
        <w:rPr>
          <w:rFonts w:hint="eastAsia"/>
        </w:rPr>
        <w:t>3</w:t>
      </w:r>
      <w:r>
        <w:t>.</w:t>
      </w:r>
      <w:r>
        <w:rPr>
          <w:rFonts w:hint="eastAsia"/>
        </w:rPr>
        <w:t>建设重点</w:t>
      </w:r>
    </w:p>
    <w:p>
      <w:pPr>
        <w:ind w:firstLine="560"/>
      </w:pPr>
      <w:r>
        <w:rPr>
          <w:rFonts w:hint="eastAsia"/>
        </w:rPr>
        <w:t>一是加大优质南药品种选育和推广力度。依托罗浮山丰富的药用植物资源，鼓励企业、科研院所建立育种实验室，加大对药用植物资源的研究和开发，选育优质的南药品种，建立种质资源圃、南药种子种苗繁育示范基地，带动博罗县南药产业向高品质进一步转变。</w:t>
      </w:r>
    </w:p>
    <w:p>
      <w:pPr>
        <w:ind w:firstLine="560"/>
      </w:pPr>
      <w:r>
        <w:rPr>
          <w:rFonts w:hint="eastAsia"/>
        </w:rPr>
        <w:t>二是推行药材种植标准化建设。依托博罗县药用植物资源丰富、种植面积大、品种多的资源优势和气候条件、土壤资源，建立连片南药种植示范基地，完善装配间、接种间、培养室、温室大棚等种植设施，探索垂直分层种植模式，打造农业产业创新联合体，建立“企业+合作社+种植基地+农户”、“企业+种植基地+农户”等多种合作模式，打造多个科技水平高、管理模式先进、高质高效的南药标准化示范种植基地。</w:t>
      </w:r>
    </w:p>
    <w:p>
      <w:pPr>
        <w:ind w:firstLine="560"/>
      </w:pPr>
      <w:r>
        <w:rPr>
          <w:rFonts w:hint="eastAsia"/>
        </w:rPr>
        <w:t>三是实施品牌培育工程，规范南药品质质量。实施品牌培育工程，建立健全南药种植、加工、入市标准体系，加大执法检查力度，规范全县南药品质质量。另外依托“国家农产品质量安全市”和中药检测平台，建立南药质量检测检验体系，实现从林间田头到药品进入市场流通的全过程质量监控，形成规范的质量安全治理格局。</w:t>
      </w:r>
    </w:p>
    <w:p>
      <w:pPr>
        <w:ind w:firstLine="560"/>
      </w:pPr>
      <w:r>
        <w:rPr>
          <w:rFonts w:hint="eastAsia"/>
        </w:rPr>
        <w:t>四是全面推动南药产业升级，打造生物医药产业集聚区。引进社会资产投资南药种植、南药原材料加工、深度萃取生产、医疗器械制造等产业，加大南药相关产品研究、延长产业链条，提升产业附加值，到2</w:t>
      </w:r>
      <w:r>
        <w:t>025</w:t>
      </w:r>
      <w:r>
        <w:rPr>
          <w:rFonts w:hint="eastAsia"/>
        </w:rPr>
        <w:t>年，以博罗县南药产业园为抓手，以罗浮山药用植物资源为依托，初步形成以南药产业园、中药提取产业基地为核心的生物医药产业链。</w:t>
      </w:r>
    </w:p>
    <w:p>
      <w:pPr>
        <w:ind w:firstLine="560"/>
        <w:rPr>
          <w:rFonts w:ascii="Segoe UI" w:hAnsi="Segoe UI" w:cs="Segoe UI"/>
          <w:color w:val="222222"/>
          <w:szCs w:val="28"/>
        </w:rPr>
      </w:pPr>
      <w:r>
        <w:rPr>
          <w:rFonts w:hint="eastAsia"/>
        </w:rPr>
        <w:t>五是打通产业链，实现产供销无缝对接。打造5G生产交易云平台，完善南药种植、生产、加工、销售等产业链。首先是建立南药供销对接交易平台。建立南药信息交易平台，联网全国各中药材交易中心，直接连接种植基地、加工厂、交易中心，实现产供销无缝对接，解决南药种植基地销售及中药企业收购问题，降低供需交易双方成本，提高产业经济效益；其次是建立仓储交易平台。围绕“产出来”“深加工”“运出去”“卖出去”“活起来”全链串联供应技术，建立农产品交易博览中心，对大宗道地南药品种进行定制与交易，并与省药品交易中心、广州国际医药港建成合作试点进行中药饮片线上交易；</w:t>
      </w:r>
      <w:r>
        <w:rPr>
          <w:rFonts w:ascii="Segoe UI" w:hAnsi="Segoe UI" w:cs="Segoe UI"/>
          <w:color w:val="222222"/>
          <w:szCs w:val="28"/>
        </w:rPr>
        <w:t>第三是融入大湾区建设。</w:t>
      </w:r>
      <w:r>
        <w:rPr>
          <w:rFonts w:ascii="Segoe UI" w:hAnsi="Segoe UI" w:cs="Segoe UI"/>
          <w:szCs w:val="28"/>
        </w:rPr>
        <w:t>与粤澳中医药科技产业园开发有限</w:t>
      </w:r>
      <w:r>
        <w:rPr>
          <w:rFonts w:hint="eastAsia" w:ascii="Segoe UI" w:hAnsi="Segoe UI" w:cs="Segoe UI"/>
          <w:szCs w:val="28"/>
        </w:rPr>
        <w:t>公司</w:t>
      </w:r>
      <w:r>
        <w:rPr>
          <w:rFonts w:ascii="Segoe UI" w:hAnsi="Segoe UI" w:cs="Segoe UI"/>
          <w:szCs w:val="28"/>
        </w:rPr>
        <w:t>建</w:t>
      </w:r>
      <w:r>
        <w:rPr>
          <w:rFonts w:ascii="Segoe UI" w:hAnsi="Segoe UI" w:cs="Segoe UI"/>
          <w:color w:val="222222"/>
          <w:szCs w:val="28"/>
        </w:rPr>
        <w:t>立战略合作关系，利用其在研发、检测、认定、标准等国际化优势，把大宗中药材产品融入参与产业园国际认证体系，推动南药产品逐步走向国际化市场。</w:t>
      </w:r>
    </w:p>
    <w:p>
      <w:pPr>
        <w:pStyle w:val="5"/>
        <w:ind w:firstLine="562"/>
      </w:pPr>
      <w:bookmarkStart w:id="46" w:name="_Toc107350584"/>
      <w:r>
        <w:rPr>
          <w:rFonts w:hint="eastAsia"/>
        </w:rPr>
        <w:t>（七）特色水产</w:t>
      </w:r>
      <w:bookmarkEnd w:id="46"/>
    </w:p>
    <w:p>
      <w:pPr>
        <w:ind w:firstLine="560"/>
      </w:pPr>
      <w:r>
        <w:rPr>
          <w:rFonts w:hint="eastAsia"/>
        </w:rPr>
        <w:t>1</w:t>
      </w:r>
      <w:r>
        <w:t>.</w:t>
      </w:r>
      <w:r>
        <w:rPr>
          <w:rFonts w:hint="eastAsia"/>
        </w:rPr>
        <w:t>发展思路</w:t>
      </w:r>
    </w:p>
    <w:p>
      <w:pPr>
        <w:ind w:firstLine="560"/>
        <w:rPr>
          <w:rFonts w:ascii="Segoe UI" w:hAnsi="Segoe UI" w:cs="Segoe UI"/>
          <w:color w:val="222222"/>
          <w:szCs w:val="28"/>
        </w:rPr>
      </w:pPr>
      <w:r>
        <w:rPr>
          <w:rFonts w:hint="eastAsia" w:ascii="Segoe UI" w:hAnsi="Segoe UI" w:cs="Segoe UI"/>
          <w:color w:val="222222"/>
          <w:szCs w:val="28"/>
        </w:rPr>
        <w:t>按照“优化结构、生态养殖、特色发展、品牌打造”的发展思路，加大新品种培育推广，改变传统养殖结构和养殖模式，扩大养殖规模，对现在鱼塘有规划的进行标准化改造，建立循环水养殖模式，探索鱼稻共生等多种生态养殖模式；大力发展高值水产，全面推广中华鳖、鳜鱼、黄颡鱼、乌鱧、加州鲈鱼、中华草龟、三线闭壳龟、黄喉拟水龟等名特优品种养殖，建立养殖标准体系，保障名特优产品品质；完善提升加工、推广、销售、运输渠道，加大品牌建设和宣传，积极申报地理标志农产品品牌，打响博罗县名优特水产品牌。</w:t>
      </w:r>
    </w:p>
    <w:p>
      <w:pPr>
        <w:ind w:firstLine="560"/>
        <w:rPr>
          <w:rFonts w:ascii="Segoe UI" w:hAnsi="Segoe UI" w:cs="Segoe UI"/>
          <w:color w:val="222222"/>
          <w:szCs w:val="28"/>
        </w:rPr>
      </w:pPr>
      <w:r>
        <w:rPr>
          <w:rFonts w:ascii="Segoe UI" w:hAnsi="Segoe UI" w:cs="Segoe UI"/>
          <w:color w:val="222222"/>
          <w:szCs w:val="28"/>
        </w:rPr>
        <w:t>2.</w:t>
      </w:r>
      <w:r>
        <w:rPr>
          <w:rFonts w:hint="eastAsia" w:ascii="Segoe UI" w:hAnsi="Segoe UI" w:cs="Segoe UI"/>
          <w:color w:val="222222"/>
          <w:szCs w:val="28"/>
        </w:rPr>
        <w:t>重点布局</w:t>
      </w:r>
    </w:p>
    <w:p>
      <w:pPr>
        <w:ind w:firstLine="560"/>
      </w:pPr>
      <w:r>
        <w:rPr>
          <w:rFonts w:hint="eastAsia"/>
        </w:rPr>
        <w:t>依据博罗县东江、沙河、公庄河水域及各个乡镇池塘、山塘水库现已开发利用水产养殖水域总面积近</w:t>
      </w:r>
      <w:r>
        <w:t>17.9</w:t>
      </w:r>
      <w:r>
        <w:rPr>
          <w:rFonts w:hint="eastAsia"/>
        </w:rPr>
        <w:t>万亩，池塘面积约</w:t>
      </w:r>
      <w:r>
        <w:t>10.2</w:t>
      </w:r>
      <w:r>
        <w:rPr>
          <w:rFonts w:hint="eastAsia"/>
        </w:rPr>
        <w:t>万亩，进行标准化鱼塘改造，浅水塘改深水塘、小塘改大塘、漏水塘改保水塘、死水塘改活水塘，配套先进养殖设备，完善供水排水系统、水循环利用系统。</w:t>
      </w:r>
    </w:p>
    <w:p>
      <w:pPr>
        <w:ind w:firstLine="560"/>
        <w:rPr>
          <w:rFonts w:ascii="Segoe UI" w:hAnsi="Segoe UI" w:cs="Segoe UI"/>
          <w:color w:val="222222"/>
          <w:szCs w:val="28"/>
        </w:rPr>
      </w:pPr>
      <w:r>
        <w:rPr>
          <w:rFonts w:ascii="Segoe UI" w:hAnsi="Segoe UI" w:cs="Segoe UI"/>
          <w:color w:val="222222"/>
          <w:szCs w:val="28"/>
        </w:rPr>
        <w:t>3.</w:t>
      </w:r>
      <w:r>
        <w:rPr>
          <w:rFonts w:hint="eastAsia" w:ascii="Segoe UI" w:hAnsi="Segoe UI" w:cs="Segoe UI"/>
          <w:color w:val="222222"/>
          <w:szCs w:val="28"/>
        </w:rPr>
        <w:t>建设重点</w:t>
      </w:r>
    </w:p>
    <w:p>
      <w:pPr>
        <w:ind w:firstLine="560"/>
      </w:pPr>
      <w:r>
        <w:rPr>
          <w:rFonts w:hint="eastAsia" w:ascii="Segoe UI" w:hAnsi="Segoe UI" w:cs="Segoe UI"/>
          <w:color w:val="222222"/>
          <w:szCs w:val="28"/>
        </w:rPr>
        <w:t>一是推动养殖基础设施标准化改造。建立鱼塘等养殖基础设施提升改造规划，全县范围内有序推动养殖基础设施改造提升，</w:t>
      </w:r>
      <w:r>
        <w:rPr>
          <w:rFonts w:hint="eastAsia"/>
        </w:rPr>
        <w:t>浅水塘改深水塘、小塘改大塘、漏水塘改保水塘、死水塘改活水塘，配套先进养殖设备，完善供水排水系统、水循环利用系统。</w:t>
      </w:r>
    </w:p>
    <w:p>
      <w:pPr>
        <w:ind w:firstLine="560"/>
        <w:rPr>
          <w:rFonts w:ascii="Segoe UI" w:hAnsi="Segoe UI" w:cs="Segoe UI"/>
          <w:color w:val="222222"/>
          <w:szCs w:val="28"/>
        </w:rPr>
      </w:pPr>
      <w:r>
        <w:rPr>
          <w:rFonts w:hint="eastAsia" w:ascii="Segoe UI" w:hAnsi="Segoe UI" w:cs="Segoe UI"/>
          <w:color w:val="222222"/>
          <w:szCs w:val="28"/>
        </w:rPr>
        <w:t>二是大力发展绿色渔业。转变渔业发展方式，扶持发展工厂化养殖、池塘循环水养殖、陆基循环水养殖等模式；适度推广稻鱼等立体种养模式；</w:t>
      </w:r>
      <w:r>
        <w:rPr>
          <w:rFonts w:hint="eastAsia" w:ascii="Segoe UI" w:hAnsi="Segoe UI" w:cs="Segoe UI"/>
          <w:color w:val="000000" w:themeColor="text1"/>
          <w:szCs w:val="28"/>
          <w14:textFill>
            <w14:solidFill>
              <w14:schemeClr w14:val="tx1"/>
            </w14:solidFill>
          </w14:textFill>
        </w:rPr>
        <w:t>有序推进池塘养殖尾水治理，实现渔业绿色高质量发展；</w:t>
      </w:r>
      <w:r>
        <w:rPr>
          <w:rFonts w:hint="eastAsia" w:ascii="Segoe UI" w:hAnsi="Segoe UI" w:cs="Segoe UI"/>
          <w:color w:val="222222"/>
          <w:szCs w:val="28"/>
        </w:rPr>
        <w:t>进一步强化渔业资源养护和保护，加大江河水库渔业资源增殖放流力度。</w:t>
      </w:r>
    </w:p>
    <w:p>
      <w:pPr>
        <w:ind w:firstLine="560"/>
      </w:pPr>
      <w:r>
        <w:rPr>
          <w:rFonts w:hint="eastAsia"/>
        </w:rPr>
        <w:t>三是发展短板渔业。抓好养殖生产的同时，注重补强水产品加工、仓储及运输产业链，力争扶持创建区域性水产品加工及冷链运输仓储基地1个。</w:t>
      </w:r>
    </w:p>
    <w:p>
      <w:pPr>
        <w:ind w:firstLine="560"/>
      </w:pPr>
      <w:r>
        <w:rPr>
          <w:rFonts w:hint="eastAsia"/>
        </w:rPr>
        <w:t>四是发展休闲渔业。结合新农村建设和乡村旅游发展，扶持创建集养殖、观赏、垂钓、科普、文化、游乐、餐饮为一体的休闲渔业综合体1-2个。</w:t>
      </w:r>
    </w:p>
    <w:p>
      <w:pPr>
        <w:ind w:firstLine="560"/>
      </w:pPr>
      <w:r>
        <w:rPr>
          <w:rFonts w:hint="eastAsia"/>
        </w:rPr>
        <w:t>五是发展品牌渔业。结合“一村一品，一镇一业”进行渔业品牌打造，在博东地区打造以草鱼为主的常规鱼品牌，在博西地区打造以鳜鱼、加州鲈鱼为主的优质鱼品牌。</w:t>
      </w:r>
    </w:p>
    <w:p>
      <w:pPr>
        <w:pStyle w:val="4"/>
        <w:ind w:firstLine="602" w:firstLineChars="200"/>
      </w:pPr>
      <w:bookmarkStart w:id="47" w:name="_Toc107350585"/>
      <w:r>
        <w:rPr>
          <w:rFonts w:hint="eastAsia"/>
        </w:rPr>
        <w:t>二</w:t>
      </w:r>
      <w:r>
        <w:t>、战略性关联产业突破发展</w:t>
      </w:r>
      <w:bookmarkEnd w:id="47"/>
    </w:p>
    <w:p>
      <w:pPr>
        <w:pStyle w:val="5"/>
        <w:ind w:firstLine="562"/>
      </w:pPr>
      <w:bookmarkStart w:id="48" w:name="_Toc107350586"/>
      <w:r>
        <w:t>（一）现代农产品</w:t>
      </w:r>
      <w:r>
        <w:rPr>
          <w:rFonts w:hint="eastAsia"/>
        </w:rPr>
        <w:t>精深</w:t>
      </w:r>
      <w:r>
        <w:t>加工业</w:t>
      </w:r>
      <w:bookmarkEnd w:id="48"/>
    </w:p>
    <w:p>
      <w:pPr>
        <w:ind w:firstLine="560"/>
      </w:pPr>
      <w:r>
        <w:rPr>
          <w:rFonts w:hint="eastAsia"/>
        </w:rPr>
        <w:t>1</w:t>
      </w:r>
      <w:r>
        <w:t>.</w:t>
      </w:r>
      <w:r>
        <w:rPr>
          <w:rFonts w:hint="eastAsia"/>
        </w:rPr>
        <w:t>发展思路</w:t>
      </w:r>
    </w:p>
    <w:p>
      <w:pPr>
        <w:ind w:firstLine="560"/>
      </w:pPr>
      <w:r>
        <w:rPr>
          <w:rFonts w:hint="eastAsia"/>
        </w:rPr>
        <w:t>积极推动畜牧、粮食、茶叶、果蔬等发展农产品加工业，重点培育和扶持成长性好、潜力大、市场前景好、竞争力强、带动面大的龙头企业，并建设一批农产品精深加工基地，逐步形成以蔬果、水产、畜牧等农产品和绿色食品为主导，具有博罗县优势特色的农产品加工格局。同时，推进多种新型经营主体发展，支持农民合作社、种养大户、家庭农场发展加工流通，鼓励企业打造全产业链，让农民分享加工流通增值收益，实现农民增收，助力乡村振兴。</w:t>
      </w:r>
    </w:p>
    <w:p>
      <w:pPr>
        <w:ind w:firstLine="560"/>
      </w:pPr>
      <w:r>
        <w:rPr>
          <w:rFonts w:hint="eastAsia"/>
        </w:rPr>
        <w:t>2</w:t>
      </w:r>
      <w:r>
        <w:t>.</w:t>
      </w:r>
      <w:r>
        <w:rPr>
          <w:rFonts w:hint="eastAsia"/>
        </w:rPr>
        <w:t>重点布局</w:t>
      </w:r>
    </w:p>
    <w:p>
      <w:pPr>
        <w:ind w:firstLine="560"/>
      </w:pPr>
      <w:r>
        <w:rPr>
          <w:rFonts w:hint="eastAsia"/>
        </w:rPr>
        <w:t>在泰美镇建设果蔬农产品加工基地，引进农产品精深加工企业；石坝镇建设畜牧产品集中屠宰中心和加工基地；柏塘镇建设茶叶加工基地；石湾镇建设丝苗米加工基地，形成“一心四基地”的农产品加工格局。</w:t>
      </w:r>
    </w:p>
    <w:p>
      <w:pPr>
        <w:ind w:firstLine="560"/>
      </w:pPr>
      <w:r>
        <w:rPr>
          <w:rFonts w:hint="eastAsia"/>
        </w:rPr>
        <w:t>3</w:t>
      </w:r>
      <w:r>
        <w:t>.</w:t>
      </w:r>
      <w:r>
        <w:rPr>
          <w:rFonts w:hint="eastAsia"/>
        </w:rPr>
        <w:t>建设重点</w:t>
      </w:r>
    </w:p>
    <w:p>
      <w:pPr>
        <w:ind w:firstLine="560"/>
      </w:pPr>
      <w:r>
        <w:rPr>
          <w:rFonts w:hint="eastAsia"/>
        </w:rPr>
        <w:t>一是建设果蔬农产品加工基地。以泰美镇为核心，整合农产品批发集散、农产品精深加工、智能冷链仓储等优势业务，引进水果、蔬菜精深加工企业，延长产业链，提升农产品附加值，打造成面向粤港澳大湾区，集农产品批发交易、仓储冷链配送、生鲜加工、信息发布功能于一体的新型现代化绿色农产品生产供应基地。</w:t>
      </w:r>
    </w:p>
    <w:p>
      <w:pPr>
        <w:ind w:firstLine="560"/>
      </w:pPr>
      <w:r>
        <w:rPr>
          <w:rFonts w:hint="eastAsia"/>
        </w:rPr>
        <w:t>二是建设茶叶加工基地。以柏塘镇、泰美镇茶产业为基础，以柏塘镇为核心，培育引进龙头企业，发展壮大专业合作社，培育新型经营主体，发展不同品质、不同产品的茶叶加工，茶饮料、植物萃取为主精深加工等，延长产业链，促进产业链内部融合，拓宽产业功能价值，最终建成产品多样、品质优良、技术先进的茶叶加工基地。</w:t>
      </w:r>
    </w:p>
    <w:p>
      <w:pPr>
        <w:ind w:firstLine="560"/>
      </w:pPr>
      <w:r>
        <w:rPr>
          <w:rFonts w:hint="eastAsia"/>
        </w:rPr>
        <w:t>三是建设集中屠宰中心和肉制品加工基地。以博东五镇养殖区域及黄羽鸡养殖为依托，建设一家技术先进、设备齐全、环保卫生的集中屠宰中心，建立建全追溯系统、智能监测系统，保障博罗县及大湾区居民食品安全。</w:t>
      </w:r>
    </w:p>
    <w:p>
      <w:pPr>
        <w:ind w:firstLine="560"/>
      </w:pPr>
      <w:r>
        <w:rPr>
          <w:rFonts w:hint="eastAsia"/>
        </w:rPr>
        <w:t>四是建设丝苗米加工基地。以伴永康等龙头企业为主体，政府给予支持，扩大现有生产线，延长产业链条，建立丝苗米产业园，打造一二三产融合的丝苗米加工基地。</w:t>
      </w:r>
    </w:p>
    <w:p>
      <w:pPr>
        <w:pStyle w:val="5"/>
        <w:ind w:firstLine="562"/>
      </w:pPr>
      <w:bookmarkStart w:id="49" w:name="_Toc107350587"/>
      <w:r>
        <w:rPr>
          <w:rFonts w:hint="eastAsia"/>
        </w:rPr>
        <w:t>（二）农产品物流业</w:t>
      </w:r>
      <w:bookmarkEnd w:id="49"/>
    </w:p>
    <w:p>
      <w:pPr>
        <w:ind w:firstLine="560"/>
      </w:pPr>
      <w:r>
        <w:t>1.</w:t>
      </w:r>
      <w:r>
        <w:rPr>
          <w:rFonts w:hint="eastAsia"/>
        </w:rPr>
        <w:t>发展思路</w:t>
      </w:r>
    </w:p>
    <w:p>
      <w:pPr>
        <w:ind w:firstLine="560"/>
      </w:pPr>
      <w:r>
        <w:rPr>
          <w:rFonts w:hint="eastAsia"/>
        </w:rPr>
        <w:t>按照现代物流理念，以畅通农产品流通主渠道为目的，加强农产品冷链物流设施建设，推动农产品流通电商平台打造，大力发展农产品流通基地和集散中心，充分发挥农产品流通对于连接产销、促进农业经济结构调整、促进城乡市场一体化进程等方面的作用，打造一个以资源为依托、以物流为渠道、以交易为平台、以集散为动力的产业链。</w:t>
      </w:r>
    </w:p>
    <w:p>
      <w:pPr>
        <w:ind w:firstLine="560"/>
      </w:pPr>
      <w:r>
        <w:rPr>
          <w:rFonts w:hint="eastAsia"/>
        </w:rPr>
        <w:t>2</w:t>
      </w:r>
      <w:r>
        <w:t>.</w:t>
      </w:r>
      <w:r>
        <w:rPr>
          <w:rFonts w:hint="eastAsia"/>
        </w:rPr>
        <w:t>建设布局</w:t>
      </w:r>
    </w:p>
    <w:p>
      <w:pPr>
        <w:ind w:firstLine="560"/>
      </w:pPr>
      <w:r>
        <w:rPr>
          <w:rFonts w:hint="eastAsia"/>
        </w:rPr>
        <w:t>在石坝镇、石湾镇建设一个农产品物流流通基地，在</w:t>
      </w:r>
      <w:r>
        <w:rPr>
          <w:rFonts w:hint="eastAsia"/>
          <w:lang w:eastAsia="zh-CN"/>
        </w:rPr>
        <w:t>龙华</w:t>
      </w:r>
      <w:r>
        <w:rPr>
          <w:rFonts w:hint="eastAsia"/>
        </w:rPr>
        <w:t>镇建立一个农产品物流园，形成“一园一基地”的物流发展格局，大力发展现代冷链物流，健全冷链物流流通体系，形成覆盖博东博西，面向粤港澳大湾区的现代冷链物流产业体系。</w:t>
      </w:r>
    </w:p>
    <w:p>
      <w:pPr>
        <w:ind w:firstLine="560"/>
      </w:pPr>
      <w:r>
        <w:rPr>
          <w:rFonts w:hint="eastAsia"/>
        </w:rPr>
        <w:t>3</w:t>
      </w:r>
      <w:r>
        <w:t>.</w:t>
      </w:r>
      <w:r>
        <w:rPr>
          <w:rFonts w:hint="eastAsia"/>
        </w:rPr>
        <w:t>建设重点</w:t>
      </w:r>
    </w:p>
    <w:p>
      <w:pPr>
        <w:ind w:firstLine="560"/>
      </w:pPr>
      <w:r>
        <w:rPr>
          <w:rFonts w:hint="eastAsia"/>
        </w:rPr>
        <w:t>一是加快农产品冷链物流体系建设。加强冷链物流仓储设施建设，在石坝镇</w:t>
      </w:r>
      <w:r>
        <w:rPr>
          <w:rFonts w:hint="eastAsia"/>
          <w:lang w:eastAsia="zh-CN"/>
        </w:rPr>
        <w:t>、</w:t>
      </w:r>
      <w:r>
        <w:rPr>
          <w:rFonts w:hint="eastAsia"/>
        </w:rPr>
        <w:t>石湾镇建设产地冷链物流基地，提升农产品保鲜储存能力；鼓励物流企业充实制冷设备、冷库、冷藏运输车辆等设备，加快建设节能环保、经济适用的冷链设施；支持农业经营主体发展仓储及冷链物流设施，对企业、合作社购置冷链配送车辆给予补贴，提高博罗县畜类肉蛋产品、果蔬、茶叶、南药等短途配送与长途运输装备水平。</w:t>
      </w:r>
    </w:p>
    <w:p>
      <w:pPr>
        <w:ind w:firstLine="560"/>
      </w:pPr>
      <w:r>
        <w:rPr>
          <w:rFonts w:hint="eastAsia"/>
        </w:rPr>
        <w:t>二是加快农产品流通电商服务体系建设。加快实施“互联网+”战略，采取“政府+运营商+平台”模式，构建农业电子商务产业园，搭建农资平台、农产品竞价平台、农民培训平台等电商APP功能板块，通过试点运营、推广，逐步打造农业电商创业一站式服务体系，建立线上线下对接、产销匹配的现代流通模式。</w:t>
      </w:r>
    </w:p>
    <w:p>
      <w:pPr>
        <w:ind w:firstLine="560"/>
      </w:pPr>
      <w:r>
        <w:rPr>
          <w:rFonts w:hint="eastAsia"/>
        </w:rPr>
        <w:t>三是推进农产品“产加储销”全产业链模式建设。加快推进农产品生产、加工、仓储、物流融合发展，鼓励支持有实力的企业在农产品主产区建设加工基地，联合平价超市等，打造生鲜产品全程冷藏冷链配送，让基地直接对接市场，实现产业链纵向延伸，构建博罗县农业“产加储销”一体化发展格局。</w:t>
      </w:r>
    </w:p>
    <w:p>
      <w:pPr>
        <w:pStyle w:val="5"/>
        <w:ind w:firstLine="562"/>
      </w:pPr>
      <w:bookmarkStart w:id="50" w:name="_Toc107350588"/>
      <w:r>
        <w:t>（</w:t>
      </w:r>
      <w:r>
        <w:rPr>
          <w:rFonts w:hint="eastAsia"/>
        </w:rPr>
        <w:t>三</w:t>
      </w:r>
      <w:r>
        <w:t>）</w:t>
      </w:r>
      <w:r>
        <w:rPr>
          <w:rFonts w:hint="eastAsia"/>
        </w:rPr>
        <w:t>休闲农业与乡村旅游</w:t>
      </w:r>
      <w:bookmarkEnd w:id="50"/>
    </w:p>
    <w:p>
      <w:pPr>
        <w:ind w:firstLine="560"/>
      </w:pPr>
      <w:r>
        <w:rPr>
          <w:rFonts w:hint="eastAsia"/>
        </w:rPr>
        <w:t>1</w:t>
      </w:r>
      <w:r>
        <w:t>.</w:t>
      </w:r>
      <w:r>
        <w:rPr>
          <w:rFonts w:hint="eastAsia"/>
        </w:rPr>
        <w:t>发展思路</w:t>
      </w:r>
    </w:p>
    <w:p>
      <w:pPr>
        <w:ind w:firstLine="560"/>
      </w:pPr>
      <w:r>
        <w:rPr>
          <w:rFonts w:hint="eastAsia"/>
        </w:rPr>
        <w:t>按照“资源整合、产业联动、质量提升、全员参与”的发展思路，深度挖掘乡村旅游资源，通过旅游与农业产业的融合，旅游与生态产业的融合，旅游与康养产业的融合，推动“旅游+文化”、“旅游+农业”、“旅游+中医药”、“旅游+体育”等产业发展模式；推动基础设施建设，提升乡村旅游质量，规划设计多条精品旅游线路，建设一批旅游特色精品村，完善沿线乡村旅游接待设施，推动博罗县传统农业向休闲农业、传统农村向主体村镇、农民向旅游经营者的转变。</w:t>
      </w:r>
    </w:p>
    <w:p>
      <w:pPr>
        <w:ind w:firstLine="560"/>
      </w:pPr>
      <w:r>
        <w:rPr>
          <w:rFonts w:hint="eastAsia"/>
        </w:rPr>
        <w:t>2</w:t>
      </w:r>
      <w:r>
        <w:t>.</w:t>
      </w:r>
      <w:r>
        <w:rPr>
          <w:rFonts w:hint="eastAsia"/>
        </w:rPr>
        <w:t>重点布局</w:t>
      </w:r>
    </w:p>
    <w:p>
      <w:pPr>
        <w:ind w:firstLine="560"/>
      </w:pPr>
      <w:r>
        <w:rPr>
          <w:rFonts w:hint="eastAsia"/>
        </w:rPr>
        <w:t>按照“1</w:t>
      </w:r>
      <w:r>
        <w:t>+3+3</w:t>
      </w:r>
      <w:r>
        <w:rPr>
          <w:rFonts w:hint="eastAsia"/>
        </w:rPr>
        <w:t>”的总体布局，即“一个龙头”、“三个枢纽”、“三个增长极”。“一个龙头”，即是以罗浮山为发展龙头，打造“月亮工程”。“三个枢纽”即是长宁旅游集散主枢纽，罗阳、麻陂旅游集散副枢纽。环浮山文化康养团、环象头山城市休闲团、环高铁新城乡村团，形成三极增长。建立博罗全域旅游平台，包括罗浮山旅游圈、东江文化长廊、象头山旅游区、沙河旅游长廊、博东高铁旅游新城。</w:t>
      </w:r>
    </w:p>
    <w:p>
      <w:pPr>
        <w:ind w:firstLine="560"/>
      </w:pPr>
      <w:r>
        <w:rPr>
          <w:rFonts w:hint="eastAsia"/>
        </w:rPr>
        <w:t>3</w:t>
      </w:r>
      <w:r>
        <w:t>.</w:t>
      </w:r>
      <w:r>
        <w:rPr>
          <w:rFonts w:hint="eastAsia"/>
        </w:rPr>
        <w:t>建设重点</w:t>
      </w:r>
    </w:p>
    <w:p>
      <w:pPr>
        <w:ind w:firstLine="560"/>
      </w:pPr>
      <w:r>
        <w:rPr>
          <w:rFonts w:hint="eastAsia"/>
        </w:rPr>
        <w:t>一是推动旅游集散枢纽升级。围绕环罗浮山文化康养团、环象头山城市休闲团、环高铁新城乡村团，在原有基础上，对长宁旅游集散主枢纽，罗阳、麻陂旅游集散副枢纽进行基础完善、服务升级，提升博罗县游客接待水平和服务水平。</w:t>
      </w:r>
    </w:p>
    <w:p>
      <w:pPr>
        <w:ind w:firstLine="560"/>
      </w:pPr>
      <w:r>
        <w:rPr>
          <w:rFonts w:hint="eastAsia"/>
        </w:rPr>
        <w:t>二是美丽乡村建设与乡村旅游相结合。继续开展清洁先行、清水治污、绿满家园三大美丽乡村行动，提升农村人居环境水平。全面推进“三变”工程，即实施“农村变景点”工程，坚持将文化、农村与旅游相结合，建设出“望得见山、看得见水、记得住乡愁”的美丽乡村；实施“农民变旅游从业人员”工程，让村民开展农家乐、民宿、休闲农业，在家门口就可实现就业创业；实施“农产品变旅游产品”工程，将农产品转化为旅游产品。参照“七星耀罗浮”的发展模式，将行政村串联起来，有机结合，构建乡村旅游示范片。</w:t>
      </w:r>
    </w:p>
    <w:p>
      <w:pPr>
        <w:ind w:firstLine="560"/>
      </w:pPr>
      <w:r>
        <w:rPr>
          <w:rFonts w:hint="eastAsia"/>
        </w:rPr>
        <w:t>三是加大对乡村旅游的政策支持。将乡村旅游与乡村振兴相结合，给与优惠政策；设立专项扶持奖励金，推动乡村旅游景区建设，使得博罗县乡村旅游建设更加迅速。</w:t>
      </w:r>
    </w:p>
    <w:p>
      <w:pPr>
        <w:ind w:firstLine="560"/>
      </w:pPr>
      <w:r>
        <w:rPr>
          <w:rFonts w:hint="eastAsia"/>
        </w:rPr>
        <w:t>四是积极推广博罗乡村旅游产品。一是深入挖掘民俗文化及农业资源，积极策划不同形式的休闲农业及乡村节日庆典活动；二是充分利用新媒体的强大传播力和影响力，通过“南方日报”、“南方农村报”、“西子湖畔”、“吃喝惠州”、“惠州旅游”、“指尖惠州”、“博罗发布”、“博罗旅游”、“博罗头条”、“养生醉罗浮”等微信公众号宣传推介博罗旅游；三是以博罗宜居宜业宜游广州、深圳推介会为契机，通过高速路立柱、公交车车体、公交车候车亭、地铁灯箱等载体及报纸、电视、网络等媒体，整合社会各项资源，积极宣传博罗优越的区位、便利的交通、良好的生态环境、丰富的美食及多样的旅游资源，提升博罗旅游知名度和美誉度。</w:t>
      </w:r>
    </w:p>
    <w:p>
      <w:pPr>
        <w:pStyle w:val="5"/>
        <w:ind w:firstLine="562"/>
        <w:rPr>
          <w:rFonts w:ascii="仿宋" w:hAnsi="仿宋"/>
          <w:color w:val="000000" w:themeColor="text1"/>
          <w:szCs w:val="28"/>
          <w14:textFill>
            <w14:solidFill>
              <w14:schemeClr w14:val="tx1"/>
            </w14:solidFill>
          </w14:textFill>
        </w:rPr>
      </w:pPr>
      <w:bookmarkStart w:id="51" w:name="_Toc107350589"/>
      <w:r>
        <w:rPr>
          <w:rFonts w:hint="eastAsia" w:ascii="仿宋" w:hAnsi="仿宋"/>
          <w:color w:val="000000" w:themeColor="text1"/>
          <w:szCs w:val="28"/>
          <w14:textFill>
            <w14:solidFill>
              <w14:schemeClr w14:val="tx1"/>
            </w14:solidFill>
          </w14:textFill>
        </w:rPr>
        <w:t>（四）农产品电子商务</w:t>
      </w:r>
      <w:bookmarkEnd w:id="51"/>
    </w:p>
    <w:p>
      <w:pPr>
        <w:ind w:firstLine="560"/>
      </w:pPr>
      <w:r>
        <w:rPr>
          <w:rFonts w:hint="eastAsia"/>
        </w:rPr>
        <w:t>1</w:t>
      </w:r>
      <w:r>
        <w:t>.</w:t>
      </w:r>
      <w:r>
        <w:rPr>
          <w:rFonts w:hint="eastAsia"/>
        </w:rPr>
        <w:t>发展思路</w:t>
      </w:r>
    </w:p>
    <w:p>
      <w:pPr>
        <w:adjustRightInd w:val="0"/>
        <w:ind w:firstLine="560"/>
        <w:rPr>
          <w:rFonts w:cs="Times New Roman"/>
          <w:color w:val="000000"/>
          <w:szCs w:val="28"/>
        </w:rPr>
      </w:pPr>
      <w:r>
        <w:rPr>
          <w:rFonts w:hint="eastAsia" w:cs="Times New Roman"/>
          <w:color w:val="000000"/>
          <w:szCs w:val="28"/>
        </w:rPr>
        <w:t>积极适应高端化、多元化市场需求，开发农业的生产、生活、生态、示范功能，实施“互联网+现代农业”行动，大力发展农产品电子商务，发展农田艺术景观、阳台农艺等创意农业，探索农产品个性化定制服务、会展农业、农业众筹等新型业态，不断促进农业与二、三产业的融合发展，推动博罗农业向高端化、多元化发展。</w:t>
      </w:r>
    </w:p>
    <w:p>
      <w:pPr>
        <w:ind w:firstLine="560"/>
      </w:pPr>
      <w:r>
        <w:rPr>
          <w:rFonts w:hint="eastAsia"/>
        </w:rPr>
        <w:t>2</w:t>
      </w:r>
      <w:r>
        <w:t>.</w:t>
      </w:r>
      <w:r>
        <w:rPr>
          <w:rFonts w:hint="eastAsia"/>
        </w:rPr>
        <w:t>建设布局</w:t>
      </w:r>
    </w:p>
    <w:p>
      <w:pPr>
        <w:adjustRightInd w:val="0"/>
        <w:ind w:firstLine="560"/>
        <w:rPr>
          <w:rFonts w:cs="Times New Roman"/>
          <w:color w:val="000000"/>
          <w:szCs w:val="28"/>
        </w:rPr>
      </w:pPr>
      <w:r>
        <w:rPr>
          <w:rFonts w:hint="eastAsia" w:cs="Times New Roman"/>
          <w:color w:val="000000"/>
          <w:szCs w:val="28"/>
        </w:rPr>
        <w:t>以县级益农信息</w:t>
      </w:r>
      <w:r>
        <w:rPr>
          <w:rFonts w:hint="eastAsia" w:cs="Times New Roman"/>
          <w:color w:val="000000"/>
          <w:szCs w:val="28"/>
          <w:lang w:eastAsia="zh-CN"/>
        </w:rPr>
        <w:t>社为基础</w:t>
      </w:r>
      <w:r>
        <w:rPr>
          <w:rFonts w:hint="eastAsia" w:cs="Times New Roman"/>
          <w:color w:val="000000"/>
          <w:szCs w:val="28"/>
        </w:rPr>
        <w:t>，打造覆盖全部农村的电子商务</w:t>
      </w:r>
      <w:r>
        <w:rPr>
          <w:rFonts w:hint="eastAsia" w:cs="Times New Roman"/>
          <w:color w:val="000000"/>
          <w:szCs w:val="28"/>
          <w:lang w:eastAsia="zh-CN"/>
        </w:rPr>
        <w:t>网络</w:t>
      </w:r>
      <w:r>
        <w:rPr>
          <w:rFonts w:hint="eastAsia" w:cs="Times New Roman"/>
          <w:color w:val="000000"/>
          <w:szCs w:val="28"/>
        </w:rPr>
        <w:t>，建立健全县、镇、村三级农村电商体系。</w:t>
      </w:r>
    </w:p>
    <w:p>
      <w:pPr>
        <w:ind w:firstLine="560"/>
      </w:pPr>
      <w:r>
        <w:rPr>
          <w:rFonts w:hint="eastAsia"/>
        </w:rPr>
        <w:t>3</w:t>
      </w:r>
      <w:r>
        <w:t>.</w:t>
      </w:r>
      <w:r>
        <w:rPr>
          <w:rFonts w:hint="eastAsia"/>
        </w:rPr>
        <w:t>建设重点</w:t>
      </w:r>
    </w:p>
    <w:p>
      <w:pPr>
        <w:adjustRightInd w:val="0"/>
        <w:ind w:firstLine="560"/>
        <w:rPr>
          <w:rFonts w:cs="Times New Roman"/>
          <w:color w:val="000000"/>
          <w:szCs w:val="28"/>
        </w:rPr>
      </w:pPr>
      <w:r>
        <w:rPr>
          <w:rFonts w:hint="eastAsia" w:cs="Times New Roman"/>
          <w:color w:val="000000"/>
          <w:szCs w:val="28"/>
        </w:rPr>
        <w:t>一是实施“互联网+现代农业”行动。发展“互联网+”新型农业经营主体、“互联网+”现代种植业、“互联网+”现代畜牧业、“互联网+”农产品质量安全、“互联网+”农业电子商务、“互联网+”美丽乡村、“互联网+”农业农村大数据、“互联网+”农业信息服务、“互联网+”基础设施，推进现代信息技术应用于农业生产、经营、管理和服务，加强农业与信息技术融合，提高农业信息化水平，引领驱动农业现代化加快发展。</w:t>
      </w:r>
    </w:p>
    <w:p>
      <w:pPr>
        <w:adjustRightInd w:val="0"/>
        <w:ind w:firstLine="560"/>
        <w:rPr>
          <w:rFonts w:cs="Times New Roman"/>
          <w:color w:val="000000"/>
          <w:szCs w:val="28"/>
        </w:rPr>
      </w:pPr>
      <w:r>
        <w:rPr>
          <w:rFonts w:hint="eastAsia" w:cs="Times New Roman"/>
          <w:color w:val="000000"/>
          <w:szCs w:val="28"/>
        </w:rPr>
        <w:t>二是大力发展农产品电子商务。充分发挥博罗县柏塘茶叶、观音阁花生、黄羽鸡等特色农村产品资源优势，通过建立衔接农户、合作社、经济联社、企业、物流、电子商务平台等商务节点的产业链条，服务博罗县千家万户农村生产单元，切实解决工业产品进村入户，农村富余农牧产品高价外销，打通农村物流最后一公里等现实问题，提升博罗县农村经济活力；建设双向互动的综合信息服务平台，支持农业企业开展特色农村产品网上销售，在农村农产品种植、养殖基地建立直接面向供应市场的电子商务模式，积极探索实施特色农村产品网上购销直通的电子商务交易，实现远程电子订货、物流配送、农超对接、信息追溯的农村产品电子服务体系。通过电子商务促进农产品销售，同时，以市场需求为导向，反向推动农业生产的标准化与生态化。</w:t>
      </w:r>
    </w:p>
    <w:p>
      <w:pPr>
        <w:adjustRightInd w:val="0"/>
        <w:ind w:firstLine="560"/>
        <w:rPr>
          <w:rFonts w:cs="Times New Roman"/>
          <w:color w:val="000000"/>
          <w:szCs w:val="28"/>
        </w:rPr>
      </w:pPr>
      <w:r>
        <w:rPr>
          <w:rFonts w:hint="eastAsia" w:cs="Times New Roman"/>
          <w:color w:val="000000"/>
          <w:szCs w:val="28"/>
        </w:rPr>
        <w:t>三是发展创意农业。推动航空农业科技、红色文化、康养文化、长寿文化、古村文化等元素融入农业，打造现代农业、文化产业与休闲度假“三位一体”的文化旅游模式，结合博罗旅游资源，打造农旅线路节点，以此带动农业发展。发展农田艺术景观，利用多彩多姿的农作物，通过设计与搭配，在较大的空间上形成美丽的景观，使得农业的生产性、可持续性同审美性结合起来，成为生产、生活、生态三者的有机结合体，以此提升博罗农业的知名度，打响品牌效应。</w:t>
      </w:r>
    </w:p>
    <w:p>
      <w:pPr>
        <w:ind w:firstLine="560"/>
      </w:pPr>
      <w:r>
        <w:rPr>
          <w:rFonts w:hint="eastAsia" w:cs="Times New Roman"/>
          <w:color w:val="000000"/>
          <w:szCs w:val="28"/>
        </w:rPr>
        <w:t>四是探索发展城乡融合的新型工商业。结合城乡发展规划，主动融入城乡融合发展和新型城镇化进程，积极争取和配合开展“三旧”改造、村级工业园改造等，引入有实力的开发商合作开发物业等，进一步盘活存量建设用地和集体物业。充分利用农村人居环境改善和农村资源禀赋，引入有实力的开发商合作开发民宿，盘活农村闲置宅基地和房屋，提升租金价格水平，提高经营效益，拓展多元业态。</w:t>
      </w:r>
    </w:p>
    <w:p>
      <w:pPr>
        <w:widowControl/>
        <w:spacing w:line="240" w:lineRule="auto"/>
        <w:ind w:firstLine="0" w:firstLineChars="0"/>
        <w:jc w:val="left"/>
        <w:rPr>
          <w:b/>
          <w:bCs/>
          <w:kern w:val="44"/>
          <w:sz w:val="32"/>
          <w:szCs w:val="44"/>
        </w:rPr>
      </w:pPr>
      <w:r>
        <w:br w:type="page"/>
      </w:r>
    </w:p>
    <w:p>
      <w:pPr>
        <w:pStyle w:val="3"/>
      </w:pPr>
      <w:bookmarkStart w:id="52" w:name="_Toc107350590"/>
      <w:r>
        <w:rPr>
          <w:rFonts w:hint="eastAsia"/>
        </w:rPr>
        <w:t>第五章 全力推动美丽乡村建设</w:t>
      </w:r>
      <w:bookmarkEnd w:id="52"/>
    </w:p>
    <w:p>
      <w:pPr>
        <w:pStyle w:val="4"/>
        <w:ind w:firstLine="602" w:firstLineChars="200"/>
      </w:pPr>
      <w:bookmarkStart w:id="53" w:name="_Toc107350591"/>
      <w:r>
        <w:rPr>
          <w:rFonts w:hint="eastAsia"/>
        </w:rPr>
        <w:t>一、全面推动人居环境整治提升</w:t>
      </w:r>
      <w:bookmarkEnd w:id="53"/>
    </w:p>
    <w:p>
      <w:pPr>
        <w:pStyle w:val="5"/>
        <w:ind w:firstLine="562"/>
      </w:pPr>
      <w:bookmarkStart w:id="54" w:name="_Toc107350592"/>
      <w:r>
        <w:rPr>
          <w:rFonts w:hint="eastAsia"/>
        </w:rPr>
        <w:t>（一）巩固人居环境综合整治成果</w:t>
      </w:r>
      <w:bookmarkEnd w:id="54"/>
    </w:p>
    <w:p>
      <w:pPr>
        <w:ind w:firstLine="562"/>
      </w:pPr>
      <w:r>
        <w:rPr>
          <w:rFonts w:hint="eastAsia"/>
          <w:b/>
          <w:bCs/>
        </w:rPr>
        <w:t>一是巩固人居环境综合整治成果。</w:t>
      </w:r>
      <w:r>
        <w:rPr>
          <w:rFonts w:hint="eastAsia"/>
        </w:rPr>
        <w:t>继续深入推进农村厕所革命，建立健全长效管护机制。统筹农村生活污水治理和改厕，推动具备条件的镇村同步设计、同步建设、同步运营；加大农村厕所设施陈旧、老旧化粪池渗漏等排查整改力度，因地制宜配套建设粪污收集利用体系，分类推进粪污分散收集、集中收集或接入污水管网统一处理；提高乡村旅游区等公共厕所覆盖率。开展生活污水治理攻坚，编制农村生活污水治理规划方案，合理选择技术方案和治理模式，到2025年，实现全县农村生活污水治理率达80</w:t>
      </w:r>
      <w:r>
        <w:t>%</w:t>
      </w:r>
      <w:r>
        <w:rPr>
          <w:rFonts w:hint="eastAsia"/>
        </w:rPr>
        <w:t>以上。分类收集处理生活垃圾，实施农村生活垃圾分类减量全覆盖行动，重点建设完善简便易行的农户分类投放体系、收集体系和运输体系。完善落实环境卫生网格化管理制度，建立农村人居环境整治长效管护和运行机制。</w:t>
      </w:r>
      <w:r>
        <w:rPr>
          <w:rFonts w:hint="eastAsia"/>
          <w:b/>
          <w:bCs/>
        </w:rPr>
        <w:t>二是分类打造，有序推进人居环境提升工程。</w:t>
      </w:r>
      <w:r>
        <w:rPr>
          <w:rFonts w:hint="eastAsia"/>
        </w:rPr>
        <w:t>严格按照省委省政府已定的干净整洁村、美丽宜居村、特色精品村三大类型，按照村庄主体功能区域和文脉传承的不同类型，分类施策，分阶段分步骤创建提升，梯次推进干净整洁村、美丽宜居村、特色精品村的创建工作，突出乡村特色、地方特色、区域特色，打造宜居宜业宜游典型示范。</w:t>
      </w:r>
      <w:r>
        <w:rPr>
          <w:rFonts w:hint="eastAsia"/>
          <w:b/>
          <w:bCs/>
        </w:rPr>
        <w:t>三是建立健全监督考核体系。</w:t>
      </w:r>
      <w:r>
        <w:rPr>
          <w:rFonts w:hint="eastAsia"/>
        </w:rPr>
        <w:t>在维持村庄整治成果的基础上，设定三个梯次村庄的人居环境整治具体标准，标准逐年提高，分类提升人居环境水平，通过督导检查、明察暗访、考核评比等方式进一步压实镇、乡、村责任，制定和落实相关考核奖惩各项措施。</w:t>
      </w:r>
    </w:p>
    <w:p>
      <w:pPr>
        <w:pStyle w:val="5"/>
        <w:ind w:firstLine="562"/>
      </w:pPr>
      <w:bookmarkStart w:id="55" w:name="_Toc107350593"/>
      <w:r>
        <w:rPr>
          <w:rFonts w:hint="eastAsia"/>
        </w:rPr>
        <w:t>（二）加快乡村振兴示范带建设</w:t>
      </w:r>
      <w:bookmarkEnd w:id="55"/>
    </w:p>
    <w:p>
      <w:pPr>
        <w:ind w:firstLine="560"/>
        <w:rPr>
          <w:rFonts w:hint="eastAsia"/>
        </w:rPr>
      </w:pPr>
      <w:r>
        <w:rPr>
          <w:rFonts w:hint="eastAsia"/>
        </w:rPr>
        <w:t>加快推进乡村振兴示范带建设，坚持“美线强点、连点成片、以片带面”的发展思路，大力实施乡村建设，全力打造“环罗浮山”“百里茶香”“东江画廊”“五谷丰登”“东纵精神”示范带，将乡村精品亮点串珠成链，辐射带动乡村形态全面优化，绘就产业欣欣向荣、乡村美美与共、生活蒸蒸日上、治理井井有条的秀美画卷。</w:t>
      </w:r>
    </w:p>
    <w:p>
      <w:pPr>
        <w:pStyle w:val="5"/>
        <w:ind w:firstLine="562"/>
      </w:pPr>
      <w:bookmarkStart w:id="56" w:name="_Toc107350594"/>
      <w:r>
        <w:rPr>
          <w:rFonts w:hint="eastAsia"/>
        </w:rPr>
        <w:t>（三）促进乡村风貌管控提升</w:t>
      </w:r>
      <w:bookmarkEnd w:id="56"/>
    </w:p>
    <w:p>
      <w:pPr>
        <w:ind w:firstLine="562"/>
      </w:pPr>
      <w:r>
        <w:rPr>
          <w:rFonts w:hint="eastAsia"/>
          <w:b/>
          <w:bCs/>
        </w:rPr>
        <w:t>一是推动农房管控与风貌提升</w:t>
      </w:r>
      <w:r>
        <w:rPr>
          <w:rFonts w:hint="eastAsia"/>
        </w:rPr>
        <w:t>，建立“一户一宅”为基础的农房管控制度，加强农村建房全程监管，实施农村住房质量提升行动；开展质量问题摸排，分片分类、统筹推进改造提升，重点保障低收入农户住房安全，推进存量农房微改造和新建农房风貌塑造，力争到2</w:t>
      </w:r>
      <w:r>
        <w:t>025</w:t>
      </w:r>
      <w:r>
        <w:rPr>
          <w:rFonts w:hint="eastAsia"/>
        </w:rPr>
        <w:t>年8</w:t>
      </w:r>
      <w:r>
        <w:t>0</w:t>
      </w:r>
      <w:r>
        <w:rPr>
          <w:rFonts w:hint="eastAsia"/>
        </w:rPr>
        <w:t>%以上农房完成微改造。</w:t>
      </w:r>
      <w:r>
        <w:rPr>
          <w:rFonts w:hint="eastAsia"/>
          <w:b/>
          <w:bCs/>
        </w:rPr>
        <w:t>二是提升岭南乡村景观品质</w:t>
      </w:r>
      <w:r>
        <w:rPr>
          <w:rFonts w:hint="eastAsia"/>
        </w:rPr>
        <w:t>，引导整治提升类村庄开展基础环境整治、绿化美化和农房立面改造，保护修复类村庄加强传统村落格局、风貌等整体空间形态与环境保护，地域特色类村庄重点挖掘传统文化习俗、强化地域特色；</w:t>
      </w:r>
      <w:r>
        <w:rPr>
          <w:rFonts w:hint="eastAsia"/>
          <w:b/>
          <w:bCs/>
        </w:rPr>
        <w:t>三是实施五大“美丽行动”</w:t>
      </w:r>
      <w:r>
        <w:rPr>
          <w:rFonts w:hint="eastAsia"/>
        </w:rPr>
        <w:t>，统筹山水林田湖系统综合治理，将城中村纳入农村人居环境整治范围，对村级工业园区、田间地头、河涌池塘、农房等村域空间进行全要素、全方位整治。到2025年，博罗县所有行政村全部达到美丽宜居村标准，</w:t>
      </w:r>
      <w:r>
        <w:rPr>
          <w:rFonts w:hint="eastAsia"/>
          <w:lang w:eastAsia="zh-CN"/>
        </w:rPr>
        <w:t>因地制宜</w:t>
      </w:r>
      <w:r>
        <w:rPr>
          <w:rFonts w:hint="eastAsia"/>
        </w:rPr>
        <w:t>打造特色精品村。</w:t>
      </w:r>
    </w:p>
    <w:p>
      <w:pPr>
        <w:pStyle w:val="5"/>
        <w:ind w:firstLine="562"/>
      </w:pPr>
      <w:bookmarkStart w:id="57" w:name="_Toc107350595"/>
      <w:r>
        <w:rPr>
          <w:rFonts w:hint="eastAsia"/>
        </w:rPr>
        <w:t>（四）强化村庄规划指导作用</w:t>
      </w:r>
      <w:bookmarkEnd w:id="57"/>
    </w:p>
    <w:p>
      <w:pPr>
        <w:ind w:firstLine="562"/>
      </w:pPr>
      <w:r>
        <w:rPr>
          <w:rFonts w:hint="eastAsia"/>
          <w:b/>
          <w:bCs/>
        </w:rPr>
        <w:t>一是统筹县域城镇和乡村规划建设</w:t>
      </w:r>
      <w:r>
        <w:rPr>
          <w:rFonts w:hint="eastAsia"/>
        </w:rPr>
        <w:t>，以第三次国土调查数据为基础，划好村庄建设边界，优化村庄布局，把村庄规划纳入县域国土空间规划“一张图”实施监督信息系统，分类推进村庄建设。</w:t>
      </w:r>
      <w:r>
        <w:rPr>
          <w:rFonts w:hint="eastAsia"/>
          <w:b/>
          <w:bCs/>
        </w:rPr>
        <w:t>二是推进实用性村庄规划编制实施</w:t>
      </w:r>
      <w:r>
        <w:rPr>
          <w:rFonts w:hint="eastAsia"/>
        </w:rPr>
        <w:t>，做到农房建设有规划管理、行政村有村庄整治安排、生产生活空间合理分离，优化村庄功能布局，实现村庄规划管理基本覆盖。</w:t>
      </w:r>
      <w:r>
        <w:rPr>
          <w:rFonts w:hint="eastAsia"/>
          <w:b/>
          <w:bCs/>
        </w:rPr>
        <w:t>三是统筹推动落实“一户一宅”政策</w:t>
      </w:r>
      <w:r>
        <w:rPr>
          <w:rFonts w:hint="eastAsia"/>
        </w:rPr>
        <w:t>，鼓励根据实际情况改进“一户一宅”制度，结合村庄规划探索建立宅基地总量限定、按人分配、按户控制的资格权分配机制，实现由“一户一宅”向“户有所居、住有宜居”转变。</w:t>
      </w:r>
      <w:r>
        <w:rPr>
          <w:rFonts w:hint="eastAsia"/>
          <w:b/>
          <w:bCs/>
        </w:rPr>
        <w:t>四是建立健全村庄规划编制机制，</w:t>
      </w:r>
      <w:r>
        <w:rPr>
          <w:rFonts w:hint="eastAsia"/>
        </w:rPr>
        <w:t>推行政府组织领导、村委会发挥主体作用、技术单位指导的村庄规划编制机制。</w:t>
      </w:r>
    </w:p>
    <w:p>
      <w:pPr>
        <w:pStyle w:val="4"/>
        <w:ind w:firstLine="602" w:firstLineChars="200"/>
      </w:pPr>
      <w:bookmarkStart w:id="58" w:name="_Toc107350596"/>
      <w:r>
        <w:rPr>
          <w:rFonts w:hint="eastAsia"/>
        </w:rPr>
        <w:t>二、打造一批“一村一品”特色村</w:t>
      </w:r>
      <w:bookmarkEnd w:id="58"/>
    </w:p>
    <w:p>
      <w:pPr>
        <w:ind w:firstLine="560"/>
      </w:pPr>
      <w:r>
        <w:rPr>
          <w:rFonts w:hint="eastAsia"/>
        </w:rPr>
        <w:t>坚持市场主导、政府引导，打造一批“一村一品”特色村，走集生产、加工、销售于一体的产业化经营之路，把一村一品作为农业产业化经营的一个重要环节去发展，将一村一品专业村、专业乡镇打造成产业化链条的基础，产业化经营的“第一车间”、原料基地。</w:t>
      </w:r>
    </w:p>
    <w:p>
      <w:pPr>
        <w:pStyle w:val="5"/>
        <w:ind w:firstLine="562"/>
      </w:pPr>
      <w:bookmarkStart w:id="59" w:name="_Toc107350597"/>
      <w:r>
        <w:rPr>
          <w:rFonts w:hint="eastAsia"/>
        </w:rPr>
        <w:t>（一）抓好主导产品、新型农民和流通组织的培育</w:t>
      </w:r>
      <w:bookmarkEnd w:id="59"/>
    </w:p>
    <w:p>
      <w:pPr>
        <w:ind w:firstLine="562"/>
      </w:pPr>
      <w:r>
        <w:rPr>
          <w:rFonts w:hint="eastAsia"/>
          <w:b/>
          <w:bCs/>
        </w:rPr>
        <w:t>抓好主导产品培育。</w:t>
      </w:r>
      <w:r>
        <w:rPr>
          <w:rFonts w:hint="eastAsia"/>
        </w:rPr>
        <w:t>依托特色农产品资源优势，以茶叶、丝苗米、荔枝、蔬菜、南药、三黄鸡、柠檬和红柚等品种为基础，突出“品”的特色、扩大“品”的影响、保证“品”的质量，通过多种形式宣传推介一村一品的产品，推行标准化生产，加强品牌的培育、认定、宣传、保护和推广。</w:t>
      </w:r>
    </w:p>
    <w:p>
      <w:pPr>
        <w:ind w:firstLine="562"/>
      </w:pPr>
      <w:r>
        <w:rPr>
          <w:rFonts w:hint="eastAsia"/>
          <w:b/>
          <w:bCs/>
        </w:rPr>
        <w:t>抓好新型农民培育。</w:t>
      </w:r>
      <w:r>
        <w:rPr>
          <w:rFonts w:hint="eastAsia"/>
        </w:rPr>
        <w:t>农民是发展一村一品的主体。围绕主导产品和产业，政府牵头建设新型农民培育平台，创新培训形式，丰富培训内容，提高培训效果，培养有文化、懂技术的农村实用人才。积极引导农民参与农业产业化经营，充分发挥龙头企业的作用，并以龙头企业为阵地，加强岗前岗中培训，提高农民的综合素质，造就一批懂经营、会管理的农村人才。</w:t>
      </w:r>
    </w:p>
    <w:p>
      <w:pPr>
        <w:ind w:firstLine="562"/>
      </w:pPr>
      <w:r>
        <w:rPr>
          <w:rFonts w:hint="eastAsia"/>
          <w:b/>
          <w:bCs/>
        </w:rPr>
        <w:t>抓好流通组织培育。</w:t>
      </w:r>
      <w:r>
        <w:rPr>
          <w:rFonts w:hint="eastAsia"/>
        </w:rPr>
        <w:t>推动一村一品与市场的有效对接，使“一村一品”农特优产品卖得出去、卖得好价钱。积极培育龙头企业，壮大龙头企业群体，依靠龙头企业开拓国内外市场。大力发展农民专业合作社，努力提高农民进入市场的组织化程度。加强引导与支持建设农民经纪人队伍。围绕“一村一品”主导产业的发展，建设形成各种专业产品市场，与博罗县农产品现代冷链物流体系建设相结合，拓宽农产品市场，让特色农产品“走出去”。</w:t>
      </w:r>
    </w:p>
    <w:p>
      <w:pPr>
        <w:pStyle w:val="5"/>
        <w:ind w:firstLine="562"/>
      </w:pPr>
      <w:bookmarkStart w:id="60" w:name="_Toc107350598"/>
      <w:r>
        <w:rPr>
          <w:rFonts w:hint="eastAsia"/>
        </w:rPr>
        <w:t>（二）坚持因地制宜、农民主体，强化引导功能</w:t>
      </w:r>
      <w:bookmarkEnd w:id="60"/>
    </w:p>
    <w:p>
      <w:pPr>
        <w:ind w:firstLine="562"/>
      </w:pPr>
      <w:r>
        <w:rPr>
          <w:rFonts w:hint="eastAsia"/>
          <w:b/>
          <w:bCs/>
        </w:rPr>
        <w:t>坚持因地制宜。</w:t>
      </w:r>
      <w:r>
        <w:rPr>
          <w:rFonts w:hint="eastAsia"/>
        </w:rPr>
        <w:t>立足区域农业产业资源状况，综合考虑区位优势、产业基础和市场条件等因素，因地制宜，扬长避短，找准一村一品发展的切入点，积极培育发展优势明显、特色突出的主导产业和主导产品，全方位、多层次、长链条发展，变资源优势为产业优势、经济优势，变潜在优势为显性优势。</w:t>
      </w:r>
    </w:p>
    <w:p>
      <w:pPr>
        <w:ind w:firstLine="562"/>
      </w:pPr>
      <w:r>
        <w:rPr>
          <w:rFonts w:hint="eastAsia"/>
          <w:b/>
          <w:bCs/>
        </w:rPr>
        <w:t>突出农民主体地位。</w:t>
      </w:r>
      <w:r>
        <w:rPr>
          <w:rFonts w:hint="eastAsia"/>
        </w:rPr>
        <w:t>在坚持家庭承包经营制度的基础上，充分尊重农民意愿及其生产经营自主权，充分发挥农民的主体作用，调动农民发展一村一品的积极性，激发农民发展一村一品的创造力。积极倡导农民树立自强自立意识，激励农民自主创业、自我发展的精神，积极引导农民增强市场观念，转变经营理念，提高种养技能、加工技术、营销技巧，进一步提升农民的自我发展能力，使农民成为推进一村一品发展的主力军。</w:t>
      </w:r>
    </w:p>
    <w:p>
      <w:pPr>
        <w:ind w:firstLine="562"/>
      </w:pPr>
      <w:r>
        <w:rPr>
          <w:rFonts w:hint="eastAsia"/>
          <w:b/>
          <w:bCs/>
        </w:rPr>
        <w:t>强化政府的引导功能。</w:t>
      </w:r>
      <w:r>
        <w:rPr>
          <w:rFonts w:hint="eastAsia"/>
        </w:rPr>
        <w:t>在建设“一村一品”特色村过程中，要强化政府的引导功能和服务意识，切实转变工作作风、改进工作方法、突出工作重点，引导企业、合作社、村民等积极参与到“一村一品”的建设中来，为一村一品发展提供有效服务。建立健全市场信息发布制度，发挥市场引导作用，为一村一品发展提供及时、准确的市场信息服务，实现产销对接，提高产销率；不断创新金融产品和服务方式，拓宽信贷资金支农渠道，安排一定规模的信贷资金，支持一村一品的发展；按照“便捷、易行、实用”的原则，加快推进农业科技进村入户，为一村一品发展提供科技和人才服务；进一步加大对一村一品发展的政策支持力度，积极整合现有人力、资金、项目等各种要素和资源，向一村一品倾斜。</w:t>
      </w:r>
    </w:p>
    <w:p>
      <w:pPr>
        <w:pStyle w:val="5"/>
        <w:ind w:firstLine="562"/>
      </w:pPr>
      <w:bookmarkStart w:id="61" w:name="_Toc107350599"/>
      <w:r>
        <w:rPr>
          <w:rFonts w:hint="eastAsia"/>
        </w:rPr>
        <w:t>（三）从产业实际情况出发开展“一村一品”建设</w:t>
      </w:r>
      <w:bookmarkEnd w:id="61"/>
    </w:p>
    <w:p>
      <w:pPr>
        <w:ind w:firstLine="560"/>
      </w:pPr>
      <w:r>
        <w:rPr>
          <w:rFonts w:hint="eastAsia"/>
        </w:rPr>
        <w:t>以提高农业综合效益和增加农民收入为核心，立足资源禀赋，坚持市场导向，确定各村、镇的特色产业，明确各村、镇“一村一品”建设目标，遴选“一村一品”特色村建设和实施主体，打造一批“一村一品”特色村。结合各村、镇自身发展优势，选择符合市场需求的特色优势产业，如茶叶、丝苗米、荔枝、蔬菜、南药、三黄鸡、柠檬和红柚等特色优势产业，通过专业化、规模化、市场化和品牌化建设，培育壮大1-</w:t>
      </w:r>
      <w:r>
        <w:t>2</w:t>
      </w:r>
      <w:r>
        <w:rPr>
          <w:rFonts w:hint="eastAsia"/>
        </w:rPr>
        <w:t>个具有本地特色的主导产业，做精一批特色产业。培育一批新型经营主体，充分发挥农民专业合作社、联合社、家庭农场、农业龙头企业等新型经营主体的功能，推广“龙头企业+合作社+基地+农民”、“龙头企业+合作社+农民”、“合作社+农民”等经营模式，组建农业产业化创新联盟体，完善新型经营主体与农户的利益联结机制。鼓励具有鲜明地域特色的产品申报国家地理标志保护产品等认证，加强特色农产品区域公共品牌建设，打造一批知名品牌。</w:t>
      </w:r>
    </w:p>
    <w:p>
      <w:pPr>
        <w:pStyle w:val="4"/>
        <w:ind w:firstLine="602" w:firstLineChars="200"/>
      </w:pPr>
      <w:bookmarkStart w:id="62" w:name="_Toc107350600"/>
      <w:r>
        <w:rPr>
          <w:rFonts w:hint="eastAsia"/>
        </w:rPr>
        <w:t>三、全面开展“百企帮百村”行动</w:t>
      </w:r>
      <w:bookmarkEnd w:id="62"/>
    </w:p>
    <w:p>
      <w:pPr>
        <w:ind w:firstLine="560"/>
      </w:pPr>
      <w:r>
        <w:rPr>
          <w:rFonts w:hint="eastAsia"/>
        </w:rPr>
        <w:t>全面开展“百企帮百村”行动，引导民营企业因地制宜选择产业、就业、公益帮扶等具体帮扶途径，以签约结对、村企共建、产业带动等为主要形式，通过大企帮村、小企帮户，一村多企、一企多户等帮扶机制，引导民营企业自觉自愿、量力而行，在村企互惠双赢的基础上，动员有实力的民营企业参与“百企帮百村”行动，为农户解决生产生活中面临的困难问题，带动发展壮大村集体经济。</w:t>
      </w:r>
    </w:p>
    <w:p>
      <w:pPr>
        <w:pStyle w:val="4"/>
        <w:ind w:firstLine="602" w:firstLineChars="200"/>
      </w:pPr>
      <w:bookmarkStart w:id="63" w:name="_Toc107350601"/>
      <w:r>
        <w:rPr>
          <w:rFonts w:hint="eastAsia"/>
        </w:rPr>
        <w:t>四、结合自身优势探索多途径壮大集体经济</w:t>
      </w:r>
      <w:bookmarkEnd w:id="63"/>
    </w:p>
    <w:p>
      <w:pPr>
        <w:pStyle w:val="5"/>
        <w:keepNext w:val="0"/>
        <w:keepLines w:val="0"/>
        <w:adjustRightInd w:val="0"/>
        <w:spacing w:before="0" w:after="0" w:line="240" w:lineRule="auto"/>
        <w:ind w:firstLine="562"/>
        <w:rPr>
          <w:rFonts w:ascii="Calibri" w:hAnsi="Calibri" w:cs="Calibri"/>
          <w:szCs w:val="28"/>
        </w:rPr>
      </w:pPr>
      <w:bookmarkStart w:id="64" w:name="_Toc107350602"/>
      <w:r>
        <w:rPr>
          <w:rFonts w:hint="eastAsia" w:ascii="Calibri" w:hAnsi="Calibri" w:cs="Calibri"/>
          <w:szCs w:val="28"/>
        </w:rPr>
        <w:t>（一）以点及面，发展壮大集体经济</w:t>
      </w:r>
      <w:bookmarkEnd w:id="64"/>
    </w:p>
    <w:p>
      <w:pPr>
        <w:ind w:firstLine="560"/>
      </w:pPr>
      <w:r>
        <w:rPr>
          <w:rFonts w:hint="eastAsia"/>
        </w:rPr>
        <w:t>在全县范围内，选取资源禀赋良好、农业农村发展取得一定成绩、自身发展意愿强烈的村镇作为试点，引导村集体结合自身优势、整合各方资源，探索不同途径，创新发展模式，发展集体经济，形成示范作用，带动全县范围内发展壮大集体经济。</w:t>
      </w:r>
    </w:p>
    <w:p>
      <w:pPr>
        <w:pStyle w:val="5"/>
        <w:keepNext w:val="0"/>
        <w:keepLines w:val="0"/>
        <w:adjustRightInd w:val="0"/>
        <w:spacing w:before="0" w:after="0" w:line="240" w:lineRule="auto"/>
        <w:ind w:firstLine="562"/>
        <w:rPr>
          <w:rFonts w:ascii="Calibri" w:hAnsi="Calibri" w:cs="Calibri"/>
          <w:szCs w:val="28"/>
        </w:rPr>
      </w:pPr>
      <w:bookmarkStart w:id="65" w:name="_Toc107350603"/>
      <w:r>
        <w:rPr>
          <w:rFonts w:hint="eastAsia" w:ascii="Calibri" w:hAnsi="Calibri" w:cs="Calibri"/>
          <w:szCs w:val="28"/>
        </w:rPr>
        <w:t>（二）鼓励多途径多模式发展集体经济</w:t>
      </w:r>
      <w:bookmarkEnd w:id="65"/>
    </w:p>
    <w:p>
      <w:pPr>
        <w:ind w:firstLine="560"/>
      </w:pPr>
      <w:r>
        <w:rPr>
          <w:rFonts w:hint="eastAsia"/>
        </w:rPr>
        <w:t>一是探索以资源有效利用为主的发展途径，壮大集体经济。鼓励村集体筹集资金投入领办土地股份合作组织支付的入股土地流转、土地整治、劳务等费用；生产经营过程中购买种子、化肥、农药、薄膜等农业生产资料；为规模生产经营配套服务的农业机械、喷药机械、农用运输机械、烘干设备等机具购置、仓储、冷藏等农业生产设施建设等提供费用支出。</w:t>
      </w:r>
    </w:p>
    <w:p>
      <w:pPr>
        <w:ind w:firstLine="560"/>
      </w:pPr>
      <w:r>
        <w:rPr>
          <w:rFonts w:hint="eastAsia"/>
        </w:rPr>
        <w:t>二是探索以提供服务为主的发展途径，壮大集体经济。鼓励村集体创办为农合作社、劳务合作社等服务实体，为各类市场主体尤其是粮食生产经营主体提供加工、流通、仓储、劳务等有偿服务所需的设施建设及设备购置等；发展农业生产性服务业、经营农业生产资料及建设农产品加工、经营、服务设施等；完善农产品营销体系、发展农村电子商务、建立农产品网上交易平台等所需建设及设备购置等。</w:t>
      </w:r>
    </w:p>
    <w:p>
      <w:pPr>
        <w:ind w:firstLine="560"/>
      </w:pPr>
      <w:r>
        <w:rPr>
          <w:rFonts w:hint="eastAsia"/>
        </w:rPr>
        <w:t>三是探索以物业管理为主的发展途径，壮大集体经济。鼓励村集体按照土地利用总体规划和城乡建设规划的要求，开发利用集体经营性建设用地、建设物业项目、发展物业经济，以及盘活村集体闲置办公用房、学校、仓库、礼堂等不动产和开展租赁经营等。</w:t>
      </w:r>
    </w:p>
    <w:p>
      <w:pPr>
        <w:ind w:firstLine="560"/>
      </w:pPr>
      <w:r>
        <w:rPr>
          <w:rFonts w:hint="eastAsia"/>
        </w:rPr>
        <w:t>四是探索以混合经营为主要内容的实现形式。鼓励村集体以集体资产参股农村合作组织和经营稳健的工商企业，发展混合所有制经济项目，实现多元化经营投资参股。</w:t>
      </w:r>
    </w:p>
    <w:p>
      <w:pPr>
        <w:pStyle w:val="5"/>
        <w:keepNext w:val="0"/>
        <w:keepLines w:val="0"/>
        <w:adjustRightInd w:val="0"/>
        <w:spacing w:before="0" w:after="0" w:line="240" w:lineRule="auto"/>
        <w:ind w:firstLine="562"/>
        <w:rPr>
          <w:rFonts w:ascii="Calibri" w:hAnsi="Calibri" w:cs="Calibri"/>
          <w:szCs w:val="28"/>
        </w:rPr>
      </w:pPr>
      <w:bookmarkStart w:id="66" w:name="_Toc107350604"/>
      <w:r>
        <w:rPr>
          <w:rFonts w:hint="eastAsia" w:ascii="Calibri" w:hAnsi="Calibri" w:cs="Calibri"/>
          <w:szCs w:val="28"/>
        </w:rPr>
        <w:t>（三）健全村集体收益分配管理机制</w:t>
      </w:r>
      <w:bookmarkEnd w:id="66"/>
    </w:p>
    <w:p>
      <w:pPr>
        <w:ind w:firstLine="560"/>
      </w:pPr>
      <w:r>
        <w:rPr>
          <w:rFonts w:hint="eastAsia"/>
        </w:rPr>
        <w:t>一是探索农村集体经济发展和分配新模式，加快农村土地集约流转，引入有实力的新型农业经营主体，在促进现代农业发展中将农业经营利润更多留给农民；鼓励征地后有留用地的村探索农村集体建设用地流转有效方式，盘活土地，提高价值，增加集体收入。二是探索建立农村集体经济组织成员按股份进行收益分配的长效机制，推广“保底收益+按股分红”模式，规范收益分配，促进农民财产性收入增长和集体资产保值增值；建立农民对集体资产股份有偿自愿退出机制，探索多种形式的利益补偿。三是加强农村集体建设用地流转收益的监督管理，实行专账管理、专项审计；完善农村集体资产风险管理机制，及时排查化解相关风险。四是强化村党组织领导，健全农村集体经济组织运作机制和民主议事机制，保护成员的合法权益。</w:t>
      </w:r>
    </w:p>
    <w:p>
      <w:pPr>
        <w:pStyle w:val="5"/>
        <w:keepNext w:val="0"/>
        <w:keepLines w:val="0"/>
        <w:adjustRightInd w:val="0"/>
        <w:spacing w:before="0" w:after="0" w:line="240" w:lineRule="auto"/>
        <w:ind w:firstLine="562"/>
        <w:rPr>
          <w:rFonts w:ascii="Calibri" w:hAnsi="Calibri" w:cs="Calibri"/>
          <w:szCs w:val="28"/>
        </w:rPr>
      </w:pPr>
      <w:bookmarkStart w:id="67" w:name="_Toc107350605"/>
      <w:r>
        <w:rPr>
          <w:rFonts w:hint="eastAsia" w:ascii="Calibri" w:hAnsi="Calibri" w:cs="Calibri"/>
          <w:szCs w:val="28"/>
        </w:rPr>
        <w:t>（四）完善政策支撑体系</w:t>
      </w:r>
      <w:bookmarkEnd w:id="67"/>
    </w:p>
    <w:p>
      <w:pPr>
        <w:ind w:firstLine="560"/>
      </w:pPr>
      <w:r>
        <w:rPr>
          <w:rFonts w:hint="eastAsia"/>
        </w:rPr>
        <w:t>结合博罗县县域自身资源优势，整合各级扶持资金，在《博罗县扶持村级集体经济发展试点资金管理暂行办法》的基础上，完善村级集体经济发展支撑政策，建立健全监管体系，将村级集体经济发展纳入绩效考核体系，加大宣传力度，将村级集体经济发展与乡村振兴相结合，以其为着力点全面推动美丽乡村建设。</w:t>
      </w:r>
    </w:p>
    <w:p>
      <w:pPr>
        <w:widowControl/>
        <w:spacing w:line="240" w:lineRule="auto"/>
        <w:ind w:firstLine="0" w:firstLineChars="0"/>
        <w:jc w:val="left"/>
        <w:rPr>
          <w:b/>
          <w:bCs/>
          <w:kern w:val="44"/>
          <w:sz w:val="32"/>
          <w:szCs w:val="44"/>
        </w:rPr>
      </w:pPr>
      <w:r>
        <w:br w:type="page"/>
      </w:r>
    </w:p>
    <w:p>
      <w:pPr>
        <w:pStyle w:val="3"/>
      </w:pPr>
      <w:bookmarkStart w:id="68" w:name="_Toc107350606"/>
      <w:r>
        <w:rPr>
          <w:rFonts w:hint="eastAsia"/>
        </w:rPr>
        <w:t>第六章 加快现代农业支撑体系建设</w:t>
      </w:r>
      <w:bookmarkEnd w:id="68"/>
    </w:p>
    <w:p>
      <w:pPr>
        <w:pStyle w:val="4"/>
        <w:ind w:firstLine="602" w:firstLineChars="200"/>
      </w:pPr>
      <w:bookmarkStart w:id="69" w:name="_Toc59719505"/>
      <w:bookmarkStart w:id="70" w:name="_Toc107350607"/>
      <w:r>
        <w:rPr>
          <w:rFonts w:hint="eastAsia"/>
        </w:rPr>
        <w:t>一、发展现代农业经营体系</w:t>
      </w:r>
      <w:bookmarkEnd w:id="69"/>
      <w:bookmarkEnd w:id="70"/>
    </w:p>
    <w:p>
      <w:pPr>
        <w:adjustRightInd w:val="0"/>
        <w:ind w:firstLine="560"/>
        <w:rPr>
          <w:rFonts w:cs="Times New Roman"/>
          <w:color w:val="000000"/>
          <w:szCs w:val="28"/>
        </w:rPr>
      </w:pPr>
      <w:r>
        <w:rPr>
          <w:rFonts w:hint="eastAsia" w:cs="Times New Roman"/>
          <w:color w:val="000000"/>
          <w:szCs w:val="28"/>
        </w:rPr>
        <w:t>积极</w:t>
      </w:r>
      <w:r>
        <w:rPr>
          <w:rFonts w:cs="Times New Roman"/>
          <w:color w:val="000000"/>
          <w:szCs w:val="28"/>
        </w:rPr>
        <w:t>探索农村土地集体所有制的有效实现形式，落实集体所有权、稳定农户承包权、放活土地经营权，加快构建以农户家庭经营为基础、合作与联合为纽带、社会化服务为支撑的立体式复合型现代农业经营体系。</w:t>
      </w:r>
    </w:p>
    <w:p>
      <w:pPr>
        <w:adjustRightInd w:val="0"/>
        <w:ind w:firstLine="562"/>
        <w:rPr>
          <w:rFonts w:cs="Times New Roman"/>
          <w:b/>
          <w:bCs/>
          <w:color w:val="000000"/>
          <w:szCs w:val="28"/>
        </w:rPr>
      </w:pPr>
      <w:r>
        <w:rPr>
          <w:rFonts w:hint="eastAsia" w:cs="Times New Roman"/>
          <w:b/>
          <w:bCs/>
          <w:color w:val="000000"/>
          <w:szCs w:val="28"/>
        </w:rPr>
        <w:t>（一）培育新型职业农民</w:t>
      </w:r>
    </w:p>
    <w:p>
      <w:pPr>
        <w:adjustRightInd w:val="0"/>
        <w:ind w:firstLine="560"/>
        <w:rPr>
          <w:rFonts w:cs="Times New Roman"/>
          <w:color w:val="000000"/>
          <w:szCs w:val="28"/>
        </w:rPr>
      </w:pPr>
      <w:r>
        <w:rPr>
          <w:rFonts w:hint="eastAsia" w:cs="Times New Roman"/>
          <w:color w:val="000000"/>
          <w:szCs w:val="28"/>
        </w:rPr>
        <w:t>大力实施高素质精勤农民培育工程，建立健全教育培训、认定管理、人才服务和政策扶持“四位一体”衔接配套的高素质农民培育制度体系。突出“精”“勤”理念，加大投入、整合资源、创新方式，依托职业院校等各类培训主体，推广“产学合作”“职业培训包”“互联网+”等培训方式，提高培训便利度和可及性，培育各类农业职业经理人、合作社管理人员、家庭农场主、创业致富带头人、专业技能和专业服务型高素质精勤职业农民，把培训送到田间地头、千家万户，力争到202</w:t>
      </w:r>
      <w:r>
        <w:rPr>
          <w:rFonts w:cs="Times New Roman"/>
          <w:color w:val="000000"/>
          <w:szCs w:val="28"/>
        </w:rPr>
        <w:t>5</w:t>
      </w:r>
      <w:r>
        <w:rPr>
          <w:rFonts w:hint="eastAsia" w:cs="Times New Roman"/>
          <w:color w:val="000000"/>
          <w:szCs w:val="28"/>
        </w:rPr>
        <w:t>年，基本实现50岁以下农业从业人员全员培训。</w:t>
      </w:r>
    </w:p>
    <w:p>
      <w:pPr>
        <w:adjustRightInd w:val="0"/>
        <w:ind w:firstLine="562"/>
        <w:rPr>
          <w:rFonts w:cs="Times New Roman"/>
          <w:b/>
          <w:bCs/>
          <w:color w:val="000000"/>
          <w:szCs w:val="28"/>
        </w:rPr>
      </w:pPr>
      <w:r>
        <w:rPr>
          <w:rFonts w:hint="eastAsia" w:cs="Times New Roman"/>
          <w:b/>
          <w:bCs/>
          <w:color w:val="000000"/>
          <w:szCs w:val="28"/>
        </w:rPr>
        <w:t>（二）</w:t>
      </w:r>
      <w:r>
        <w:rPr>
          <w:rFonts w:cs="Times New Roman"/>
          <w:b/>
          <w:bCs/>
          <w:color w:val="000000"/>
          <w:szCs w:val="28"/>
        </w:rPr>
        <w:t>发展适度规模的家庭经营</w:t>
      </w:r>
    </w:p>
    <w:p>
      <w:pPr>
        <w:adjustRightInd w:val="0"/>
        <w:ind w:firstLine="560"/>
        <w:rPr>
          <w:rFonts w:cs="Times New Roman"/>
          <w:color w:val="000000"/>
          <w:szCs w:val="28"/>
        </w:rPr>
      </w:pPr>
      <w:r>
        <w:rPr>
          <w:rFonts w:cs="Times New Roman"/>
          <w:color w:val="000000"/>
          <w:szCs w:val="28"/>
        </w:rPr>
        <w:t>家庭经营是现代农业发展的基本经营方式之一，在农业生产经营中居于基础性地位。必须坚持家庭经营在农业中的基础性地位，加快体制机制创新步伐，巩固和完善农村基本经营制度，稳定土地承包关系，推动农村承包土地所有权、承包权、经营权“三权分置”改革深入实施，长久保障和实现农户依法承包集体土地的基本权利，发展适度规模的家庭经营，使农村基本经营制度焕发出新的生机活力。</w:t>
      </w:r>
    </w:p>
    <w:p>
      <w:pPr>
        <w:adjustRightInd w:val="0"/>
        <w:ind w:firstLine="562"/>
        <w:rPr>
          <w:rFonts w:cs="Times New Roman"/>
          <w:b/>
          <w:bCs/>
          <w:color w:val="000000"/>
          <w:szCs w:val="28"/>
        </w:rPr>
      </w:pPr>
      <w:r>
        <w:rPr>
          <w:rFonts w:hint="eastAsia" w:cs="Times New Roman"/>
          <w:b/>
          <w:bCs/>
          <w:color w:val="000000"/>
          <w:szCs w:val="28"/>
        </w:rPr>
        <w:t>（三）加快农民合作社规范化发展</w:t>
      </w:r>
    </w:p>
    <w:p>
      <w:pPr>
        <w:adjustRightInd w:val="0"/>
        <w:ind w:firstLine="560"/>
        <w:rPr>
          <w:rFonts w:cs="Times New Roman"/>
          <w:color w:val="000000"/>
          <w:szCs w:val="28"/>
        </w:rPr>
      </w:pPr>
      <w:r>
        <w:rPr>
          <w:rFonts w:hint="eastAsia" w:cs="Times New Roman"/>
          <w:color w:val="000000"/>
          <w:szCs w:val="28"/>
        </w:rPr>
        <w:t>全面推进合作社在设立登记、建章立制、明晰产权、完善机构、利益联结、统一服务、民主管理等方面开展规范化建设；大力培育发展优势产业合作社，引导农民加强联合与合作，发展土地股份合作社、农业旅游合作社、物业经济合作社、农民合作社联社等多种形式的新型农民合作社，引导农民专业合作社拓宽服务领域，深入推进示范社创建行动；引导有条件的合作社开展内部信用合作，鼓励合作社开展“农超对接”、“农校对接”、“农社对接”，拓宽合作社产品营销渠道；扶持农民专业合作社兴办合作社加工企业，引导合作社与农业龙头企业开展联合与合作，提高合作社的农产品加工能力。</w:t>
      </w:r>
    </w:p>
    <w:p>
      <w:pPr>
        <w:adjustRightInd w:val="0"/>
        <w:ind w:firstLine="562"/>
        <w:rPr>
          <w:rFonts w:cs="Times New Roman"/>
          <w:b/>
          <w:bCs/>
          <w:color w:val="000000"/>
          <w:szCs w:val="28"/>
        </w:rPr>
      </w:pPr>
      <w:r>
        <w:rPr>
          <w:rFonts w:hint="eastAsia" w:cs="Times New Roman"/>
          <w:b/>
          <w:bCs/>
          <w:color w:val="000000"/>
          <w:szCs w:val="28"/>
        </w:rPr>
        <w:t>（四）壮大农业产业化龙头企业</w:t>
      </w:r>
    </w:p>
    <w:p>
      <w:pPr>
        <w:adjustRightInd w:val="0"/>
        <w:ind w:firstLine="560"/>
        <w:rPr>
          <w:rFonts w:cs="Times New Roman"/>
          <w:b/>
          <w:bCs/>
          <w:color w:val="000000"/>
          <w:szCs w:val="28"/>
        </w:rPr>
      </w:pPr>
      <w:r>
        <w:rPr>
          <w:rFonts w:hint="eastAsia" w:cs="Times New Roman"/>
          <w:color w:val="000000"/>
          <w:szCs w:val="28"/>
        </w:rPr>
        <w:t>坚持扶大扶优，加大对重点企业的扶持力度，大力引进带动作用强、附加值高的农产品精深加工企业和品牌，鼓励龙头企业积极参与本地的农业结构调整和农产品标准化生产基地建设，支持以龙头企业为依托，建立健全大型农产品生产、加工和销售基地，逐步形成专业化、标准化、规模化的农业产业带；扩大财政资金的支持覆盖面，采取银农合作、贷款贴息、项目资金扶持等方式，重点扶持现有和新进的农产品加工、农产品物流配送、观光农业、创意农业等类型的龙头企业，对龙头企业开展产品研发、农产品物流和精深加工项目进行重点扶持。</w:t>
      </w:r>
    </w:p>
    <w:p>
      <w:pPr>
        <w:pStyle w:val="4"/>
        <w:ind w:firstLine="602" w:firstLineChars="200"/>
      </w:pPr>
      <w:bookmarkStart w:id="71" w:name="_Toc107350608"/>
      <w:bookmarkStart w:id="72" w:name="_Toc59719506"/>
      <w:r>
        <w:rPr>
          <w:rFonts w:hint="eastAsia"/>
        </w:rPr>
        <w:t>二、创新现代农业科技支撑体系</w:t>
      </w:r>
      <w:bookmarkEnd w:id="71"/>
      <w:bookmarkEnd w:id="72"/>
    </w:p>
    <w:p>
      <w:pPr>
        <w:adjustRightInd w:val="0"/>
        <w:ind w:firstLine="560"/>
        <w:rPr>
          <w:rFonts w:cs="Times New Roman"/>
          <w:color w:val="000000"/>
          <w:szCs w:val="28"/>
        </w:rPr>
      </w:pPr>
      <w:r>
        <w:rPr>
          <w:rFonts w:hint="eastAsia" w:cs="Times New Roman"/>
          <w:color w:val="000000"/>
          <w:szCs w:val="28"/>
        </w:rPr>
        <w:t>坚持实施科教兴农战略，加大科技体制改革创新，积极推进农业科技创新和科技成果转化，不断壮大农业科技创新人才队伍，全县农业科技资源配置更加合理。</w:t>
      </w:r>
    </w:p>
    <w:p>
      <w:pPr>
        <w:pStyle w:val="5"/>
        <w:keepNext w:val="0"/>
        <w:keepLines w:val="0"/>
        <w:adjustRightInd w:val="0"/>
        <w:spacing w:before="0" w:after="0" w:line="240" w:lineRule="auto"/>
        <w:ind w:firstLine="562"/>
        <w:rPr>
          <w:rFonts w:cs="Times New Roman"/>
          <w:szCs w:val="28"/>
        </w:rPr>
      </w:pPr>
      <w:bookmarkStart w:id="73" w:name="_Toc107350609"/>
      <w:r>
        <w:rPr>
          <w:rFonts w:hint="eastAsia" w:cs="Times New Roman"/>
          <w:szCs w:val="28"/>
        </w:rPr>
        <w:t>（一）开展校地合作，创新农业科技转化机制</w:t>
      </w:r>
      <w:bookmarkEnd w:id="73"/>
    </w:p>
    <w:p>
      <w:pPr>
        <w:adjustRightInd w:val="0"/>
        <w:ind w:firstLine="560"/>
        <w:rPr>
          <w:rFonts w:cs="Times New Roman"/>
          <w:szCs w:val="28"/>
        </w:rPr>
      </w:pPr>
      <w:r>
        <w:rPr>
          <w:rFonts w:hint="eastAsia" w:cs="Times New Roman"/>
          <w:szCs w:val="28"/>
        </w:rPr>
        <w:t>积极促进科研与产业联动融合，加强农业可持续发展科技研究，在种业创新、生态环境修复、高效节水、农田生态、农业废弃物资源化利用、环境治理等方面推动协同攻关。与广东省农业科学院、华南农业大学等科研院所开展多方位合作，鼓励科研院校与农业龙头企业联合建立产学研合作关系，共同搭建研发合作平台，形成“科研——产业”联动融合的技术研发体系。鼓励农业企业与科研院所达成合作协议，科研院所负责新技术新品种的研发，企业负责新技术新品种的应用于推广，农户负责最基础的种植或养殖新技术有偿使用，建立“科研单位+企业+农户”的科技创新推广体系，推行知识的有偿使用和加大产权保护力度，提高科技创新动力。</w:t>
      </w:r>
    </w:p>
    <w:p>
      <w:pPr>
        <w:pStyle w:val="5"/>
        <w:keepNext w:val="0"/>
        <w:keepLines w:val="0"/>
        <w:adjustRightInd w:val="0"/>
        <w:spacing w:before="0" w:after="0" w:line="240" w:lineRule="auto"/>
        <w:ind w:firstLine="562"/>
        <w:rPr>
          <w:rFonts w:cs="Times New Roman"/>
          <w:szCs w:val="28"/>
        </w:rPr>
      </w:pPr>
      <w:bookmarkStart w:id="74" w:name="_Toc107350610"/>
      <w:r>
        <w:rPr>
          <w:rFonts w:hint="eastAsia" w:cs="Times New Roman"/>
          <w:szCs w:val="28"/>
        </w:rPr>
        <w:t>（二）完善农业科技推广体系</w:t>
      </w:r>
      <w:bookmarkEnd w:id="74"/>
    </w:p>
    <w:p>
      <w:pPr>
        <w:adjustRightInd w:val="0"/>
        <w:ind w:firstLine="560"/>
        <w:rPr>
          <w:rFonts w:cs="Times New Roman"/>
          <w:szCs w:val="28"/>
        </w:rPr>
      </w:pPr>
      <w:r>
        <w:rPr>
          <w:rFonts w:hint="eastAsia" w:cs="Times New Roman"/>
          <w:color w:val="000000"/>
          <w:szCs w:val="28"/>
        </w:rPr>
        <w:t>按照“统一规划、适度超前，突出重点、急需先行，区域布局、分类指导，示范带动、梯度推进”的原则和可持续发展的要求，积极推进技术创新和体制创新，引入市场竞争机制，建立健全现代农业科技创新推广体系和农业科技服务体系。加大种子工程、科技入户、保护性耕作等重大工程建设力度，加强科技成果转化和技术推广，加大农作物高产优质品种和农业先进</w:t>
      </w:r>
      <w:r>
        <w:rPr>
          <w:rFonts w:hint="eastAsia" w:cs="Times New Roman"/>
          <w:szCs w:val="28"/>
        </w:rPr>
        <w:t>适用技术推广应用。以博罗县农业农村综合服务中心为主体，加大新技术、新良种、新产品、新技术的引进、实验、示范、推广和技术攻关以及科研成果转化推广力度，探索建立“专家＋试验示范基地+农技推广人员＋科技示范户＋辐射带动户”的技术服务模式，不断健全完善乡镇（街道）、村农业科技推广网络。</w:t>
      </w:r>
    </w:p>
    <w:p>
      <w:pPr>
        <w:pStyle w:val="5"/>
        <w:keepNext w:val="0"/>
        <w:keepLines w:val="0"/>
        <w:adjustRightInd w:val="0"/>
        <w:spacing w:before="0" w:after="0" w:line="240" w:lineRule="auto"/>
        <w:ind w:firstLine="562"/>
        <w:rPr>
          <w:rFonts w:cs="Times New Roman"/>
          <w:szCs w:val="28"/>
        </w:rPr>
      </w:pPr>
      <w:bookmarkStart w:id="75" w:name="_Toc107350611"/>
      <w:r>
        <w:rPr>
          <w:rFonts w:hint="eastAsia" w:cs="Times New Roman"/>
          <w:szCs w:val="28"/>
        </w:rPr>
        <w:t>（三）加强农业信息化建设，提升农业数字化水平</w:t>
      </w:r>
      <w:bookmarkEnd w:id="75"/>
    </w:p>
    <w:p>
      <w:pPr>
        <w:adjustRightInd w:val="0"/>
        <w:ind w:firstLine="560"/>
        <w:rPr>
          <w:rFonts w:cs="Times New Roman"/>
          <w:color w:val="000000"/>
          <w:szCs w:val="28"/>
        </w:rPr>
      </w:pPr>
      <w:r>
        <w:rPr>
          <w:rFonts w:hint="eastAsia" w:cs="Times New Roman"/>
          <w:color w:val="000000"/>
          <w:szCs w:val="28"/>
        </w:rPr>
        <w:t>以农业园区为重点，面向集约、高产、高效、生态、安全的现代农业发展需求，完善农业物联网基础设施、建立农业大数据平台、4G、5G网络基础设施建设等，综合运用遥感技术、无线传感器技术、移动通信技术、自动化技术、作物安全生产与高效栽培技术、病虫害综合防治技术、土壤肥料资源高效利用技术等，打造集物联网、大数据、云计算等新兴技术于一体的智慧农业示范园区，实现跨学科、多领域高新技术综合应用支撑下的环境信息精确监测、生产过程精准管理、“肥-水-药”智能实施、病虫害智能诊断与监控预警、农产品质量安全监管与追溯等目标。同时积极探索不同种类农产品、不同类型农业生产经营主体农业物联网技术应用模式及可持续商业模式，鼓励企业、科研院所加强对农业物联网的重视与研究，不断完善其标准体系与运营机制的建设，推动农业物联网应用的标准化、规模化与产业化。</w:t>
      </w:r>
    </w:p>
    <w:p>
      <w:pPr>
        <w:pStyle w:val="4"/>
        <w:ind w:firstLine="602" w:firstLineChars="200"/>
      </w:pPr>
      <w:bookmarkStart w:id="76" w:name="_Toc107350612"/>
      <w:bookmarkStart w:id="77" w:name="_Toc59719507"/>
      <w:r>
        <w:rPr>
          <w:rFonts w:hint="eastAsia"/>
        </w:rPr>
        <w:t>三、完善农产品流通体系</w:t>
      </w:r>
      <w:bookmarkEnd w:id="76"/>
      <w:bookmarkEnd w:id="77"/>
    </w:p>
    <w:p>
      <w:pPr>
        <w:adjustRightInd w:val="0"/>
        <w:ind w:firstLine="560"/>
        <w:rPr>
          <w:rFonts w:cs="Times New Roman"/>
          <w:color w:val="000000"/>
          <w:szCs w:val="28"/>
        </w:rPr>
      </w:pPr>
      <w:r>
        <w:rPr>
          <w:rFonts w:cs="Times New Roman"/>
          <w:color w:val="000000"/>
          <w:szCs w:val="28"/>
        </w:rPr>
        <w:t>把农产品市场体系建设作为农业转型升级的重要保障，建立健全农产品市场流通体系，推进农村电子商务发展，不断提升农业市场化水平。</w:t>
      </w:r>
    </w:p>
    <w:p>
      <w:pPr>
        <w:pStyle w:val="5"/>
        <w:keepNext w:val="0"/>
        <w:keepLines w:val="0"/>
        <w:adjustRightInd w:val="0"/>
        <w:spacing w:before="0" w:after="0" w:line="240" w:lineRule="auto"/>
        <w:ind w:firstLine="562"/>
        <w:rPr>
          <w:rFonts w:cs="Times New Roman"/>
          <w:szCs w:val="28"/>
        </w:rPr>
      </w:pPr>
      <w:bookmarkStart w:id="78" w:name="_Toc107350613"/>
      <w:r>
        <w:rPr>
          <w:rFonts w:hint="eastAsia" w:cs="Times New Roman"/>
          <w:szCs w:val="28"/>
        </w:rPr>
        <w:t>（一）</w:t>
      </w:r>
      <w:r>
        <w:rPr>
          <w:rFonts w:cs="Times New Roman"/>
          <w:szCs w:val="28"/>
        </w:rPr>
        <w:t>加快完善农产品市场流通</w:t>
      </w:r>
      <w:r>
        <w:rPr>
          <w:rFonts w:hint="eastAsia" w:cs="Times New Roman"/>
          <w:szCs w:val="28"/>
        </w:rPr>
        <w:t>体系</w:t>
      </w:r>
      <w:bookmarkEnd w:id="78"/>
    </w:p>
    <w:p>
      <w:pPr>
        <w:adjustRightInd w:val="0"/>
        <w:ind w:firstLine="560"/>
        <w:rPr>
          <w:rFonts w:cs="Times New Roman"/>
          <w:szCs w:val="28"/>
        </w:rPr>
      </w:pPr>
      <w:r>
        <w:rPr>
          <w:rFonts w:hint="eastAsia" w:cs="Times New Roman"/>
          <w:szCs w:val="28"/>
        </w:rPr>
        <w:t>促进</w:t>
      </w:r>
      <w:r>
        <w:rPr>
          <w:rFonts w:cs="Times New Roman"/>
          <w:szCs w:val="28"/>
        </w:rPr>
        <w:t>农村</w:t>
      </w:r>
      <w:r>
        <w:rPr>
          <w:rFonts w:hint="eastAsia" w:cs="Times New Roman"/>
          <w:szCs w:val="28"/>
        </w:rPr>
        <w:t>货物</w:t>
      </w:r>
      <w:r>
        <w:rPr>
          <w:rFonts w:cs="Times New Roman"/>
          <w:szCs w:val="28"/>
        </w:rPr>
        <w:t>流通体系和农产品市场</w:t>
      </w:r>
      <w:r>
        <w:rPr>
          <w:rFonts w:hint="eastAsia" w:cs="Times New Roman"/>
          <w:szCs w:val="28"/>
        </w:rPr>
        <w:t>流通</w:t>
      </w:r>
      <w:r>
        <w:rPr>
          <w:rFonts w:cs="Times New Roman"/>
          <w:szCs w:val="28"/>
        </w:rPr>
        <w:t>体系转型升级</w:t>
      </w:r>
      <w:r>
        <w:rPr>
          <w:rFonts w:hint="eastAsia" w:cs="Times New Roman"/>
          <w:szCs w:val="28"/>
        </w:rPr>
        <w:t>。</w:t>
      </w:r>
      <w:r>
        <w:rPr>
          <w:rFonts w:cs="Times New Roman"/>
          <w:szCs w:val="28"/>
        </w:rPr>
        <w:t>积极发展连锁经营、产品配送等新型业态，全面推进农产品批发市场改造升级</w:t>
      </w:r>
      <w:r>
        <w:rPr>
          <w:rFonts w:hint="eastAsia" w:cs="Times New Roman"/>
          <w:szCs w:val="28"/>
        </w:rPr>
        <w:t>，完善基础设施，提升市场管理信息化水平。支持农产品物流中心建设，大力发展农产品冷链物流，鼓励和支持企业加大蔬菜、水果、水产等大宗时令农产品冷链加工仓储物流建设投入，构建县、镇（街道）、村现代冷链物流体系。大力发展订单农业、“农批对接”、“农超对接”等新型营销和流通模式，提高鲜活农产品直供直销比例。</w:t>
      </w:r>
    </w:p>
    <w:p>
      <w:pPr>
        <w:pStyle w:val="5"/>
        <w:keepNext w:val="0"/>
        <w:keepLines w:val="0"/>
        <w:adjustRightInd w:val="0"/>
        <w:spacing w:before="0" w:after="0" w:line="240" w:lineRule="auto"/>
        <w:ind w:firstLine="562"/>
        <w:rPr>
          <w:rFonts w:cs="Times New Roman"/>
          <w:szCs w:val="28"/>
        </w:rPr>
      </w:pPr>
      <w:bookmarkStart w:id="79" w:name="_Toc107350614"/>
      <w:r>
        <w:rPr>
          <w:rFonts w:hint="eastAsia" w:cs="Times New Roman"/>
          <w:szCs w:val="28"/>
        </w:rPr>
        <w:t>（二）</w:t>
      </w:r>
      <w:r>
        <w:rPr>
          <w:rFonts w:cs="Times New Roman"/>
          <w:szCs w:val="28"/>
        </w:rPr>
        <w:t>促进农村电子商务发展</w:t>
      </w:r>
      <w:bookmarkEnd w:id="79"/>
    </w:p>
    <w:p>
      <w:pPr>
        <w:adjustRightInd w:val="0"/>
        <w:ind w:firstLine="560"/>
        <w:rPr>
          <w:rFonts w:cs="Times New Roman"/>
          <w:color w:val="000000"/>
          <w:szCs w:val="28"/>
        </w:rPr>
      </w:pPr>
      <w:r>
        <w:rPr>
          <w:rFonts w:cs="Times New Roman"/>
          <w:color w:val="000000"/>
          <w:szCs w:val="28"/>
        </w:rPr>
        <w:t>大力发展农村电子商务，</w:t>
      </w:r>
      <w:r>
        <w:rPr>
          <w:rFonts w:hint="eastAsia" w:cs="Times New Roman"/>
          <w:color w:val="000000"/>
          <w:szCs w:val="28"/>
        </w:rPr>
        <w:t>不断增强县、镇（街道）、村电子商务服务站（点）和配送中心服务功能，支持农产品经营企业、农业合作社等积极开展农产品网上销售业务。</w:t>
      </w:r>
      <w:r>
        <w:rPr>
          <w:rFonts w:cs="Times New Roman"/>
          <w:color w:val="000000"/>
          <w:szCs w:val="28"/>
        </w:rPr>
        <w:t>鼓励社会资本参与休闲农业宣传推介平台建设，加快构建网络营销、网络预订和网上支付等公共服务平台，推广电子商务营销渠道，大力发展网上销售、电商交易等新型营销和流通模式。大力推进</w:t>
      </w:r>
      <w:r>
        <w:rPr>
          <w:rFonts w:ascii="仿宋" w:hAnsi="仿宋" w:cs="Times New Roman"/>
          <w:color w:val="000000"/>
          <w:szCs w:val="28"/>
        </w:rPr>
        <w:t>“互联网+”</w:t>
      </w:r>
      <w:r>
        <w:rPr>
          <w:rFonts w:cs="Times New Roman"/>
          <w:color w:val="000000"/>
          <w:szCs w:val="28"/>
        </w:rPr>
        <w:t>现代农业，积极应用</w:t>
      </w:r>
      <w:r>
        <w:rPr>
          <w:rFonts w:hint="eastAsia" w:cs="Times New Roman"/>
          <w:color w:val="000000"/>
          <w:szCs w:val="28"/>
        </w:rPr>
        <w:t>互联</w:t>
      </w:r>
      <w:r>
        <w:rPr>
          <w:rFonts w:cs="Times New Roman"/>
          <w:color w:val="000000"/>
          <w:szCs w:val="28"/>
        </w:rPr>
        <w:t>网、云计算、大数据、移动互联等现代信息技术，推动农业全产业链改造升级。</w:t>
      </w:r>
    </w:p>
    <w:p>
      <w:pPr>
        <w:pStyle w:val="4"/>
        <w:ind w:firstLine="602" w:firstLineChars="200"/>
      </w:pPr>
      <w:bookmarkStart w:id="80" w:name="_Toc59719508"/>
      <w:bookmarkStart w:id="81" w:name="_Toc107350615"/>
      <w:r>
        <w:rPr>
          <w:rFonts w:hint="eastAsia"/>
        </w:rPr>
        <w:t>四、构筑农产品质量安全监管体系</w:t>
      </w:r>
      <w:bookmarkEnd w:id="80"/>
      <w:bookmarkEnd w:id="81"/>
    </w:p>
    <w:p>
      <w:pPr>
        <w:adjustRightInd w:val="0"/>
        <w:ind w:firstLine="560"/>
        <w:rPr>
          <w:rFonts w:cs="Times New Roman"/>
          <w:color w:val="000000"/>
          <w:szCs w:val="28"/>
        </w:rPr>
      </w:pPr>
      <w:r>
        <w:rPr>
          <w:rFonts w:hint="eastAsia" w:cs="Times New Roman"/>
          <w:color w:val="000000"/>
          <w:szCs w:val="28"/>
        </w:rPr>
        <w:t>按照发展“高产、优质、高效、生态、安全”的要求，把农产品质量安全作为“十四五”期间重点任务，积极构建包含标准化体系指导、生产条件控制、投入品管理、生产过程监控和产品质量安全检测的农产品质量安全保障体系，建立农产品质量安全监管长效机制</w:t>
      </w:r>
      <w:r>
        <w:rPr>
          <w:rFonts w:cs="Times New Roman"/>
          <w:color w:val="000000"/>
          <w:szCs w:val="28"/>
        </w:rPr>
        <w:t>。</w:t>
      </w:r>
    </w:p>
    <w:p>
      <w:pPr>
        <w:pStyle w:val="5"/>
        <w:keepNext w:val="0"/>
        <w:keepLines w:val="0"/>
        <w:adjustRightInd w:val="0"/>
        <w:spacing w:before="0" w:after="0" w:line="240" w:lineRule="auto"/>
        <w:ind w:firstLine="562"/>
        <w:rPr>
          <w:rFonts w:cs="Times New Roman"/>
          <w:szCs w:val="28"/>
        </w:rPr>
      </w:pPr>
      <w:bookmarkStart w:id="82" w:name="_Toc107350616"/>
      <w:r>
        <w:rPr>
          <w:rFonts w:hint="eastAsia" w:cs="Times New Roman"/>
          <w:szCs w:val="28"/>
        </w:rPr>
        <w:t>（一）</w:t>
      </w:r>
      <w:r>
        <w:rPr>
          <w:rFonts w:cs="Times New Roman"/>
          <w:szCs w:val="28"/>
        </w:rPr>
        <w:t>强化农产品全程监管</w:t>
      </w:r>
      <w:bookmarkEnd w:id="82"/>
    </w:p>
    <w:p>
      <w:pPr>
        <w:adjustRightInd w:val="0"/>
        <w:ind w:firstLine="562"/>
        <w:rPr>
          <w:rFonts w:cs="Times New Roman"/>
          <w:color w:val="000000"/>
          <w:szCs w:val="28"/>
        </w:rPr>
      </w:pPr>
      <w:r>
        <w:rPr>
          <w:rFonts w:hint="eastAsia" w:cs="Times New Roman"/>
          <w:b/>
          <w:bCs/>
          <w:color w:val="000000"/>
          <w:szCs w:val="28"/>
        </w:rPr>
        <w:t>强化源头控制。</w:t>
      </w:r>
      <w:r>
        <w:rPr>
          <w:rFonts w:hint="eastAsia" w:cs="Times New Roman"/>
          <w:color w:val="000000"/>
          <w:szCs w:val="28"/>
        </w:rPr>
        <w:t>在制定标准化生产技术体系的基础上，同科研院校、行业专家开展合作，不断提升农药化肥施用关键技术和病虫害防治关键技术，加强技术指导和服务，做好病虫监测预报工作，及时有效控制病虫害发生率，做好农产品质量安全的源头控制；加强农资经营单位的经营档案、台账建设，规范农资采购、销售和应用制度，严格农资准入机制，做到源头把控、统一供销。</w:t>
      </w:r>
    </w:p>
    <w:p>
      <w:pPr>
        <w:adjustRightInd w:val="0"/>
        <w:ind w:firstLine="562"/>
        <w:rPr>
          <w:rFonts w:cs="Times New Roman"/>
          <w:color w:val="000000"/>
          <w:szCs w:val="28"/>
        </w:rPr>
      </w:pPr>
      <w:r>
        <w:rPr>
          <w:rFonts w:cs="Times New Roman"/>
          <w:b/>
          <w:bCs/>
          <w:color w:val="000000"/>
          <w:szCs w:val="28"/>
        </w:rPr>
        <w:t>建立健全农产品质量安全</w:t>
      </w:r>
      <w:r>
        <w:rPr>
          <w:rFonts w:hint="eastAsia" w:cs="Times New Roman"/>
          <w:b/>
          <w:bCs/>
          <w:color w:val="000000"/>
          <w:szCs w:val="28"/>
        </w:rPr>
        <w:t>全过程</w:t>
      </w:r>
      <w:r>
        <w:rPr>
          <w:rFonts w:cs="Times New Roman"/>
          <w:b/>
          <w:bCs/>
          <w:color w:val="000000"/>
          <w:szCs w:val="28"/>
        </w:rPr>
        <w:t>监管体系</w:t>
      </w:r>
      <w:r>
        <w:rPr>
          <w:rFonts w:hint="eastAsia" w:cs="Times New Roman"/>
          <w:b/>
          <w:bCs/>
          <w:color w:val="000000"/>
          <w:szCs w:val="28"/>
        </w:rPr>
        <w:t>。</w:t>
      </w:r>
      <w:r>
        <w:rPr>
          <w:rFonts w:hint="eastAsia" w:cs="Times New Roman"/>
          <w:color w:val="000000"/>
          <w:szCs w:val="28"/>
        </w:rPr>
        <w:t>探索</w:t>
      </w:r>
      <w:r>
        <w:rPr>
          <w:rFonts w:cs="Times New Roman"/>
          <w:color w:val="000000"/>
          <w:szCs w:val="28"/>
        </w:rPr>
        <w:t>农产品质量安全可追溯制度、召回制度、市场准入和退出制度，建立全程可追溯、互联共享的农产品质量和食品安全信息平台</w:t>
      </w:r>
      <w:r>
        <w:rPr>
          <w:rFonts w:hint="eastAsia" w:cs="Times New Roman"/>
          <w:color w:val="000000"/>
          <w:szCs w:val="28"/>
        </w:rPr>
        <w:t>；</w:t>
      </w:r>
      <w:r>
        <w:rPr>
          <w:rFonts w:cs="Times New Roman"/>
          <w:color w:val="000000"/>
          <w:szCs w:val="28"/>
        </w:rPr>
        <w:t>制定实施农产品质量安全监测计划，加强质量安全信息分析及预警，加快提升农产品质量安全全程监管能力。试点推行重要农产品产地准出和市场准入制度，健全从农田到餐桌的农产品质量安全</w:t>
      </w:r>
      <w:r>
        <w:rPr>
          <w:rFonts w:hint="eastAsia" w:cs="Times New Roman"/>
          <w:color w:val="000000"/>
          <w:szCs w:val="28"/>
        </w:rPr>
        <w:t>的</w:t>
      </w:r>
      <w:r>
        <w:rPr>
          <w:rFonts w:cs="Times New Roman"/>
          <w:color w:val="000000"/>
          <w:szCs w:val="28"/>
        </w:rPr>
        <w:t>全过程监管体系，对产地环境、投入品使用、生产过程、生产质量实行全程监控。</w:t>
      </w:r>
    </w:p>
    <w:p>
      <w:pPr>
        <w:pStyle w:val="5"/>
        <w:keepNext w:val="0"/>
        <w:keepLines w:val="0"/>
        <w:adjustRightInd w:val="0"/>
        <w:spacing w:before="0" w:after="0" w:line="240" w:lineRule="auto"/>
        <w:ind w:firstLine="562"/>
        <w:rPr>
          <w:rFonts w:cs="Times New Roman"/>
          <w:szCs w:val="28"/>
        </w:rPr>
      </w:pPr>
      <w:bookmarkStart w:id="83" w:name="_Toc107350617"/>
      <w:r>
        <w:rPr>
          <w:rFonts w:hint="eastAsia" w:cs="Times New Roman"/>
          <w:szCs w:val="28"/>
        </w:rPr>
        <w:t>（</w:t>
      </w:r>
      <w:r>
        <w:rPr>
          <w:rFonts w:cs="Times New Roman"/>
          <w:szCs w:val="28"/>
        </w:rPr>
        <w:t>二</w:t>
      </w:r>
      <w:r>
        <w:rPr>
          <w:rFonts w:hint="eastAsia" w:cs="Times New Roman"/>
          <w:szCs w:val="28"/>
        </w:rPr>
        <w:t>）</w:t>
      </w:r>
      <w:r>
        <w:rPr>
          <w:rFonts w:cs="Times New Roman"/>
          <w:szCs w:val="28"/>
        </w:rPr>
        <w:t>加强</w:t>
      </w:r>
      <w:r>
        <w:rPr>
          <w:rFonts w:hint="eastAsia" w:cs="Times New Roman"/>
          <w:szCs w:val="28"/>
        </w:rPr>
        <w:t>农产品</w:t>
      </w:r>
      <w:r>
        <w:rPr>
          <w:rFonts w:cs="Times New Roman"/>
          <w:szCs w:val="28"/>
        </w:rPr>
        <w:t>品牌建设</w:t>
      </w:r>
      <w:bookmarkEnd w:id="83"/>
    </w:p>
    <w:p>
      <w:pPr>
        <w:adjustRightInd w:val="0"/>
        <w:ind w:firstLine="562"/>
        <w:rPr>
          <w:rFonts w:cs="Times New Roman"/>
          <w:szCs w:val="28"/>
        </w:rPr>
      </w:pPr>
      <w:r>
        <w:rPr>
          <w:rFonts w:cs="Times New Roman"/>
          <w:b/>
          <w:bCs/>
          <w:szCs w:val="28"/>
        </w:rPr>
        <w:t>切实加强农业标准化建设</w:t>
      </w:r>
      <w:r>
        <w:rPr>
          <w:rFonts w:hint="eastAsia" w:cs="Times New Roman"/>
          <w:b/>
          <w:bCs/>
          <w:szCs w:val="28"/>
        </w:rPr>
        <w:t>。</w:t>
      </w:r>
      <w:r>
        <w:rPr>
          <w:rFonts w:cs="Times New Roman"/>
          <w:szCs w:val="28"/>
        </w:rPr>
        <w:t>进一步完善农业标准体系，建设一批农业标准化生产基地，</w:t>
      </w:r>
      <w:r>
        <w:rPr>
          <w:rFonts w:hint="eastAsia" w:cs="Times New Roman"/>
          <w:szCs w:val="28"/>
        </w:rPr>
        <w:t>形成示范效应，带动南药、茶叶、蔬菜、水果、粮食等特</w:t>
      </w:r>
      <w:r>
        <w:rPr>
          <w:rFonts w:cs="Times New Roman"/>
          <w:szCs w:val="28"/>
        </w:rPr>
        <w:t>色优势产业的生产</w:t>
      </w:r>
      <w:r>
        <w:rPr>
          <w:rFonts w:hint="eastAsia" w:cs="Times New Roman"/>
          <w:szCs w:val="28"/>
        </w:rPr>
        <w:t>的</w:t>
      </w:r>
      <w:r>
        <w:rPr>
          <w:rFonts w:cs="Times New Roman"/>
          <w:szCs w:val="28"/>
        </w:rPr>
        <w:t>标准化</w:t>
      </w:r>
      <w:r>
        <w:rPr>
          <w:rFonts w:hint="eastAsia" w:cs="Times New Roman"/>
          <w:szCs w:val="28"/>
        </w:rPr>
        <w:t>转变。</w:t>
      </w:r>
    </w:p>
    <w:p>
      <w:pPr>
        <w:adjustRightInd w:val="0"/>
        <w:ind w:firstLine="562"/>
        <w:rPr>
          <w:rFonts w:cs="Times New Roman"/>
          <w:color w:val="000000"/>
          <w:szCs w:val="28"/>
        </w:rPr>
      </w:pPr>
      <w:r>
        <w:rPr>
          <w:rFonts w:cs="Times New Roman"/>
          <w:b/>
          <w:bCs/>
          <w:color w:val="000000"/>
          <w:szCs w:val="28"/>
        </w:rPr>
        <w:t>实施品牌</w:t>
      </w:r>
      <w:r>
        <w:rPr>
          <w:rFonts w:hint="eastAsia" w:cs="Times New Roman"/>
          <w:b/>
          <w:bCs/>
          <w:color w:val="000000"/>
          <w:szCs w:val="28"/>
        </w:rPr>
        <w:t>振兴</w:t>
      </w:r>
      <w:r>
        <w:rPr>
          <w:rFonts w:cs="Times New Roman"/>
          <w:b/>
          <w:bCs/>
          <w:color w:val="000000"/>
          <w:szCs w:val="28"/>
        </w:rPr>
        <w:t>战略</w:t>
      </w:r>
      <w:r>
        <w:rPr>
          <w:rFonts w:hint="eastAsia" w:cs="Times New Roman"/>
          <w:b/>
          <w:bCs/>
          <w:color w:val="000000"/>
          <w:szCs w:val="28"/>
        </w:rPr>
        <w:t>。</w:t>
      </w:r>
      <w:r>
        <w:rPr>
          <w:rFonts w:cs="Times New Roman"/>
          <w:color w:val="000000"/>
          <w:szCs w:val="28"/>
        </w:rPr>
        <w:t>着力发展地方优势特色产业，扶持和引导各类农业产业化重点龙头企业、农民专业合作组织、种植大户率先采用国际标准和国内先进标准，以品种改良、品质改进、品牌创建为重点，争创名牌产品和国家免检产品，加强产地认定和产品认证力度</w:t>
      </w:r>
      <w:r>
        <w:rPr>
          <w:rFonts w:hint="eastAsia" w:cs="Times New Roman"/>
          <w:color w:val="000000"/>
          <w:szCs w:val="28"/>
        </w:rPr>
        <w:t>；</w:t>
      </w:r>
      <w:r>
        <w:rPr>
          <w:rFonts w:cs="Times New Roman"/>
          <w:color w:val="000000"/>
          <w:szCs w:val="28"/>
        </w:rPr>
        <w:t>大力发展绿色、有机农产品</w:t>
      </w:r>
      <w:r>
        <w:rPr>
          <w:rFonts w:hint="eastAsia" w:cs="Times New Roman"/>
          <w:color w:val="000000"/>
          <w:szCs w:val="28"/>
        </w:rPr>
        <w:t>，</w:t>
      </w:r>
      <w:r>
        <w:rPr>
          <w:rFonts w:cs="Times New Roman"/>
          <w:color w:val="000000"/>
          <w:szCs w:val="28"/>
        </w:rPr>
        <w:t>积极发展农产品精深加工</w:t>
      </w:r>
      <w:r>
        <w:rPr>
          <w:rFonts w:hint="eastAsia" w:cs="Times New Roman"/>
          <w:color w:val="000000"/>
          <w:szCs w:val="28"/>
        </w:rPr>
        <w:t>，</w:t>
      </w:r>
      <w:r>
        <w:rPr>
          <w:rFonts w:cs="Times New Roman"/>
          <w:color w:val="000000"/>
          <w:szCs w:val="28"/>
        </w:rPr>
        <w:t>集中力量整合、培育、打造一批农产品知名品牌，整合形成具有影响力的农产品区域公共品牌。</w:t>
      </w:r>
    </w:p>
    <w:p>
      <w:pPr>
        <w:pStyle w:val="5"/>
        <w:keepNext w:val="0"/>
        <w:keepLines w:val="0"/>
        <w:adjustRightInd w:val="0"/>
        <w:spacing w:before="0" w:after="0" w:line="240" w:lineRule="auto"/>
        <w:ind w:firstLine="562"/>
        <w:rPr>
          <w:rFonts w:cs="Times New Roman"/>
          <w:szCs w:val="28"/>
        </w:rPr>
      </w:pPr>
      <w:bookmarkStart w:id="84" w:name="_Toc107350618"/>
      <w:r>
        <w:rPr>
          <w:rFonts w:hint="eastAsia" w:cs="Times New Roman"/>
          <w:szCs w:val="28"/>
        </w:rPr>
        <w:t>（</w:t>
      </w:r>
      <w:r>
        <w:rPr>
          <w:rFonts w:cs="Times New Roman"/>
          <w:szCs w:val="28"/>
        </w:rPr>
        <w:t>三</w:t>
      </w:r>
      <w:r>
        <w:rPr>
          <w:rFonts w:hint="eastAsia" w:cs="Times New Roman"/>
          <w:szCs w:val="28"/>
        </w:rPr>
        <w:t>）</w:t>
      </w:r>
      <w:r>
        <w:rPr>
          <w:rFonts w:cs="Times New Roman"/>
          <w:szCs w:val="28"/>
        </w:rPr>
        <w:t>加大综合执法和专项整治</w:t>
      </w:r>
      <w:bookmarkEnd w:id="84"/>
    </w:p>
    <w:p>
      <w:pPr>
        <w:adjustRightInd w:val="0"/>
        <w:ind w:firstLine="562"/>
        <w:rPr>
          <w:rFonts w:cs="Times New Roman"/>
          <w:color w:val="000000"/>
          <w:szCs w:val="28"/>
        </w:rPr>
      </w:pPr>
      <w:r>
        <w:rPr>
          <w:rFonts w:hint="eastAsia" w:cs="Times New Roman"/>
          <w:b/>
          <w:bCs/>
          <w:color w:val="000000"/>
          <w:szCs w:val="28"/>
        </w:rPr>
        <w:t>强化监管，强力推进农药、农资行业规范健康发展。</w:t>
      </w:r>
      <w:r>
        <w:rPr>
          <w:rFonts w:cs="Times New Roman"/>
          <w:color w:val="000000"/>
          <w:szCs w:val="28"/>
        </w:rPr>
        <w:t>全面推行农药经营登记备案和高毒农药定点经营制度，规范农药、饲料及其添加剂、兽药等投入品生产经营管理，严厉打击违法生产经营假冒伪劣农资和添加违禁、有害物质行为。落实生产经营者主体责任，严惩各类食品安全违法犯罪行为。健全执法管理制度，提高执法人员素质，规范执法行为，改善执法条件，改进执法作风，提高执法装备水平，确保严格、公正、文明执法。</w:t>
      </w:r>
    </w:p>
    <w:p>
      <w:pPr>
        <w:ind w:firstLine="562"/>
      </w:pPr>
      <w:r>
        <w:rPr>
          <w:rFonts w:hint="eastAsia" w:cs="Times New Roman"/>
          <w:b/>
          <w:bCs/>
          <w:color w:val="000000"/>
          <w:szCs w:val="28"/>
        </w:rPr>
        <w:t>开展专项整治活动，规范农村市场秩序。</w:t>
      </w:r>
      <w:r>
        <w:rPr>
          <w:rFonts w:cs="Times New Roman"/>
          <w:color w:val="000000"/>
          <w:szCs w:val="28"/>
        </w:rPr>
        <w:t>深入开展农资打假、农产品使用高毒高残农药、畜禽产品违法添加禁用物质等专项整治活动，进一步规范农业生产经营和农村市场秩序。加强重大动物疫病防控，</w:t>
      </w:r>
      <w:r>
        <w:rPr>
          <w:rFonts w:hint="eastAsia" w:cs="Times New Roman"/>
          <w:color w:val="000000"/>
          <w:szCs w:val="28"/>
        </w:rPr>
        <w:t>建设病死畜禽市级无害化处理中心</w:t>
      </w:r>
      <w:r>
        <w:rPr>
          <w:rFonts w:cs="Times New Roman"/>
          <w:color w:val="000000"/>
          <w:szCs w:val="28"/>
        </w:rPr>
        <w:t>，强化生猪屠宰、动物卫生监管和病死畜禽无害化处理，积极推动乡镇屠宰场改造升级。</w:t>
      </w:r>
      <w:r>
        <w:rPr>
          <w:rFonts w:hint="eastAsia" w:cs="Times New Roman"/>
          <w:color w:val="000000"/>
          <w:szCs w:val="28"/>
        </w:rPr>
        <w:t>完善屠宰检疫环节</w:t>
      </w:r>
      <w:r>
        <w:rPr>
          <w:rFonts w:ascii="仿宋" w:hAnsi="仿宋" w:cs="Times New Roman"/>
          <w:color w:val="000000"/>
          <w:szCs w:val="28"/>
        </w:rPr>
        <w:t>“电子出证”系</w:t>
      </w:r>
      <w:r>
        <w:rPr>
          <w:rFonts w:hint="eastAsia" w:cs="Times New Roman"/>
          <w:color w:val="000000"/>
          <w:szCs w:val="28"/>
        </w:rPr>
        <w:t>统</w:t>
      </w:r>
      <w:r>
        <w:rPr>
          <w:rFonts w:cs="Times New Roman"/>
          <w:color w:val="000000"/>
          <w:szCs w:val="28"/>
        </w:rPr>
        <w:t>，完善</w:t>
      </w:r>
      <w:r>
        <w:rPr>
          <w:rFonts w:hint="eastAsia" w:cs="Times New Roman"/>
          <w:color w:val="000000"/>
          <w:szCs w:val="28"/>
        </w:rPr>
        <w:t>县</w:t>
      </w:r>
      <w:r>
        <w:rPr>
          <w:rFonts w:cs="Times New Roman"/>
          <w:color w:val="000000"/>
          <w:szCs w:val="28"/>
        </w:rPr>
        <w:t>级农产品质量安全检验检测中心和</w:t>
      </w:r>
      <w:r>
        <w:rPr>
          <w:rFonts w:hint="eastAsia" w:cs="Times New Roman"/>
          <w:color w:val="000000"/>
          <w:szCs w:val="28"/>
        </w:rPr>
        <w:t>镇街级</w:t>
      </w:r>
      <w:r>
        <w:rPr>
          <w:rFonts w:cs="Times New Roman"/>
          <w:color w:val="000000"/>
          <w:szCs w:val="28"/>
        </w:rPr>
        <w:t>农产品质量安全检验检测站。</w:t>
      </w:r>
    </w:p>
    <w:p>
      <w:pPr>
        <w:widowControl/>
        <w:spacing w:line="240" w:lineRule="auto"/>
        <w:ind w:firstLine="0" w:firstLineChars="0"/>
        <w:jc w:val="left"/>
        <w:rPr>
          <w:b/>
          <w:bCs/>
          <w:kern w:val="44"/>
          <w:sz w:val="32"/>
          <w:szCs w:val="44"/>
        </w:rPr>
      </w:pPr>
      <w:r>
        <w:br w:type="page"/>
      </w:r>
    </w:p>
    <w:p>
      <w:pPr>
        <w:pStyle w:val="3"/>
      </w:pPr>
      <w:bookmarkStart w:id="85" w:name="_Toc107350619"/>
      <w:r>
        <w:rPr>
          <w:rFonts w:hint="eastAsia"/>
        </w:rPr>
        <w:t>第七章 深化农村重点领域体制机制改革</w:t>
      </w:r>
      <w:bookmarkEnd w:id="85"/>
    </w:p>
    <w:p>
      <w:pPr>
        <w:pStyle w:val="4"/>
        <w:ind w:firstLine="602" w:firstLineChars="200"/>
      </w:pPr>
      <w:bookmarkStart w:id="86" w:name="_Toc107350620"/>
      <w:r>
        <w:rPr>
          <w:rFonts w:hint="eastAsia"/>
        </w:rPr>
        <w:t>一、深化农村土地制度改革</w:t>
      </w:r>
      <w:bookmarkEnd w:id="86"/>
    </w:p>
    <w:p>
      <w:pPr>
        <w:pStyle w:val="5"/>
        <w:keepNext w:val="0"/>
        <w:keepLines w:val="0"/>
        <w:adjustRightInd w:val="0"/>
        <w:spacing w:before="0" w:after="0" w:line="240" w:lineRule="auto"/>
        <w:ind w:firstLine="562"/>
        <w:rPr>
          <w:rFonts w:ascii="Calibri" w:hAnsi="Calibri" w:cs="Calibri"/>
          <w:szCs w:val="28"/>
        </w:rPr>
      </w:pPr>
      <w:bookmarkStart w:id="87" w:name="_Toc107350621"/>
      <w:r>
        <w:rPr>
          <w:rFonts w:hint="eastAsia" w:ascii="Calibri" w:hAnsi="Calibri" w:cs="Calibri"/>
          <w:szCs w:val="28"/>
        </w:rPr>
        <w:t>（一）健全农村土地利用管理制度</w:t>
      </w:r>
      <w:bookmarkEnd w:id="87"/>
    </w:p>
    <w:p>
      <w:pPr>
        <w:ind w:firstLine="560"/>
      </w:pPr>
      <w:r>
        <w:rPr>
          <w:rFonts w:hint="eastAsia"/>
        </w:rPr>
        <w:t>一是规范农村土地征收制度。规范征地准入制度，防止随意、盲目侵占农民的土地利益；规范征地程序流程，落实被征地农民的知情权、参与权和监督权；规范征地补偿工作，完善被征地农民合理、规范、多元的保障机制。二是完善县域乡村建设规划和村土地利用规划。乡村旅游项目的基础设施、服务设施等旅游用地，按建设用地管理，依法办理用地审批手续。三是探索完善农用地价格基准，结合国有农用地基准地价，探索制定发布本行政区域内集体农用地基准地价，为农户土地入股或流转提供参考依据。</w:t>
      </w:r>
    </w:p>
    <w:p>
      <w:pPr>
        <w:pStyle w:val="5"/>
        <w:keepNext w:val="0"/>
        <w:keepLines w:val="0"/>
        <w:adjustRightInd w:val="0"/>
        <w:spacing w:before="0" w:after="0" w:line="240" w:lineRule="auto"/>
        <w:ind w:firstLine="562"/>
        <w:rPr>
          <w:rFonts w:ascii="Calibri" w:hAnsi="Calibri" w:cs="Calibri"/>
          <w:szCs w:val="28"/>
        </w:rPr>
      </w:pPr>
      <w:bookmarkStart w:id="88" w:name="_Toc107350622"/>
      <w:r>
        <w:rPr>
          <w:rFonts w:hint="eastAsia" w:ascii="Calibri" w:hAnsi="Calibri" w:cs="Calibri"/>
          <w:szCs w:val="28"/>
        </w:rPr>
        <w:t>（二）完善农村用地保障机制</w:t>
      </w:r>
      <w:bookmarkEnd w:id="88"/>
    </w:p>
    <w:p>
      <w:pPr>
        <w:ind w:firstLine="560"/>
      </w:pPr>
      <w:r>
        <w:rPr>
          <w:rFonts w:hint="eastAsia"/>
        </w:rPr>
        <w:t>每年安排一定比例用地指标，专项用于农业新产业新业态、产业融合发展和农民住房建设。每年安排不少于10%的用地指标，保障乡村振兴新增建设用地需要。镇（街）国土空间规划预留不超过5%的建设用地规模，重点用于县域内零星分散的单独选址农业配套设施、乡村旅游设施等建设，优先保障农业产业园、科技园、助农服务中心等平台建设。建立宅基地自愿有偿退出机制，探索拆迁安置、置换城镇住房、货币补偿、复垦交易指标等多种退出模式。允许县级政府在确保县域范围内耕地数量不减少、质量不下降前提下，通过调整土地利用规划，有效利用农村零星分散的存量建设用地。推动旧村庄改造，盘活提升低效的农村建设用地。</w:t>
      </w:r>
    </w:p>
    <w:p>
      <w:pPr>
        <w:pStyle w:val="5"/>
        <w:keepNext w:val="0"/>
        <w:keepLines w:val="0"/>
        <w:adjustRightInd w:val="0"/>
        <w:spacing w:before="0" w:after="0" w:line="240" w:lineRule="auto"/>
        <w:ind w:firstLine="562"/>
        <w:rPr>
          <w:rFonts w:ascii="Calibri" w:hAnsi="Calibri" w:cs="Calibri"/>
          <w:szCs w:val="28"/>
        </w:rPr>
      </w:pPr>
      <w:bookmarkStart w:id="89" w:name="_Toc107350623"/>
      <w:r>
        <w:rPr>
          <w:rFonts w:hint="eastAsia" w:ascii="Calibri" w:hAnsi="Calibri" w:cs="Calibri"/>
          <w:szCs w:val="28"/>
        </w:rPr>
        <w:t>（三）建立农村集体经营性建设用地入市制度</w:t>
      </w:r>
      <w:bookmarkEnd w:id="89"/>
    </w:p>
    <w:p>
      <w:pPr>
        <w:ind w:firstLine="560"/>
      </w:pPr>
      <w:r>
        <w:rPr>
          <w:rFonts w:hint="eastAsia"/>
        </w:rPr>
        <w:t>围绕农村集体经营性建设用地入市的核心问题，建立健全入市制度体系。根据“镇、村、组”三级农村集体经济组织情况，尊重农民主体地位，建立“自主入市、委托入市、合作入市”三种入市形式。乡镇集体建设用地由乡镇资产经营公司等全资公司或其代理人实施入市；村集体建设用地由村股份经济合作联合社实施入市，村民小组如组织不健全，可委托村股份经济合作联合社等代理人实施入市。。</w:t>
      </w:r>
    </w:p>
    <w:p>
      <w:pPr>
        <w:pStyle w:val="4"/>
        <w:ind w:firstLine="602" w:firstLineChars="200"/>
      </w:pPr>
      <w:bookmarkStart w:id="90" w:name="_Toc107350624"/>
      <w:r>
        <w:rPr>
          <w:rFonts w:hint="eastAsia"/>
        </w:rPr>
        <w:t>二、深化农村集体产权制度改革</w:t>
      </w:r>
      <w:bookmarkEnd w:id="90"/>
    </w:p>
    <w:p>
      <w:pPr>
        <w:pStyle w:val="5"/>
        <w:keepNext w:val="0"/>
        <w:keepLines w:val="0"/>
        <w:adjustRightInd w:val="0"/>
        <w:spacing w:before="0" w:after="0" w:line="240" w:lineRule="auto"/>
        <w:ind w:firstLine="562"/>
        <w:rPr>
          <w:rFonts w:ascii="Calibri" w:hAnsi="Calibri" w:cs="Calibri"/>
          <w:szCs w:val="28"/>
        </w:rPr>
      </w:pPr>
      <w:bookmarkStart w:id="91" w:name="_Toc107350625"/>
      <w:r>
        <w:rPr>
          <w:rFonts w:hint="eastAsia" w:ascii="Calibri" w:hAnsi="Calibri" w:cs="Calibri"/>
          <w:szCs w:val="28"/>
        </w:rPr>
        <w:t>（一）全面加强农村“三资”管理</w:t>
      </w:r>
      <w:bookmarkEnd w:id="91"/>
    </w:p>
    <w:p>
      <w:pPr>
        <w:adjustRightInd w:val="0"/>
        <w:ind w:firstLine="560"/>
        <w:rPr>
          <w:rFonts w:cs="Times New Roman"/>
          <w:color w:val="000000"/>
          <w:szCs w:val="28"/>
        </w:rPr>
      </w:pPr>
      <w:r>
        <w:rPr>
          <w:rFonts w:hint="eastAsia" w:cs="Times New Roman"/>
          <w:color w:val="000000"/>
          <w:szCs w:val="28"/>
        </w:rPr>
        <w:t>“十四五”期间，继续开展农村集体资产清产核资，进一步摸清集体“家底”。在此基础上，因地制宜开展“合并村”资产、农村固定资产等专项性核查。建立集体资产分类管理机制，针对资源性、经营性、非经营性资产的不同特点，完善台账登记，制定相应管理、使用、处置等制度，合理安排和利用，确保集体资产保值增值。实施农村集体“三资”常态化监管机制，由县、镇（街道）、村（居）三级定期对有集体资产的村组实行核查，实行年度全覆盖。县级每月随机抽查，每季度通报抽查情况。探索强化农村财务中介组织对农村财务管理监管作用，实施年度财务收支审计、专项审计、村干部任期和离任经济责任审计相结合的工作机制，积极推进第三方审计监督。</w:t>
      </w:r>
    </w:p>
    <w:p>
      <w:pPr>
        <w:pStyle w:val="5"/>
        <w:keepNext w:val="0"/>
        <w:keepLines w:val="0"/>
        <w:adjustRightInd w:val="0"/>
        <w:spacing w:before="0" w:after="0" w:line="240" w:lineRule="auto"/>
        <w:ind w:firstLine="562"/>
        <w:rPr>
          <w:rFonts w:ascii="Calibri" w:hAnsi="Calibri" w:cs="Calibri"/>
          <w:szCs w:val="28"/>
        </w:rPr>
      </w:pPr>
      <w:bookmarkStart w:id="92" w:name="_Hlk57738102"/>
      <w:bookmarkStart w:id="93" w:name="_Toc107350626"/>
      <w:r>
        <w:rPr>
          <w:rFonts w:hint="eastAsia" w:ascii="Calibri" w:hAnsi="Calibri" w:cs="Calibri"/>
          <w:szCs w:val="28"/>
        </w:rPr>
        <w:t>（二）探索建立农村“三资”信息化管理</w:t>
      </w:r>
      <w:bookmarkEnd w:id="92"/>
      <w:r>
        <w:rPr>
          <w:rFonts w:hint="eastAsia" w:ascii="Calibri" w:hAnsi="Calibri" w:cs="Calibri"/>
          <w:szCs w:val="28"/>
        </w:rPr>
        <w:t>模式</w:t>
      </w:r>
      <w:bookmarkEnd w:id="93"/>
    </w:p>
    <w:p>
      <w:pPr>
        <w:ind w:firstLine="560"/>
      </w:pPr>
      <w:r>
        <w:rPr>
          <w:rFonts w:hint="eastAsia"/>
        </w:rPr>
        <w:t>建立农村“三资”信息化管理平台，推进以农村“三资”管理信息化水平为重点的农村集体产权制度改革，探索建立农村集体经济数字云图系统，增设交易流程并联审批功能，提高交易效率。建立集体资产分类管理机制，针对资源性、经营性、非经营性资产的不同特点，完善台账登记，制定相应管理、使用、处置等制度，合理安排和利用，确保集体资产保值增值。实施农村集体“三资”常态化监管机制，由县、镇（街道）、村（居）三级定期对有集体资产的村组实行核查，实行年度全覆盖。</w:t>
      </w:r>
    </w:p>
    <w:p>
      <w:pPr>
        <w:pStyle w:val="5"/>
        <w:keepNext w:val="0"/>
        <w:keepLines w:val="0"/>
        <w:adjustRightInd w:val="0"/>
        <w:spacing w:before="0" w:after="0" w:line="240" w:lineRule="auto"/>
        <w:ind w:firstLine="562"/>
        <w:rPr>
          <w:rFonts w:ascii="Calibri" w:hAnsi="Calibri" w:cs="Calibri"/>
          <w:szCs w:val="28"/>
        </w:rPr>
      </w:pPr>
      <w:bookmarkStart w:id="94" w:name="_Toc107350627"/>
      <w:r>
        <w:rPr>
          <w:rFonts w:hint="eastAsia" w:ascii="Calibri" w:hAnsi="Calibri" w:cs="Calibri"/>
          <w:szCs w:val="28"/>
        </w:rPr>
        <w:t>（三）由点及面推动农村集体产权制度改革</w:t>
      </w:r>
      <w:bookmarkEnd w:id="94"/>
    </w:p>
    <w:p>
      <w:pPr>
        <w:adjustRightInd w:val="0"/>
        <w:ind w:firstLine="560"/>
        <w:rPr>
          <w:rFonts w:cs="Times New Roman"/>
          <w:color w:val="000000"/>
          <w:szCs w:val="28"/>
        </w:rPr>
      </w:pPr>
      <w:r>
        <w:rPr>
          <w:rFonts w:hint="eastAsia" w:cs="Times New Roman"/>
          <w:color w:val="000000"/>
          <w:szCs w:val="28"/>
        </w:rPr>
        <w:t>按照“资源资产化、资产资本化、资本股份化、股份市场化”的改革方向，以社区股份合作制为主要形式，大力推进农村集体产权制度改革。先从工业镇、城中村、工业村等集体资产收益较高的村、镇开始作为试点进行示范，在积累实践经验的基础上逐步扩大试点范围，做到成熟一个发展一个，稳步推进。</w:t>
      </w:r>
    </w:p>
    <w:p>
      <w:pPr>
        <w:pStyle w:val="5"/>
        <w:keepNext w:val="0"/>
        <w:keepLines w:val="0"/>
        <w:adjustRightInd w:val="0"/>
        <w:spacing w:before="0" w:after="0" w:line="240" w:lineRule="auto"/>
        <w:ind w:firstLine="562"/>
        <w:rPr>
          <w:rFonts w:ascii="Calibri" w:hAnsi="Calibri" w:cs="Calibri"/>
          <w:szCs w:val="28"/>
        </w:rPr>
      </w:pPr>
      <w:bookmarkStart w:id="95" w:name="_Toc107350628"/>
      <w:r>
        <w:rPr>
          <w:rFonts w:hint="eastAsia" w:ascii="Calibri" w:hAnsi="Calibri" w:cs="Calibri"/>
          <w:szCs w:val="28"/>
        </w:rPr>
        <w:t>（四）建立健全农村社区股份合作制</w:t>
      </w:r>
      <w:bookmarkEnd w:id="95"/>
    </w:p>
    <w:p>
      <w:pPr>
        <w:ind w:firstLine="560"/>
      </w:pPr>
      <w:r>
        <w:rPr>
          <w:rFonts w:hint="eastAsia"/>
        </w:rPr>
        <w:t>推进农村资产权属登记和清产核资，加快农村集体经营性资产股份合作制改革，推动“资源变资产、资金变股金、农民变股东”改革。探索集体经营性资产以股份或份额形式量化到本集体成员，确权到户，发展多种形式的股份合作，探索股权交易。探索集体经济有效形式，鼓励以土地股份合作、混合经营等方式壮大村级集体经济，增加农民财产性收益。</w:t>
      </w:r>
    </w:p>
    <w:p>
      <w:pPr>
        <w:pStyle w:val="5"/>
        <w:keepNext w:val="0"/>
        <w:keepLines w:val="0"/>
        <w:adjustRightInd w:val="0"/>
        <w:spacing w:before="0" w:after="0" w:line="240" w:lineRule="auto"/>
        <w:ind w:firstLine="562"/>
        <w:rPr>
          <w:rFonts w:ascii="Calibri" w:hAnsi="Calibri" w:cs="Calibri"/>
          <w:szCs w:val="28"/>
        </w:rPr>
      </w:pPr>
      <w:bookmarkStart w:id="96" w:name="_Toc107350629"/>
      <w:r>
        <w:rPr>
          <w:rFonts w:hint="eastAsia" w:ascii="Calibri" w:hAnsi="Calibri" w:cs="Calibri"/>
          <w:szCs w:val="28"/>
        </w:rPr>
        <w:t>（五）探索农村集体经济发展和分配新模式</w:t>
      </w:r>
      <w:bookmarkEnd w:id="96"/>
    </w:p>
    <w:p>
      <w:pPr>
        <w:adjustRightInd w:val="0"/>
        <w:ind w:firstLine="560"/>
        <w:rPr>
          <w:rFonts w:cs="Times New Roman"/>
          <w:color w:val="000000"/>
          <w:szCs w:val="28"/>
        </w:rPr>
      </w:pPr>
      <w:r>
        <w:rPr>
          <w:rFonts w:hint="eastAsia" w:cs="Times New Roman"/>
          <w:color w:val="000000"/>
          <w:szCs w:val="28"/>
        </w:rPr>
        <w:t>充分发挥集体资产管理交易平台的功能，加快农村土地集约流转，引入有实力的新型农业经营主体，在促进现代农业发展中将农业经营利润更多留给农民。鼓励村组与企业或机构开展多类型的合作，推动村企村社对接，实现集体经济的适度多元化发展。鼓励征地后有留用地的村探索农村集体建设用地流转有效方式，盘活土地，提高价值，增加集体收入。按照农村财务管理等规定，每年集体收入中提留一定比例作为公积金和公益金，保障集体公共开支、公益事业建设，形成集体积累性发展良性循环。有条件的地方创新集体分配方式，研究制订年度成员分红标准，实现基本保障型分配水平，逐步改变集体刚性、惰性分配带来的弊端。</w:t>
      </w:r>
    </w:p>
    <w:p>
      <w:pPr>
        <w:pStyle w:val="5"/>
        <w:keepNext w:val="0"/>
        <w:keepLines w:val="0"/>
        <w:adjustRightInd w:val="0"/>
        <w:spacing w:before="0" w:after="0" w:line="240" w:lineRule="auto"/>
        <w:ind w:firstLine="562"/>
        <w:rPr>
          <w:rFonts w:ascii="Calibri" w:hAnsi="Calibri" w:cs="Calibri"/>
          <w:szCs w:val="28"/>
        </w:rPr>
      </w:pPr>
      <w:bookmarkStart w:id="97" w:name="_Toc107350630"/>
      <w:r>
        <w:rPr>
          <w:rFonts w:hint="eastAsia" w:ascii="Calibri" w:hAnsi="Calibri" w:cs="Calibri"/>
          <w:szCs w:val="28"/>
        </w:rPr>
        <w:t>（六）优化农村财务人员队伍</w:t>
      </w:r>
      <w:bookmarkEnd w:id="97"/>
    </w:p>
    <w:p>
      <w:pPr>
        <w:adjustRightInd w:val="0"/>
        <w:ind w:firstLine="560"/>
        <w:rPr>
          <w:rFonts w:cs="Times New Roman"/>
          <w:color w:val="000000"/>
          <w:szCs w:val="28"/>
        </w:rPr>
      </w:pPr>
      <w:r>
        <w:rPr>
          <w:rFonts w:hint="eastAsia" w:cs="Times New Roman"/>
          <w:color w:val="000000"/>
          <w:szCs w:val="28"/>
        </w:rPr>
        <w:t>探索通过县、镇（街道）两级财政补贴，提高农村财务管理人员收入待遇和准入门槛，优化人员队伍结构，明确岗位职责，建立长效机制，强化监督管理，逐步打造一支专业素养高、专职专干、职业操守良好的农村财务管理人员队伍，从源头上实现农村财务专业化、制度化和规范化管理，促进农村和谐、有序发展。</w:t>
      </w:r>
    </w:p>
    <w:p>
      <w:pPr>
        <w:pStyle w:val="4"/>
        <w:ind w:firstLine="602" w:firstLineChars="200"/>
      </w:pPr>
      <w:bookmarkStart w:id="98" w:name="_Toc107350631"/>
      <w:r>
        <w:rPr>
          <w:rFonts w:hint="eastAsia"/>
        </w:rPr>
        <w:t>三、创新农村金融体制机制</w:t>
      </w:r>
      <w:bookmarkEnd w:id="98"/>
    </w:p>
    <w:p>
      <w:pPr>
        <w:pStyle w:val="5"/>
        <w:ind w:firstLine="562"/>
      </w:pPr>
      <w:bookmarkStart w:id="99" w:name="_Toc107350632"/>
      <w:r>
        <w:rPr>
          <w:rFonts w:hint="eastAsia"/>
        </w:rPr>
        <w:t>（一）加大农村信贷投入</w:t>
      </w:r>
      <w:bookmarkEnd w:id="99"/>
    </w:p>
    <w:p>
      <w:pPr>
        <w:ind w:firstLine="560"/>
      </w:pPr>
      <w:r>
        <w:rPr>
          <w:rFonts w:hint="eastAsia"/>
        </w:rPr>
        <w:t>鼓励开发性、政策性金融机构在业务范围内为乡村振兴提供中长期信贷支持，加大商业银行对乡村振兴支持力度，强化农村中小金融支农主力军作用，推动征信、支付等农村金融设施入镇进村，提高普惠金融覆盖面。探索农村集体经营性建设用地使用权、承包地经营权、集体林权、集体资产股权等抵押贷款。</w:t>
      </w:r>
    </w:p>
    <w:p>
      <w:pPr>
        <w:pStyle w:val="5"/>
        <w:ind w:firstLine="562"/>
      </w:pPr>
      <w:bookmarkStart w:id="100" w:name="_Toc107350633"/>
      <w:r>
        <w:rPr>
          <w:rFonts w:hint="eastAsia"/>
        </w:rPr>
        <w:t>（二）拓展涉农保险深度</w:t>
      </w:r>
      <w:bookmarkEnd w:id="100"/>
    </w:p>
    <w:p>
      <w:pPr>
        <w:ind w:firstLine="560"/>
      </w:pPr>
      <w:r>
        <w:rPr>
          <w:rFonts w:hint="eastAsia"/>
        </w:rPr>
        <w:t>推动农业保险高质量发展，促进农业保险向“保价格、保收入”升级。探索大宗农产品高保障保险和价格保险、收入保险等新型保险业务。</w:t>
      </w:r>
    </w:p>
    <w:p>
      <w:pPr>
        <w:pStyle w:val="5"/>
        <w:ind w:firstLine="562"/>
      </w:pPr>
      <w:bookmarkStart w:id="101" w:name="_Toc107350634"/>
      <w:r>
        <w:rPr>
          <w:rFonts w:hint="eastAsia"/>
        </w:rPr>
        <w:t>（三）优化支付服务环境</w:t>
      </w:r>
      <w:bookmarkEnd w:id="101"/>
    </w:p>
    <w:p>
      <w:pPr>
        <w:ind w:firstLine="560"/>
      </w:pPr>
      <w:r>
        <w:rPr>
          <w:rFonts w:hint="eastAsia"/>
        </w:rPr>
        <w:t>大力推动金融基础设施建设，全面加快推进农村地区移动支付示范镇建设和移动支付普惠金融发展，提升农村普惠金融服务水平，充分发挥移动支付服务乡村振兴和民生改善的重要作用。</w:t>
      </w:r>
    </w:p>
    <w:p>
      <w:pPr>
        <w:pStyle w:val="5"/>
        <w:ind w:firstLine="562"/>
      </w:pPr>
      <w:bookmarkStart w:id="102" w:name="_Toc107350635"/>
      <w:r>
        <w:rPr>
          <w:rFonts w:hint="eastAsia"/>
        </w:rPr>
        <w:t>（四）拓宽支农融资渠道</w:t>
      </w:r>
      <w:bookmarkEnd w:id="102"/>
    </w:p>
    <w:p>
      <w:pPr>
        <w:ind w:firstLine="560"/>
      </w:pPr>
      <w:r>
        <w:t>做好涉农产业企业的培育引导和服务工作，支持符合条件的涉农企业上市及在新三板、区域股权市场挂牌融资。支持推动农业企业通过并购重组、发行债券等方式扩大再融资规模</w:t>
      </w:r>
      <w:r>
        <w:rPr>
          <w:rFonts w:hint="eastAsia"/>
        </w:rPr>
        <w:t>。探索推动涉农供应链金融服务平台，支持农业产业链发展。</w:t>
      </w:r>
    </w:p>
    <w:p>
      <w:pPr>
        <w:pStyle w:val="4"/>
        <w:ind w:firstLine="602" w:firstLineChars="200"/>
      </w:pPr>
      <w:bookmarkStart w:id="103" w:name="_Toc107350636"/>
      <w:r>
        <w:rPr>
          <w:rFonts w:hint="eastAsia"/>
        </w:rPr>
        <w:t>四、推动“六治”协同，构建乡村治理体系现代化</w:t>
      </w:r>
      <w:bookmarkEnd w:id="103"/>
    </w:p>
    <w:p>
      <w:pPr>
        <w:ind w:firstLine="560"/>
      </w:pPr>
      <w:r>
        <w:rPr>
          <w:rFonts w:hint="eastAsia"/>
        </w:rPr>
        <w:t>坚持以习近平新时代中国特色社会主义思想为指导，坚持以人民为中心的发展思想，以营造共建共治共享格局为目标，以防范化解基层社会矛盾和社会风险为着力点，以坚持发展新时代“枫桥经验”为抓手，充分发挥政治、自治、法治、德治、智治、美治“六治”作用，加快推进基层社会治理体系和能力现代化，打造博罗“六治”协同基层社会治理新模式，努力把博罗建设成为本固基强、和谐有序、绿色文明、创新包容、共建共享的幸福家园。</w:t>
      </w:r>
    </w:p>
    <w:p>
      <w:pPr>
        <w:pStyle w:val="5"/>
        <w:ind w:firstLine="562"/>
      </w:pPr>
      <w:bookmarkStart w:id="104" w:name="_Toc107350637"/>
      <w:r>
        <w:rPr>
          <w:rFonts w:hint="eastAsia"/>
        </w:rPr>
        <w:t>（一）突出“政治”统领作用，夯实基层党组织引领治理的基础</w:t>
      </w:r>
      <w:bookmarkEnd w:id="104"/>
    </w:p>
    <w:p>
      <w:pPr>
        <w:ind w:firstLine="560"/>
      </w:pPr>
      <w:r>
        <w:rPr>
          <w:rFonts w:hint="eastAsia"/>
        </w:rPr>
        <w:t>一是坚持党委牵头抓总，丰富和完善基层社会治理机制。各部门和乡镇（街道）党委带头学习习近平新时代中国特色社会主义思想，深入贯彻“共建共治共享”社会治理理念，党政一把手牵头抓手，形成党委领导、政府负责、社会协同、公众参与、法治保障、科技支撑的现代基层社会治理体系。</w:t>
      </w:r>
    </w:p>
    <w:p>
      <w:pPr>
        <w:ind w:firstLine="560"/>
      </w:pPr>
      <w:r>
        <w:rPr>
          <w:rFonts w:hint="eastAsia"/>
        </w:rPr>
        <w:t>二是明确城乡社区基层党组织职能定位，加强政治引领。基层党组织在城乡社区治理中充分发挥领导核心作用，切实把工作重心转移到基层党组织政治引领定位上来，转移到做好公共服务、公共管理、公共安全工作上来，转移到为经济社会发展提供良好公共环境上来。将党建工作与业务工作紧密结合起来，积极探索“贴得紧、行得通、效果实”的党建新模式。</w:t>
      </w:r>
    </w:p>
    <w:p>
      <w:pPr>
        <w:ind w:firstLine="560"/>
      </w:pPr>
      <w:r>
        <w:rPr>
          <w:rFonts w:hint="eastAsia"/>
        </w:rPr>
        <w:t>三是规范基层党的组织建设，形成坚强战斗堡垒。全面落实加强党的基层组织建设，优化基层党组织设置，推进基层党组织规范化建设，开展基层党组织达标创优活动。建立乡镇（街道）党（工）委书记抓基层党建责任清单，持续整顿软弱涣散村党组织。加强城乡社区党风廉政建设，推动全面从严治党向城乡社区延伸。</w:t>
      </w:r>
    </w:p>
    <w:p>
      <w:pPr>
        <w:ind w:firstLine="560"/>
      </w:pPr>
      <w:r>
        <w:rPr>
          <w:rFonts w:hint="eastAsia"/>
        </w:rPr>
        <w:t>四是提高党员干部党性修养和工作能力，发挥好先锋模范作用。配强配优村（社区）党组织书记，实行“村推镇选”培养选拔制度，建立党组织书记后备队伍。实施发展党员“村培镇管”制度，注重从青年农民、外出务工人员、妇女中精准择优发展党员，增强基层党组织的向心力、凝聚力和战斗力。</w:t>
      </w:r>
    </w:p>
    <w:p>
      <w:pPr>
        <w:ind w:firstLine="560"/>
      </w:pPr>
      <w:r>
        <w:rPr>
          <w:rFonts w:hint="eastAsia"/>
        </w:rPr>
        <w:t>五是加强基层党组织和党员、干部联系服务群众工作机制建设，常态长效做好群众工作。开展“进百家门、听百家言、解百家难、暖百家心”活动，乡镇（街道）党委书记和党委领导班子成员等要包村联户，村（社区）“两委”成员要制定常态联系群众全覆盖方案，加强对低保对象、留守儿童和妇女、老年人、残疾人、特困人员等人群的关爱服务，持续保持干群良性互动。</w:t>
      </w:r>
    </w:p>
    <w:p>
      <w:pPr>
        <w:pStyle w:val="5"/>
        <w:ind w:firstLine="562"/>
      </w:pPr>
      <w:bookmarkStart w:id="105" w:name="_Toc107350638"/>
      <w:r>
        <w:rPr>
          <w:rFonts w:hint="eastAsia"/>
        </w:rPr>
        <w:t>（二）发挥“自治”基础作用，激发基层社会活力</w:t>
      </w:r>
      <w:bookmarkEnd w:id="105"/>
    </w:p>
    <w:p>
      <w:pPr>
        <w:ind w:firstLine="560"/>
      </w:pPr>
      <w:r>
        <w:rPr>
          <w:rFonts w:hint="eastAsia"/>
        </w:rPr>
        <w:t>一是完善村民委员会自治形式，规范运作流程。设立政府社区工作准入清单，建立以社区居民满意度为主要衡量标准的社区治理评价体系和评价结果公布机制。制定村（居）民委员会工作职责事项指导目录、村（居）民议事决策工作指引，培育发展城乡社区社会组织。落实“四议两公开”制度，形成民事民议、民事民办、民事民管的基层协商治理格局。</w:t>
      </w:r>
    </w:p>
    <w:p>
      <w:pPr>
        <w:ind w:firstLine="560"/>
      </w:pPr>
      <w:r>
        <w:rPr>
          <w:rFonts w:hint="eastAsia"/>
        </w:rPr>
        <w:t>二是修订完善村规民约，提升村（社区）履约践诺意识水平。规范和完善村规民约的制定程序、主要内容等，形成具有依法保障、自我约束且务实管用的村规民约和居民公约。借鉴“枫桥经验”等社区治理形式，结合实际运用实施，使各种机制协调互动。</w:t>
      </w:r>
    </w:p>
    <w:p>
      <w:pPr>
        <w:ind w:firstLine="560"/>
      </w:pPr>
      <w:r>
        <w:rPr>
          <w:rFonts w:hint="eastAsia"/>
        </w:rPr>
        <w:t>三是调动多方主体参与乡村治理，规范协作互动方式。充分发挥工青妇等群团组织联系群众、团结群众、组织群众参与民主管理和民主监督的作用。培育激活新乡贤团队，为公益社会组织依法发挥积极作用拓展空间。以“邻里守望”为主题，以空巢老人、留守儿童、农民工、残疾人等为重点服务对象，开展物资帮扶、生活照料、心理慰藉、结对帮扶等多种志愿服务活动。</w:t>
      </w:r>
    </w:p>
    <w:p>
      <w:pPr>
        <w:ind w:firstLine="560"/>
      </w:pPr>
      <w:r>
        <w:rPr>
          <w:rFonts w:hint="eastAsia"/>
        </w:rPr>
        <w:t>四是提高社会服务供给能力，健全城乡社区服务机构。编制城乡社区公共服务指导目录，健全城乡基础设施一体化水平、城乡公共服务均等化水平。综合利用社区公共空间，合理规划建设自助服务设施。开展社区互助活动，鼓励和引导各类市场主体参与社区服务业。</w:t>
      </w:r>
    </w:p>
    <w:p>
      <w:pPr>
        <w:ind w:firstLine="560"/>
      </w:pPr>
      <w:r>
        <w:rPr>
          <w:rFonts w:hint="eastAsia"/>
        </w:rPr>
        <w:t>五是加强社区工作培训，全面提升社区治理能力。着力培养一支专业的社区工作队伍，对社会机构和社会组织加强跟踪管理，开展多种形式的培训。建立容错纠错和奖励机制，提升社会组织和社会力量参与社会治理的专业化水平。</w:t>
      </w:r>
    </w:p>
    <w:p>
      <w:pPr>
        <w:pStyle w:val="5"/>
        <w:ind w:firstLine="562"/>
      </w:pPr>
      <w:bookmarkStart w:id="106" w:name="_Toc107350639"/>
      <w:r>
        <w:rPr>
          <w:rFonts w:hint="eastAsia"/>
        </w:rPr>
        <w:t>（三）发挥“法治”保障作用，推进基层依法治理</w:t>
      </w:r>
      <w:bookmarkEnd w:id="106"/>
    </w:p>
    <w:p>
      <w:pPr>
        <w:ind w:firstLine="560"/>
      </w:pPr>
      <w:r>
        <w:rPr>
          <w:rFonts w:hint="eastAsia"/>
        </w:rPr>
        <w:t>一是健全公共法律服务体系，加强基层法律服务供给。开展“民主法治村（社区）”创建活动，开设法德讲堂，完善村（社区）公共法律服务室，提升一村（社区）一“法制副主任”的公共法律服务质量，打造覆盖城乡的半小时法律服务圈。开辟法治宣传阵地，丰富普法方式。加强对农民的普法教育、法律援助和司法救助，增强村民保障自身合法权益的能力。</w:t>
      </w:r>
    </w:p>
    <w:p>
      <w:pPr>
        <w:ind w:firstLine="560"/>
      </w:pPr>
      <w:r>
        <w:rPr>
          <w:rFonts w:hint="eastAsia"/>
        </w:rPr>
        <w:t>二是加强平安村居建设，切实推进基层法律实施。建立“一村（社区）一警”以及警民联防、邻里守望、流动人口管理等工作机制，严厉打击农村黑恶势力、宗族恶势力、黄赌毒盗、拐骗等违法犯罪。深化“无邪教创建”，依法加强涉宗教事务管理，坚决抵御境外利用宗教渗透和防范宗教极端思想侵害。加强社会心理服务体制构建和服务中心平台建设，建立心理疏导和危机干预机制。</w:t>
      </w:r>
    </w:p>
    <w:p>
      <w:pPr>
        <w:ind w:firstLine="560"/>
      </w:pPr>
      <w:r>
        <w:rPr>
          <w:rFonts w:hint="eastAsia"/>
        </w:rPr>
        <w:t>三是依法治框架解决基层矛盾，切实有效化解基层矛盾纠纷。以“小事不出村，大事不出镇”为目标，完善“三三一”法治模式，依法调解基层矛盾纠纷。组建社区人民调解组织，着重吸纳“五老人员”（老干部、老党员、老教师、老代表和老军人）、基层党员、积极分子成为人民调解员，逐步优化人民调解员结构。创新调解方式方法，探索建立名人调解室。加强人民调解与司法调解、行政调解以及检查、仲裁、信访等工作的衔接联动。</w:t>
      </w:r>
    </w:p>
    <w:p>
      <w:pPr>
        <w:pStyle w:val="5"/>
        <w:ind w:firstLine="562"/>
      </w:pPr>
      <w:bookmarkStart w:id="107" w:name="_Toc107350640"/>
      <w:r>
        <w:rPr>
          <w:rFonts w:hint="eastAsia"/>
        </w:rPr>
        <w:t>（四）发挥“德治”内化作用，促进基层和谐稳定</w:t>
      </w:r>
      <w:bookmarkEnd w:id="107"/>
    </w:p>
    <w:p>
      <w:pPr>
        <w:ind w:firstLine="560"/>
      </w:pPr>
      <w:r>
        <w:rPr>
          <w:rFonts w:hint="eastAsia"/>
        </w:rPr>
        <w:t>一是大力倡导社会主义核心价值观。推动社会主义核心价值观落细落小落实，融入文明公约、村规民约、家风家训。大力加强社会公德、职业道德、家庭美德、个人品德建设，建立机制褒奖乡里德行善事，设立村（社区）贤德光荣榜，让德育内化于心外化于行。</w:t>
      </w:r>
    </w:p>
    <w:p>
      <w:pPr>
        <w:ind w:firstLine="560"/>
      </w:pPr>
      <w:r>
        <w:rPr>
          <w:rFonts w:hint="eastAsia"/>
        </w:rPr>
        <w:t>二是丰富道德宣讲形式，大力培育文明新风。通过新时代文明实践中心等平台，打造“1+</w:t>
      </w:r>
      <w:r>
        <w:t>10</w:t>
      </w:r>
      <w:r>
        <w:rPr>
          <w:rFonts w:hint="eastAsia"/>
        </w:rPr>
        <w:t>+</w:t>
      </w:r>
      <w:r>
        <w:t>N</w:t>
      </w:r>
      <w:r>
        <w:rPr>
          <w:rFonts w:hint="eastAsia"/>
        </w:rPr>
        <w:t>”优秀宣讲队，宣传党的思想政策、传递文明风尚。推出一批深受群众欢迎、扎根基层的名讲师，发掘一批百姓宣讲员，用身边人讲身边事，以“乡音”传递“新声”。</w:t>
      </w:r>
    </w:p>
    <w:p>
      <w:pPr>
        <w:ind w:firstLine="560"/>
      </w:pPr>
      <w:r>
        <w:rPr>
          <w:rFonts w:hint="eastAsia"/>
        </w:rPr>
        <w:t>三是利用家规祖训，开展家风教育。每村各族收集整理家谱、历史、名人故事等宗族文化资源，组织德高望重者讲家风家教故事，组织年轻人讲创业、讲学习、讲传承，以“流动红旗”等形式，激励创先争优。开展“亲情好、身体好、创业好、环境好、友邻好”等“五好”家庭评选活动，弘扬优秀传统美德。</w:t>
      </w:r>
    </w:p>
    <w:p>
      <w:pPr>
        <w:pStyle w:val="5"/>
        <w:ind w:firstLine="562"/>
      </w:pPr>
      <w:bookmarkStart w:id="108" w:name="_Toc107350641"/>
      <w:r>
        <w:rPr>
          <w:rFonts w:hint="eastAsia"/>
        </w:rPr>
        <w:t>（五）发挥“智治”支撑作用，提高基层治理效率</w:t>
      </w:r>
      <w:bookmarkEnd w:id="108"/>
    </w:p>
    <w:p>
      <w:pPr>
        <w:ind w:firstLine="560"/>
      </w:pPr>
      <w:r>
        <w:rPr>
          <w:rFonts w:hint="eastAsia"/>
        </w:rPr>
        <w:t>一是鼓励引导科技下乡，提升村（居）民科学素养。在村（社区）打造科普活动基地，支持科技社团开展社区科学技术普及活动。</w:t>
      </w:r>
    </w:p>
    <w:p>
      <w:pPr>
        <w:ind w:firstLine="560"/>
      </w:pPr>
      <w:r>
        <w:rPr>
          <w:rFonts w:hint="eastAsia"/>
        </w:rPr>
        <w:t>二是加快打造基层社会治理的智能化平台，有机融入智慧城市建设。运用“互联网+网格治理”手段，依托县、镇（街道）、村（社区）三级综治中心，建立多级信息资源共享平台。实行网络化精细管理，科学设定网络划分标准，按“全科网络”标准划分网络、配齐配强网络管理员，构建“横向到边、纵向到底、村（居）不漏户、户不漏人”的基层社会治理“一张网”。以“智慧新警务”为抓手，加快推进“雪亮工程”建设，扩大公共安全视频监控联网应用范围，提高社会治安防范信息化水平。</w:t>
      </w:r>
    </w:p>
    <w:p>
      <w:pPr>
        <w:ind w:firstLine="560"/>
      </w:pPr>
      <w:r>
        <w:rPr>
          <w:rFonts w:hint="eastAsia"/>
        </w:rPr>
        <w:t>三是深化基层公共服务综合平台建设，提高服务村（居）民的能力和水平。利用大数据和信息化技术，整合政务服务、公共服务和公益志愿服务等基层服务资源，构建全流程一体化在线服务平台和便民服务网络，实现基层公共服务事项“群众办事不出村”的“一网式”办理、“一门式”服务。</w:t>
      </w:r>
    </w:p>
    <w:p>
      <w:pPr>
        <w:pStyle w:val="5"/>
        <w:ind w:firstLine="562"/>
      </w:pPr>
      <w:bookmarkStart w:id="109" w:name="_Toc107350642"/>
      <w:r>
        <w:rPr>
          <w:rFonts w:hint="eastAsia"/>
        </w:rPr>
        <w:t>（六）发挥“美治”提升作用，培育建设乡愁文化</w:t>
      </w:r>
      <w:bookmarkEnd w:id="109"/>
    </w:p>
    <w:p>
      <w:pPr>
        <w:ind w:firstLine="560"/>
      </w:pPr>
      <w:r>
        <w:rPr>
          <w:rFonts w:hint="eastAsia"/>
        </w:rPr>
        <w:t>一是推进农村人居环境整治，建设生态宜居美丽乡村。进一步加大农村环境综合治理力度，深化“三清三拆三整治”工作，长效化整治农村“脏、乱、差”，科学实施“雨污分流、改厕、污水处理、禽畜养殖废弃物利用”等，打造提升农村宜居环境。充分尊重乡村自然禀赋和地域文化特色，遵循乡村发展规律，做好顶层设计，用美丽规划引领乡村发展。</w:t>
      </w:r>
    </w:p>
    <w:p>
      <w:pPr>
        <w:ind w:firstLine="560"/>
      </w:pPr>
      <w:r>
        <w:rPr>
          <w:rFonts w:hint="eastAsia"/>
        </w:rPr>
        <w:t>二是加强传统村落保护，培育提升乡愁文化。统筹推进乡愁印记保护工作，挖掘收集保护乡村社区历史，活化老村老街老建筑。着手开展对旧民宅、古旧祠堂、名木古树、古遗迹、民俗文化、文化遗产等的发掘、保护和规划设计，把民族民间文化元素融入乡村建设。加强红色革命遗址保护利用，传承红色基因。因地制宜建设村史馆、乡村振兴展示馆、农耕文化馆、家风家训馆、好人馆等。</w:t>
      </w:r>
    </w:p>
    <w:p>
      <w:pPr>
        <w:ind w:firstLine="560"/>
      </w:pPr>
      <w:r>
        <w:rPr>
          <w:rFonts w:hint="eastAsia"/>
        </w:rPr>
        <w:t>三是传承发展农村优秀传统文化，不断整合推出地域文化资源。结合传统节日、民间特色节庆、农民丰收节等，因地制宜广泛开展乡村文化体育活动。挖掘培养乡土文化本土人才，注重文化场地设施统筹安排，打造文化长廊、文化团队、文化活动、文化产业品牌，促进传统文化资源与现代消费需求有效对接。按照“一村一品、一村一景、一村一业”的错位互补和协同发展格局，培育具有罗浮山地域特色的博罗文化品牌。开展“美丽博罗”创建活动，评选乡村“十美”，打造挖掘一批生态美、村容美、庭院美、生活美、乡风美的美丽乡村。</w:t>
      </w:r>
    </w:p>
    <w:p>
      <w:pPr>
        <w:widowControl/>
        <w:spacing w:line="240" w:lineRule="auto"/>
        <w:ind w:firstLine="0" w:firstLineChars="0"/>
        <w:jc w:val="left"/>
        <w:rPr>
          <w:rFonts w:ascii="仿宋" w:hAnsi="仿宋"/>
          <w:b/>
          <w:bCs/>
          <w:color w:val="000000" w:themeColor="text1"/>
          <w:kern w:val="44"/>
          <w:sz w:val="32"/>
          <w:szCs w:val="28"/>
          <w14:textFill>
            <w14:solidFill>
              <w14:schemeClr w14:val="tx1"/>
            </w14:solidFill>
          </w14:textFill>
        </w:rPr>
      </w:pPr>
      <w:r>
        <w:rPr>
          <w:rFonts w:ascii="仿宋" w:hAnsi="仿宋"/>
          <w:color w:val="000000" w:themeColor="text1"/>
          <w:szCs w:val="28"/>
          <w14:textFill>
            <w14:solidFill>
              <w14:schemeClr w14:val="tx1"/>
            </w14:solidFill>
          </w14:textFill>
        </w:rPr>
        <w:br w:type="page"/>
      </w:r>
    </w:p>
    <w:p>
      <w:pPr>
        <w:pStyle w:val="3"/>
        <w:rPr>
          <w:rFonts w:ascii="仿宋" w:hAnsi="仿宋"/>
          <w:color w:val="000000" w:themeColor="text1"/>
          <w:szCs w:val="28"/>
          <w14:textFill>
            <w14:solidFill>
              <w14:schemeClr w14:val="tx1"/>
            </w14:solidFill>
          </w14:textFill>
        </w:rPr>
      </w:pPr>
      <w:bookmarkStart w:id="110" w:name="_Toc107350643"/>
      <w:r>
        <w:rPr>
          <w:rFonts w:hint="eastAsia" w:ascii="仿宋" w:hAnsi="仿宋"/>
          <w:color w:val="000000" w:themeColor="text1"/>
          <w:szCs w:val="28"/>
          <w14:textFill>
            <w14:solidFill>
              <w14:schemeClr w14:val="tx1"/>
            </w14:solidFill>
          </w14:textFill>
        </w:rPr>
        <w:t>第八章 重点提升工程</w:t>
      </w:r>
      <w:bookmarkEnd w:id="110"/>
    </w:p>
    <w:p>
      <w:pPr>
        <w:ind w:firstLine="560"/>
      </w:pPr>
      <w:r>
        <w:rPr>
          <w:rFonts w:hint="eastAsia" w:cs="Times New Roman"/>
          <w:color w:val="000000"/>
          <w:szCs w:val="28"/>
        </w:rPr>
        <w:t>围绕农业产业和农村发展，实施基础设施、产业化、休闲农业与乡村旅游、科技创新、品牌提升、绿色发展、美丽乡村建设、数字乡村等八大能力提升工程，提高产业支撑能力，促进现代农业发展</w:t>
      </w:r>
      <w:r>
        <w:rPr>
          <w:rFonts w:cs="Times New Roman"/>
          <w:color w:val="000000"/>
          <w:szCs w:val="28"/>
        </w:rPr>
        <w:t>。</w:t>
      </w:r>
    </w:p>
    <w:p>
      <w:pPr>
        <w:pStyle w:val="4"/>
        <w:ind w:firstLine="602" w:firstLineChars="200"/>
      </w:pPr>
      <w:bookmarkStart w:id="111" w:name="_Toc107350644"/>
      <w:r>
        <w:rPr>
          <w:rFonts w:hint="eastAsia"/>
        </w:rPr>
        <w:t>一、农业基础设施与现代农业装备工程</w:t>
      </w:r>
      <w:bookmarkEnd w:id="111"/>
    </w:p>
    <w:p>
      <w:pPr>
        <w:pStyle w:val="5"/>
        <w:ind w:firstLine="562"/>
      </w:pPr>
      <w:bookmarkStart w:id="112" w:name="_Toc107350645"/>
      <w:r>
        <w:rPr>
          <w:rFonts w:hint="eastAsia"/>
        </w:rPr>
        <w:t>（一）加强高标准农田建设</w:t>
      </w:r>
      <w:bookmarkEnd w:id="112"/>
    </w:p>
    <w:p>
      <w:pPr>
        <w:ind w:firstLine="560"/>
      </w:pPr>
      <w:r>
        <w:rPr>
          <w:rFonts w:hint="eastAsia" w:cs="Times New Roman"/>
          <w:szCs w:val="28"/>
        </w:rPr>
        <w:t>建设集中连片、设施配套、高产稳产、生态良好、抗灾能力强、与现代农业生产和经营方式相适应的高标准农田。加快中低产田改造提升，针对主要制约因素，有针对性的实施测土配方施肥、土壤改良、土地平整、水利配套升级等措施，提升地力等级，建设稳产高产基本农田。加强坡地的水土流失治理、水利设施配套、土地平整及机耕路网的修建。加快灌区节水改造、小型农田水利建设、排水排涝整治、水利信息化建设等骨干水利项目建设，抓好中型灌区及小型农田水利工程建设，进一步恢复改善灌溉设施，解决农田灌排“最后一公里”问题，提升博罗县农业发展防汛、抗旱减灾能力。建立科学合理的轮作制度和灌溉制度，科学化指导农业生产。</w:t>
      </w:r>
      <w:r>
        <w:rPr>
          <w:rFonts w:hint="eastAsia" w:ascii="仿宋" w:hAnsi="仿宋"/>
          <w:szCs w:val="28"/>
        </w:rPr>
        <w:t>争取到2</w:t>
      </w:r>
      <w:r>
        <w:rPr>
          <w:rFonts w:ascii="仿宋" w:hAnsi="仿宋"/>
          <w:szCs w:val="28"/>
        </w:rPr>
        <w:t>025</w:t>
      </w:r>
      <w:r>
        <w:rPr>
          <w:rFonts w:hint="eastAsia" w:ascii="仿宋" w:hAnsi="仿宋"/>
          <w:szCs w:val="28"/>
        </w:rPr>
        <w:t>年，高标准农田实现粮食生产功能区全覆盖，同时对已完成高标准农田建设的地块再次进行提升，提高机械化、数字化水平。</w:t>
      </w:r>
    </w:p>
    <w:p>
      <w:pPr>
        <w:pStyle w:val="5"/>
        <w:ind w:firstLine="562"/>
      </w:pPr>
      <w:bookmarkStart w:id="113" w:name="_Toc107350646"/>
      <w:r>
        <w:rPr>
          <w:rFonts w:hint="eastAsia"/>
        </w:rPr>
        <w:t>（二）养殖场标准化改造工程</w:t>
      </w:r>
      <w:bookmarkEnd w:id="113"/>
    </w:p>
    <w:p>
      <w:pPr>
        <w:adjustRightInd w:val="0"/>
        <w:snapToGrid w:val="0"/>
        <w:ind w:firstLine="560"/>
        <w:rPr>
          <w:rFonts w:ascii="仿宋" w:hAnsi="仿宋"/>
          <w:color w:val="000000" w:themeColor="text1"/>
          <w:szCs w:val="28"/>
          <w14:textFill>
            <w14:solidFill>
              <w14:schemeClr w14:val="tx1"/>
            </w14:solidFill>
          </w14:textFill>
        </w:rPr>
      </w:pPr>
      <w:r>
        <w:rPr>
          <w:rFonts w:hint="eastAsia" w:ascii="仿宋" w:hAnsi="仿宋"/>
          <w:color w:val="000000" w:themeColor="text1"/>
          <w:szCs w:val="28"/>
          <w14:textFill>
            <w14:solidFill>
              <w14:schemeClr w14:val="tx1"/>
            </w14:solidFill>
          </w14:textFill>
        </w:rPr>
        <w:t>在全县范围内，推动畜禽养殖场新一轮升级改造工作，</w:t>
      </w:r>
      <w:r>
        <w:rPr>
          <w:rFonts w:hint="eastAsia"/>
        </w:rPr>
        <w:t>深入开展养殖场雨污分流改造，引入干清粪工艺、垫料养殖工艺等先进养殖工艺，推广建设沼气池、配套消纳田、沉淀池等，鼓励“畜牧+种植”、“畜牧+种植+水产养殖”等多种模式融合发展，减少养殖对周边环境的污染；</w:t>
      </w:r>
      <w:r>
        <w:rPr>
          <w:rFonts w:hint="eastAsia"/>
          <w:color w:val="000000" w:themeColor="text1"/>
          <w14:textFill>
            <w14:solidFill>
              <w14:schemeClr w14:val="tx1"/>
            </w14:solidFill>
          </w14:textFill>
        </w:rPr>
        <w:t>有序推进水产养殖池塘标准化改造和养殖尾水治理，重点进行池塘清淤挖深、塘堤护坡加固、进排水管网改造、电路改造、生产道路加固拓宽等基础设施完善，运用生物、物理、化学的方法开展养殖尾水治理，实现博罗县渔业绿色高质量发展。</w:t>
      </w:r>
    </w:p>
    <w:p>
      <w:pPr>
        <w:pStyle w:val="5"/>
        <w:ind w:firstLine="562"/>
      </w:pPr>
      <w:bookmarkStart w:id="114" w:name="_Toc107350647"/>
      <w:r>
        <w:rPr>
          <w:rFonts w:hint="eastAsia"/>
        </w:rPr>
        <w:t>（三）万亩茶叶种植基地建设工程</w:t>
      </w:r>
      <w:bookmarkEnd w:id="114"/>
    </w:p>
    <w:p>
      <w:pPr>
        <w:ind w:firstLine="560"/>
      </w:pPr>
      <w:r>
        <w:rPr>
          <w:rFonts w:hint="eastAsia"/>
        </w:rPr>
        <w:t>以柏塘镇为核心，选取集中连片的土地，通过土壤改良提升地力，推广测土配方施肥提高肥料利用率；完善水电路等基础设施，提升茶叶种植现代化水平；引进土壤墒情监测系统、病虫害自动监测系统、生物统防统控系统、遥感技术、区块链技术等，提升茶叶种植数字化水平，打造规模化、标准化、数字化的</w:t>
      </w:r>
      <w:r>
        <w:t>20</w:t>
      </w:r>
      <w:r>
        <w:rPr>
          <w:rFonts w:hint="eastAsia"/>
        </w:rPr>
        <w:t>万亩有机茶叶种植示范基地。</w:t>
      </w:r>
    </w:p>
    <w:p>
      <w:pPr>
        <w:pStyle w:val="5"/>
        <w:ind w:firstLine="562"/>
      </w:pPr>
      <w:bookmarkStart w:id="115" w:name="_Toc107350648"/>
      <w:r>
        <w:rPr>
          <w:rFonts w:hint="eastAsia"/>
        </w:rPr>
        <w:t>（四）南药标准化种植示范基地建设工程</w:t>
      </w:r>
      <w:bookmarkEnd w:id="115"/>
    </w:p>
    <w:p>
      <w:pPr>
        <w:ind w:firstLine="560"/>
      </w:pPr>
      <w:r>
        <w:rPr>
          <w:rFonts w:hint="eastAsia"/>
        </w:rPr>
        <w:t>依托博罗县药用植物资源丰富、种植面积大、品种多的资源优势，结合气候条件、土壤资源等，建立连片南药种植示范基地，配套修建装配间、接种间、培养室、温室大棚等种植基础设施，探索垂直分层种植模式；建立农业产业化创新联合体，探索“企业+合作社+种植基地+农户”、“企业+种植基地+农户”等多种合作模式，打造多个科技水平高、管理模式先进、高质高效的南药标准化示范种植基地。</w:t>
      </w:r>
    </w:p>
    <w:p>
      <w:pPr>
        <w:pStyle w:val="5"/>
        <w:ind w:firstLine="562"/>
      </w:pPr>
      <w:bookmarkStart w:id="116" w:name="_Toc107350649"/>
      <w:r>
        <w:rPr>
          <w:rFonts w:hint="eastAsia"/>
        </w:rPr>
        <w:t>（五）花卉数字化种植示范基地建设工程</w:t>
      </w:r>
      <w:bookmarkEnd w:id="116"/>
    </w:p>
    <w:p>
      <w:pPr>
        <w:ind w:firstLine="560"/>
      </w:pPr>
      <w:r>
        <w:rPr>
          <w:rFonts w:hint="eastAsia"/>
        </w:rPr>
        <w:t>以杨村镇为核心，以羊和村花卉基地为基础，打造博罗县花卉产业观光基地，规划设计花卉景观，建立花卉研学基地，建设花卉销售中心和物流配送中心，将其打造成花卉种植、销售、观光、研学于一体的花卉产业观光基地。</w:t>
      </w:r>
    </w:p>
    <w:tbl>
      <w:tblPr>
        <w:tblStyle w:val="23"/>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2" w:type="dxa"/>
            <w:vAlign w:val="center"/>
          </w:tcPr>
          <w:p>
            <w:pPr>
              <w:pStyle w:val="39"/>
              <w:snapToGrid w:val="0"/>
              <w:jc w:val="center"/>
              <w:rPr>
                <w:rFonts w:hint="default" w:ascii="仿宋" w:hAnsi="仿宋" w:eastAsia="仿宋"/>
                <w:b/>
                <w:bCs/>
              </w:rPr>
            </w:pPr>
            <w:r>
              <w:rPr>
                <w:rFonts w:ascii="仿宋" w:hAnsi="仿宋" w:eastAsia="仿宋"/>
                <w:b/>
                <w:bCs/>
              </w:rPr>
              <w:t>专栏</w:t>
            </w:r>
            <w:r>
              <w:rPr>
                <w:rFonts w:hint="default" w:ascii="仿宋" w:hAnsi="仿宋" w:eastAsia="仿宋"/>
                <w:b/>
                <w:bCs/>
              </w:rPr>
              <w:t>1</w:t>
            </w:r>
            <w:r>
              <w:rPr>
                <w:rFonts w:ascii="仿宋" w:hAnsi="仿宋" w:eastAsia="仿宋"/>
                <w:b/>
                <w:bCs/>
              </w:rPr>
              <w:t>：农业基础设施与现代农业装备工程重点项目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2" w:type="dxa"/>
            <w:vAlign w:val="center"/>
          </w:tcPr>
          <w:p>
            <w:pPr>
              <w:pStyle w:val="41"/>
              <w:numPr>
                <w:ilvl w:val="0"/>
                <w:numId w:val="1"/>
              </w:numPr>
              <w:adjustRightInd w:val="0"/>
              <w:spacing w:line="360" w:lineRule="auto"/>
              <w:ind w:firstLineChars="0"/>
              <w:rPr>
                <w:rFonts w:ascii="Times New Roman" w:hAnsi="Times New Roman" w:eastAsia="仿宋" w:cs="Times New Roman"/>
                <w:b/>
                <w:bCs/>
                <w:kern w:val="0"/>
                <w:sz w:val="24"/>
                <w:szCs w:val="22"/>
              </w:rPr>
            </w:pPr>
            <w:r>
              <w:rPr>
                <w:rFonts w:hint="eastAsia" w:ascii="Times New Roman" w:hAnsi="Times New Roman" w:eastAsia="仿宋" w:cs="Times New Roman"/>
                <w:b/>
                <w:bCs/>
                <w:color w:val="000000"/>
                <w:kern w:val="0"/>
                <w:sz w:val="24"/>
                <w:szCs w:val="22"/>
              </w:rPr>
              <w:t>高标准农田建设项目：</w:t>
            </w:r>
            <w:r>
              <w:rPr>
                <w:rFonts w:hint="eastAsia" w:ascii="Times New Roman" w:hAnsi="Times New Roman" w:eastAsia="仿宋" w:cs="Times New Roman"/>
                <w:color w:val="000000"/>
                <w:kern w:val="0"/>
                <w:sz w:val="24"/>
                <w:szCs w:val="22"/>
              </w:rPr>
              <w:t>建设集中连片、设施配套、高产稳产、生态良好、抗灾能力强、与现代农业生产和经营方式相适应的高标准农田，争取到2025年，实现粮食生产功能区全覆盖。</w:t>
            </w:r>
          </w:p>
          <w:p>
            <w:pPr>
              <w:pStyle w:val="41"/>
              <w:numPr>
                <w:ilvl w:val="0"/>
                <w:numId w:val="1"/>
              </w:numPr>
              <w:adjustRightInd w:val="0"/>
              <w:spacing w:line="360" w:lineRule="auto"/>
              <w:ind w:firstLineChars="0"/>
              <w:rPr>
                <w:rFonts w:ascii="Times New Roman" w:hAnsi="Times New Roman" w:eastAsia="仿宋" w:cs="Times New Roman"/>
                <w:color w:val="000000"/>
                <w:kern w:val="0"/>
                <w:sz w:val="24"/>
                <w:szCs w:val="22"/>
              </w:rPr>
            </w:pPr>
            <w:r>
              <w:rPr>
                <w:rFonts w:hint="eastAsia" w:ascii="Times New Roman" w:hAnsi="Times New Roman" w:eastAsia="仿宋" w:cs="Times New Roman"/>
                <w:b/>
                <w:bCs/>
                <w:color w:val="000000"/>
                <w:kern w:val="0"/>
                <w:sz w:val="24"/>
                <w:szCs w:val="22"/>
              </w:rPr>
              <w:t>养殖场标准化升级改造工程：</w:t>
            </w:r>
            <w:r>
              <w:rPr>
                <w:rFonts w:hint="eastAsia" w:ascii="Times New Roman" w:hAnsi="Times New Roman" w:eastAsia="仿宋" w:cs="Times New Roman"/>
                <w:color w:val="000000"/>
                <w:kern w:val="0"/>
                <w:sz w:val="24"/>
                <w:szCs w:val="22"/>
              </w:rPr>
              <w:t>在全县范围内，推动畜禽养殖场新一轮升级改造，深入开展养殖场雨污分流改造，引入干清粪工艺、垫料养殖工艺等先进养殖工艺，推广建设沼气池、配套消纳田、沉淀池等，鼓励“畜牧+种植”、“畜牧+种植+水产养殖”等多种模式融合发展，减少养殖对周边环境的污染。</w:t>
            </w:r>
          </w:p>
          <w:p>
            <w:pPr>
              <w:pStyle w:val="41"/>
              <w:numPr>
                <w:ilvl w:val="0"/>
                <w:numId w:val="1"/>
              </w:numPr>
              <w:adjustRightInd w:val="0"/>
              <w:spacing w:line="360" w:lineRule="auto"/>
              <w:ind w:firstLineChars="0"/>
              <w:rPr>
                <w:rFonts w:ascii="Times New Roman" w:hAnsi="Times New Roman" w:eastAsia="仿宋" w:cs="Times New Roman"/>
                <w:color w:val="000000"/>
                <w:kern w:val="0"/>
                <w:sz w:val="24"/>
                <w:szCs w:val="22"/>
              </w:rPr>
            </w:pPr>
            <w:r>
              <w:rPr>
                <w:rFonts w:hint="eastAsia" w:ascii="Times New Roman" w:hAnsi="Times New Roman" w:eastAsia="仿宋" w:cs="Times New Roman"/>
                <w:b/>
                <w:bCs/>
                <w:color w:val="000000"/>
                <w:kern w:val="0"/>
                <w:sz w:val="24"/>
                <w:szCs w:val="22"/>
              </w:rPr>
              <w:t>万亩有机茶叶种植示范基地建设工程：</w:t>
            </w:r>
            <w:r>
              <w:rPr>
                <w:rFonts w:hint="eastAsia" w:ascii="Times New Roman" w:hAnsi="Times New Roman" w:eastAsia="仿宋" w:cs="Times New Roman"/>
                <w:color w:val="000000"/>
                <w:kern w:val="0"/>
                <w:sz w:val="24"/>
                <w:szCs w:val="22"/>
              </w:rPr>
              <w:t>以柏塘镇为核心，选取集中连片的土地，通过土壤改良提升地力，推广测土配方施肥提高肥料利用率；完善水电路等基础设施，提升茶叶种植现代化水平；引进土壤墒情监测系统、病虫害自动监测系统、生物统防统控系统、遥感技术、区块链技术等，提升茶叶种植数字化水平。打造规模化、标准化、数字化的</w:t>
            </w:r>
            <w:r>
              <w:rPr>
                <w:rFonts w:ascii="Times New Roman" w:hAnsi="Times New Roman" w:eastAsia="仿宋" w:cs="Times New Roman"/>
                <w:color w:val="000000"/>
                <w:kern w:val="0"/>
                <w:sz w:val="24"/>
                <w:szCs w:val="22"/>
              </w:rPr>
              <w:t>2</w:t>
            </w:r>
            <w:r>
              <w:rPr>
                <w:rFonts w:hint="eastAsia" w:ascii="Times New Roman" w:hAnsi="Times New Roman" w:eastAsia="仿宋" w:cs="Times New Roman"/>
                <w:color w:val="000000"/>
                <w:kern w:val="0"/>
                <w:sz w:val="24"/>
                <w:szCs w:val="22"/>
              </w:rPr>
              <w:t>0万亩有机茶叶种植示范基地。</w:t>
            </w:r>
          </w:p>
          <w:p>
            <w:pPr>
              <w:pStyle w:val="41"/>
              <w:numPr>
                <w:ilvl w:val="0"/>
                <w:numId w:val="1"/>
              </w:numPr>
              <w:adjustRightInd w:val="0"/>
              <w:spacing w:line="360" w:lineRule="auto"/>
              <w:ind w:firstLineChars="0"/>
              <w:rPr>
                <w:rFonts w:ascii="Times New Roman" w:hAnsi="Times New Roman" w:eastAsia="仿宋" w:cs="Times New Roman"/>
                <w:color w:val="000000"/>
                <w:kern w:val="0"/>
                <w:sz w:val="24"/>
                <w:szCs w:val="22"/>
              </w:rPr>
            </w:pPr>
            <w:r>
              <w:rPr>
                <w:rFonts w:hint="eastAsia" w:ascii="Times New Roman" w:hAnsi="Times New Roman" w:eastAsia="仿宋" w:cs="Times New Roman"/>
                <w:b/>
                <w:bCs/>
                <w:color w:val="000000"/>
                <w:kern w:val="0"/>
                <w:sz w:val="24"/>
                <w:szCs w:val="22"/>
              </w:rPr>
              <w:t>南药标准化种植示范基地建设工程：</w:t>
            </w:r>
            <w:r>
              <w:rPr>
                <w:rFonts w:hint="eastAsia" w:ascii="Times New Roman" w:hAnsi="Times New Roman" w:eastAsia="仿宋" w:cs="Times New Roman"/>
                <w:color w:val="000000"/>
                <w:kern w:val="0"/>
                <w:sz w:val="24"/>
                <w:szCs w:val="22"/>
              </w:rPr>
              <w:t>依托博罗县药用植物资源丰富、种植面积大、品种多的资源优势，结合气候条件、土壤资源，建立连片南药种植示范基地，完善装配间、接种间、培养室、温室大棚等种植设施，探索垂直分层种植模式，打造农业产业化创新联合体，建立“企业+合作社+种植基地+农户”、“企业+种植基地+农户”等多种合作模式，打造多个科技水平高、管理模式先进、高质高效的南药标准化示范种植基地。</w:t>
            </w:r>
          </w:p>
          <w:p>
            <w:pPr>
              <w:pStyle w:val="41"/>
              <w:numPr>
                <w:ilvl w:val="0"/>
                <w:numId w:val="1"/>
              </w:numPr>
              <w:adjustRightInd w:val="0"/>
              <w:spacing w:line="360" w:lineRule="auto"/>
              <w:ind w:firstLineChars="0"/>
              <w:rPr>
                <w:rFonts w:ascii="Times New Roman" w:hAnsi="Times New Roman" w:eastAsia="仿宋" w:cs="Times New Roman"/>
                <w:color w:val="000000"/>
                <w:kern w:val="0"/>
                <w:sz w:val="24"/>
                <w:szCs w:val="22"/>
              </w:rPr>
            </w:pPr>
            <w:r>
              <w:rPr>
                <w:rFonts w:hint="eastAsia" w:ascii="Times New Roman" w:hAnsi="Times New Roman" w:eastAsia="仿宋" w:cs="Times New Roman"/>
                <w:b/>
                <w:bCs/>
                <w:color w:val="000000"/>
                <w:kern w:val="0"/>
                <w:sz w:val="24"/>
                <w:szCs w:val="22"/>
              </w:rPr>
              <w:t>花卉数字化种植示范基地建设工程：</w:t>
            </w:r>
            <w:r>
              <w:rPr>
                <w:rFonts w:hint="eastAsia" w:ascii="Times New Roman" w:hAnsi="Times New Roman" w:eastAsia="仿宋" w:cs="Times New Roman"/>
                <w:color w:val="000000"/>
                <w:kern w:val="0"/>
                <w:sz w:val="24"/>
                <w:szCs w:val="22"/>
              </w:rPr>
              <w:t>以杨村镇为核心，以羊和村花卉基地为基础，打造博罗县花卉产业观光基地，规划设计花卉景观，建立花卉研学基地，建设花卉销售中心和物流配送中心，将其打造成花卉种植、销售、观光、研学于一体的花卉产业观光基地。</w:t>
            </w:r>
          </w:p>
        </w:tc>
      </w:tr>
    </w:tbl>
    <w:p>
      <w:pPr>
        <w:pStyle w:val="4"/>
        <w:ind w:firstLine="602" w:firstLineChars="200"/>
      </w:pPr>
      <w:bookmarkStart w:id="117" w:name="_Toc107350650"/>
      <w:r>
        <w:rPr>
          <w:rFonts w:hint="eastAsia"/>
        </w:rPr>
        <w:t>二、现代农业产业化提升工程</w:t>
      </w:r>
      <w:bookmarkEnd w:id="117"/>
    </w:p>
    <w:p>
      <w:pPr>
        <w:pStyle w:val="5"/>
        <w:ind w:firstLine="562"/>
      </w:pPr>
      <w:bookmarkStart w:id="118" w:name="_Toc107350651"/>
      <w:r>
        <w:rPr>
          <w:rFonts w:hint="eastAsia"/>
        </w:rPr>
        <w:t>（一）新品种培育示范推广工程</w:t>
      </w:r>
      <w:bookmarkEnd w:id="118"/>
    </w:p>
    <w:p>
      <w:pPr>
        <w:ind w:firstLine="560"/>
      </w:pPr>
      <w:r>
        <w:rPr>
          <w:rFonts w:hint="eastAsia"/>
        </w:rPr>
        <w:t>以博罗县农业农村综合服务中心、农业科技示范场、农科所、龙头企业为主体，与相关科研部门合作，建立种质资源库，搭建优质品种引进与推广平台。针对博罗县特色农产品，加强丝苗米、茶叶、蔬菜、花卉、生猪、鱼类等优质品种资源的挖掘和培育，针对优质资源开展提纯复壮工作，打造博罗特色种质资源；依托罗浮山生物资源，加大南药野生优良品种的筛选、保存和培育，做强做大博罗南药品牌；结合惠州市三黄鸡产业集群建设工程，强化三黄鸡优质品质的提纯复壮和新品种培育的技术攻关；打造种质资源库和资源圃，做好种质资源保护；建立良种繁育基地新品种示范推广基地，举办新品种展示交流大会，加大优质品种的推广力度和不同品种的交流，拓宽发展思路，提升博罗农业良种覆盖率，助力博罗农业产业现代化发展。</w:t>
      </w:r>
    </w:p>
    <w:p>
      <w:pPr>
        <w:pStyle w:val="5"/>
        <w:ind w:firstLine="562"/>
      </w:pPr>
      <w:bookmarkStart w:id="119" w:name="_Toc107350652"/>
      <w:r>
        <w:rPr>
          <w:rFonts w:hint="eastAsia"/>
        </w:rPr>
        <w:t>（二）农产品精深加工建设工程</w:t>
      </w:r>
      <w:bookmarkEnd w:id="119"/>
    </w:p>
    <w:p>
      <w:pPr>
        <w:ind w:firstLine="560"/>
      </w:pPr>
      <w:r>
        <w:rPr>
          <w:rFonts w:hint="eastAsia"/>
        </w:rPr>
        <w:t>围绕博罗县南药、丝苗米、蔬菜、黄羽鸡、茶叶等特色优势产业，以产业园、产业集群、“一村一品”建设为抓手，鼓励和扶持精深加工企业、合作社，引进先进生产技术、购买或研发现代生产设备、引进或培育专业技术人才，建立技术集成、管理科学、生产高效、生态文明的精深加工基地，延长农业产业链、提升农产品附加值、拓宽农业发展渠道，提升博罗县农产品加工率，促进博罗县农业生产与加工融合发展。</w:t>
      </w:r>
    </w:p>
    <w:p>
      <w:pPr>
        <w:pStyle w:val="5"/>
        <w:ind w:firstLine="562"/>
      </w:pPr>
      <w:bookmarkStart w:id="120" w:name="_Toc107350653"/>
      <w:r>
        <w:rPr>
          <w:rFonts w:hint="eastAsia"/>
        </w:rPr>
        <w:t>（三）农产品冷链物流配送工程</w:t>
      </w:r>
      <w:bookmarkEnd w:id="120"/>
    </w:p>
    <w:p>
      <w:pPr>
        <w:ind w:firstLine="560"/>
      </w:pPr>
      <w:r>
        <w:rPr>
          <w:rFonts w:hint="eastAsia"/>
        </w:rPr>
        <w:t>整合各方资源，加强博罗县农产品冷链物流基础设施建设，分别在石坝镇和石湾镇建立农产品流通基地和集散中心，实现对全县农产品冷链运输全覆盖。充分发挥农产品流通在连接产销、促进农业经济结构调整中起到的作用，以及促进城乡市场一体化发展方面的作用，打造一个以资源为依托、以物流为渠道、以交易为平台、以集散为动力的农产品产业链。</w:t>
      </w:r>
    </w:p>
    <w:p>
      <w:pPr>
        <w:pStyle w:val="5"/>
        <w:ind w:firstLine="562"/>
        <w:rPr>
          <w:b w:val="0"/>
          <w:bCs w:val="0"/>
        </w:rPr>
      </w:pPr>
      <w:bookmarkStart w:id="121" w:name="_Toc107350654"/>
      <w:r>
        <w:rPr>
          <w:rFonts w:hint="eastAsia"/>
        </w:rPr>
        <w:t>（四）博罗县畜禽屠宰产业化建设项目工程</w:t>
      </w:r>
      <w:bookmarkEnd w:id="121"/>
    </w:p>
    <w:p>
      <w:pPr>
        <w:ind w:firstLine="560"/>
      </w:pPr>
      <w:r>
        <w:rPr>
          <w:rFonts w:hint="eastAsia"/>
        </w:rPr>
        <w:t>按照市场主导、政府引导原则，稳步推进畜禽屠宰行业新一轮转型升级，调减增量、调优存量，在资金、政策、土地资源等方面支持屠宰企业整合，形成一个经济实力雄厚、管理规范高效、抗风险能力强的生猪屠宰产业集群。加大对县肉类联合加工厂扶持力度，大力发展规模化、机械化屠宰；加快推动博东、博西片区屠宰中心建设，提升质量管理能力，优化工艺流程，完善屠宰过程质量控制措施。引导屠宰企业向养殖集中区域布局，延伸上下游产业链，推进屠宰场与养殖场、超市对接，实现养殖、屠宰、加工、配送、销售一体化经营，实现设施标准化、环境整洁化、生产规范化、检测科学化、处理无害化、监管常态化，培育一批标准高、管理严、质量优、品牌响的标准化屠宰企业。</w:t>
      </w:r>
    </w:p>
    <w:tbl>
      <w:tblPr>
        <w:tblStyle w:val="23"/>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2" w:type="dxa"/>
            <w:vAlign w:val="center"/>
          </w:tcPr>
          <w:p>
            <w:pPr>
              <w:pStyle w:val="39"/>
              <w:snapToGrid w:val="0"/>
              <w:jc w:val="center"/>
              <w:rPr>
                <w:rFonts w:hint="default" w:ascii="仿宋" w:hAnsi="仿宋" w:eastAsia="仿宋"/>
                <w:b/>
                <w:bCs/>
              </w:rPr>
            </w:pPr>
            <w:r>
              <w:rPr>
                <w:rFonts w:ascii="仿宋" w:hAnsi="仿宋" w:eastAsia="仿宋"/>
                <w:b/>
                <w:bCs/>
              </w:rPr>
              <w:t>专栏2：现代农业产业化提升工程重点项目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2" w:type="dxa"/>
            <w:vAlign w:val="center"/>
          </w:tcPr>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kern w:val="0"/>
                <w:sz w:val="24"/>
                <w:szCs w:val="22"/>
              </w:rPr>
            </w:pPr>
            <w:r>
              <w:rPr>
                <w:rFonts w:hint="eastAsia" w:ascii="Times New Roman" w:hAnsi="Times New Roman" w:eastAsia="仿宋" w:cs="Times New Roman"/>
                <w:b/>
                <w:bCs/>
                <w:kern w:val="0"/>
                <w:sz w:val="24"/>
                <w:szCs w:val="22"/>
              </w:rPr>
              <w:t>新品种培育示范推广项目：</w:t>
            </w:r>
            <w:r>
              <w:rPr>
                <w:rFonts w:hint="eastAsia" w:ascii="Times New Roman" w:hAnsi="Times New Roman" w:eastAsia="仿宋" w:cs="Times New Roman"/>
                <w:kern w:val="0"/>
                <w:sz w:val="24"/>
                <w:szCs w:val="22"/>
              </w:rPr>
              <w:t>以博罗县农业科技示范场为主体，选取平整连片土地，提升改造，完善基础设施，配套农业物联网、数字采集监控系统等数字化设施，建立新品种培育示范基地，加大新品种的引进及培育，带动博罗县农业现代化发展。</w:t>
            </w:r>
          </w:p>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kern w:val="0"/>
                <w:sz w:val="24"/>
                <w:szCs w:val="22"/>
              </w:rPr>
            </w:pPr>
            <w:r>
              <w:rPr>
                <w:rFonts w:hint="eastAsia" w:ascii="Times New Roman" w:hAnsi="Times New Roman" w:eastAsia="仿宋" w:cs="Times New Roman"/>
                <w:b/>
                <w:bCs/>
                <w:color w:val="000000"/>
                <w:kern w:val="0"/>
                <w:sz w:val="24"/>
                <w:szCs w:val="22"/>
              </w:rPr>
              <w:t>“一村一品”建设工程：</w:t>
            </w:r>
            <w:r>
              <w:rPr>
                <w:rFonts w:hint="eastAsia" w:ascii="Times New Roman" w:hAnsi="Times New Roman" w:eastAsia="仿宋" w:cs="Times New Roman"/>
                <w:color w:val="000000"/>
                <w:kern w:val="0"/>
                <w:sz w:val="24"/>
                <w:szCs w:val="22"/>
              </w:rPr>
              <w:t>在全县范围内，开展“一村一品”建设，鼓励各村、镇挖掘自身自然资源、文化资源，依据自身优势及农民意愿，打造不同产业、不同模式的农业产业，推动博罗县农业多样化发展，带动农民发家致富，增产增收。</w:t>
            </w:r>
          </w:p>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color w:val="000000"/>
                <w:kern w:val="0"/>
                <w:sz w:val="24"/>
                <w:szCs w:val="22"/>
              </w:rPr>
            </w:pPr>
            <w:r>
              <w:rPr>
                <w:rFonts w:hint="eastAsia" w:ascii="Times New Roman" w:hAnsi="Times New Roman" w:eastAsia="仿宋" w:cs="Times New Roman"/>
                <w:b/>
                <w:bCs/>
                <w:color w:val="000000"/>
                <w:kern w:val="0"/>
                <w:sz w:val="24"/>
                <w:szCs w:val="22"/>
              </w:rPr>
              <w:t>黄羽鸡产业集群建设工程：</w:t>
            </w:r>
            <w:r>
              <w:rPr>
                <w:rFonts w:hint="eastAsia" w:ascii="Times New Roman" w:hAnsi="Times New Roman" w:eastAsia="仿宋" w:cs="Times New Roman"/>
                <w:color w:val="000000"/>
                <w:kern w:val="0"/>
                <w:sz w:val="24"/>
                <w:szCs w:val="22"/>
              </w:rPr>
              <w:t>加强博罗县黄羽肉鸡优势特色标准化生产基地建设、大力发展优势特色黄羽肉鸡加工营销、健全黄羽肉鸡产业经营组织体系、强化先进要素集聚支撑和建立健全利益联结机制。从黄羽肉鸡研发、屠宰加工、食品开发、品牌营销、展示交易等多个方面，带动强化养殖、种苗、屠宰加工、仓储物流与粪污综合利用等短板环节，促进现代要素集中、大型企业集聚发展，打造集生产、加工、流通、科技、服务等于一体的产业集群。</w:t>
            </w:r>
          </w:p>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color w:val="000000"/>
                <w:kern w:val="0"/>
                <w:sz w:val="24"/>
                <w:szCs w:val="22"/>
              </w:rPr>
            </w:pPr>
            <w:r>
              <w:rPr>
                <w:rFonts w:hint="eastAsia" w:ascii="Times New Roman" w:hAnsi="Times New Roman" w:eastAsia="仿宋" w:cs="Times New Roman"/>
                <w:b/>
                <w:bCs/>
                <w:color w:val="000000"/>
                <w:kern w:val="0"/>
                <w:sz w:val="24"/>
                <w:szCs w:val="22"/>
              </w:rPr>
              <w:t>南药产业园建设工程：</w:t>
            </w:r>
            <w:r>
              <w:rPr>
                <w:rFonts w:hint="eastAsia" w:ascii="Times New Roman" w:hAnsi="Times New Roman" w:eastAsia="仿宋" w:cs="Times New Roman"/>
                <w:color w:val="000000"/>
                <w:kern w:val="0"/>
                <w:sz w:val="24"/>
                <w:szCs w:val="22"/>
              </w:rPr>
              <w:t>充分发挥罗浮山药用资源禀赋，继续加大对南药产业园的投资建设，完善基础设施，建立南药标准化种植基地；加大与科研院所的合作，引入南药育种企业，建立南药种质资源圃；加大科技投入，大力发展药材精深加工，延长产业链；发展产业集群，打造品牌优势，提升市场竞争力，将其打造成高产高效高质的南药生产加工中心。</w:t>
            </w:r>
          </w:p>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color w:val="000000"/>
                <w:kern w:val="0"/>
                <w:sz w:val="24"/>
                <w:szCs w:val="22"/>
              </w:rPr>
            </w:pPr>
            <w:r>
              <w:rPr>
                <w:rFonts w:hint="eastAsia" w:ascii="Times New Roman" w:hAnsi="Times New Roman" w:eastAsia="仿宋" w:cs="Times New Roman"/>
                <w:b/>
                <w:bCs/>
                <w:color w:val="000000"/>
                <w:kern w:val="0"/>
                <w:sz w:val="24"/>
                <w:szCs w:val="22"/>
              </w:rPr>
              <w:t>博罗县丝苗米产业园建设工程：</w:t>
            </w:r>
            <w:r>
              <w:rPr>
                <w:rFonts w:hint="eastAsia" w:ascii="Times New Roman" w:hAnsi="Times New Roman" w:eastAsia="仿宋" w:cs="Times New Roman"/>
                <w:color w:val="000000"/>
                <w:kern w:val="0"/>
                <w:sz w:val="24"/>
                <w:szCs w:val="22"/>
              </w:rPr>
              <w:t>以石湾镇粮食功能生产区为核心，全力推动丝苗米产业园建设。鼓励企业集中流转土地，建立丝苗米标准化种植基地；加强与科研院所合作，建立健全育繁推一体化体系；加大科学技术投入，优先开展数字田园建设，推动智能感知、智能分析、智能控制技术与装备在大田种植上的集成应用，提升生产精准化、智慧化水平；建立丝苗米精深加工生产线，研发出更多丝苗米相关产品，延长拓宽产业链。</w:t>
            </w:r>
          </w:p>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b/>
                <w:bCs/>
                <w:color w:val="000000"/>
                <w:kern w:val="0"/>
                <w:sz w:val="24"/>
                <w:szCs w:val="22"/>
              </w:rPr>
            </w:pPr>
            <w:r>
              <w:rPr>
                <w:rFonts w:hint="eastAsia" w:ascii="Times New Roman" w:hAnsi="Times New Roman" w:eastAsia="仿宋" w:cs="Times New Roman"/>
                <w:b/>
                <w:bCs/>
                <w:color w:val="000000"/>
                <w:kern w:val="0"/>
                <w:sz w:val="24"/>
                <w:szCs w:val="22"/>
              </w:rPr>
              <w:t>粤港澳大湾区绿色农产品生产供应基地建设工程：</w:t>
            </w:r>
            <w:r>
              <w:rPr>
                <w:rFonts w:hint="eastAsia" w:ascii="Times New Roman" w:hAnsi="Times New Roman" w:eastAsia="仿宋" w:cs="Times New Roman"/>
                <w:color w:val="000000"/>
                <w:kern w:val="0"/>
                <w:sz w:val="24"/>
                <w:szCs w:val="22"/>
              </w:rPr>
              <w:t>整合农产品批发集散、农产品精深加工、智能冷链仓储等优势业务，打造成面向粤港澳大湾区，集农产品批发交易、仓储冷链配送、生鲜加工、信息发布功能于一体的新型现代化绿色农产品生产供应基地。</w:t>
            </w:r>
          </w:p>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color w:val="000000"/>
                <w:kern w:val="0"/>
                <w:sz w:val="24"/>
                <w:szCs w:val="22"/>
              </w:rPr>
            </w:pPr>
            <w:r>
              <w:rPr>
                <w:rFonts w:hint="eastAsia" w:ascii="Times New Roman" w:hAnsi="Times New Roman" w:eastAsia="仿宋" w:cs="Times New Roman"/>
                <w:b/>
                <w:bCs/>
                <w:color w:val="000000"/>
                <w:kern w:val="0"/>
                <w:sz w:val="24"/>
                <w:szCs w:val="22"/>
              </w:rPr>
              <w:t>物流基地及农产品集散中心建设工程：</w:t>
            </w:r>
            <w:r>
              <w:rPr>
                <w:rFonts w:hint="eastAsia" w:ascii="Times New Roman" w:hAnsi="Times New Roman" w:eastAsia="仿宋" w:cs="Times New Roman"/>
                <w:color w:val="000000"/>
                <w:kern w:val="0"/>
                <w:sz w:val="24"/>
                <w:szCs w:val="22"/>
              </w:rPr>
              <w:t>建立包含农产品收储、展览、销售、运输于一体的现代农产品冷链物流基地，建造智慧冷库，配套冷链运输车，实现全流程农产品冷链运输和监控。</w:t>
            </w:r>
          </w:p>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b/>
                <w:bCs/>
                <w:color w:val="000000"/>
                <w:kern w:val="0"/>
                <w:sz w:val="24"/>
                <w:szCs w:val="22"/>
              </w:rPr>
            </w:pPr>
            <w:r>
              <w:rPr>
                <w:rFonts w:hint="eastAsia" w:ascii="Times New Roman" w:hAnsi="Times New Roman" w:eastAsia="仿宋" w:cs="Times New Roman"/>
                <w:b/>
                <w:bCs/>
                <w:color w:val="000000"/>
                <w:kern w:val="0"/>
                <w:sz w:val="24"/>
                <w:szCs w:val="22"/>
              </w:rPr>
              <w:t>博罗县畜禽屠宰产业化建设项目工程：</w:t>
            </w:r>
            <w:r>
              <w:rPr>
                <w:rFonts w:hint="eastAsia" w:ascii="Times New Roman" w:hAnsi="Times New Roman" w:eastAsia="仿宋" w:cs="Times New Roman"/>
                <w:color w:val="000000"/>
                <w:kern w:val="0"/>
                <w:sz w:val="24"/>
                <w:szCs w:val="22"/>
              </w:rPr>
              <w:t>在资金、政策、土地资源等方面给与支持整合现有屠宰企业，在博东、博西片区建设屠宰中心，按照市场主导、政府引导原则，调减增量、调优存量，稳步推进畜禽屠宰行业新一轮转型升级，形成一批经济实力雄厚、管理规范高效、抗风险能力强的生猪屠宰产业集群。</w:t>
            </w:r>
          </w:p>
        </w:tc>
      </w:tr>
    </w:tbl>
    <w:p>
      <w:pPr>
        <w:pStyle w:val="4"/>
        <w:ind w:firstLine="602" w:firstLineChars="200"/>
      </w:pPr>
      <w:bookmarkStart w:id="122" w:name="_Toc107350655"/>
      <w:r>
        <w:rPr>
          <w:rFonts w:hint="eastAsia"/>
        </w:rPr>
        <w:t>三、休闲农业与乡村旅游提升工程</w:t>
      </w:r>
      <w:bookmarkEnd w:id="122"/>
    </w:p>
    <w:p>
      <w:pPr>
        <w:pStyle w:val="5"/>
        <w:ind w:firstLine="562"/>
      </w:pPr>
      <w:bookmarkStart w:id="123" w:name="_Toc107350656"/>
      <w:r>
        <w:rPr>
          <w:rFonts w:hint="eastAsia"/>
        </w:rPr>
        <w:t>（一）全面提升旅游接待水平</w:t>
      </w:r>
      <w:bookmarkEnd w:id="123"/>
    </w:p>
    <w:p>
      <w:pPr>
        <w:ind w:firstLine="560"/>
      </w:pPr>
      <w:r>
        <w:rPr>
          <w:rFonts w:hint="eastAsia"/>
        </w:rPr>
        <w:t>围绕环罗浮山文化康养团、环象头山城市休闲团、环高铁新城乡村团，对长宁旅游集散主枢纽，罗阳、麻陂旅游集散副枢纽进行升级改造，完善基础设施、提升服务能力，进一步提升博罗县游客接待水平和服务水平。</w:t>
      </w:r>
    </w:p>
    <w:p>
      <w:pPr>
        <w:pStyle w:val="5"/>
        <w:ind w:firstLine="562"/>
      </w:pPr>
      <w:bookmarkStart w:id="124" w:name="_Toc107350657"/>
      <w:r>
        <w:rPr>
          <w:rFonts w:hint="eastAsia"/>
        </w:rPr>
        <w:t>（二）历史文化名村保护和推广</w:t>
      </w:r>
      <w:bookmarkEnd w:id="124"/>
    </w:p>
    <w:p>
      <w:pPr>
        <w:ind w:firstLine="560"/>
      </w:pPr>
      <w:r>
        <w:rPr>
          <w:rFonts w:hint="eastAsia"/>
        </w:rPr>
        <w:t>推进中国传统村落和省级历史文化名村龙华镇旭日村，省级传统村落湖镇镇湖镇围、湖镇镇大田村、公庄镇吉水围等古村的传承保护和合理开发，凸显博罗多元文化交融的文化特色。加快推进国家级、省级历史文化名村和中国传统村落申报工作，重点推动龙溪街道办苏村、罗阳街道办莲湖缚娄文化古村申报历史文化名村和中国传统村落。</w:t>
      </w:r>
    </w:p>
    <w:p>
      <w:pPr>
        <w:pStyle w:val="5"/>
        <w:ind w:firstLine="562"/>
      </w:pPr>
      <w:bookmarkStart w:id="125" w:name="_Toc107350658"/>
      <w:r>
        <w:rPr>
          <w:rFonts w:hint="eastAsia"/>
        </w:rPr>
        <w:t>（三）推广创新乡村旅游产品</w:t>
      </w:r>
      <w:bookmarkEnd w:id="125"/>
    </w:p>
    <w:p>
      <w:pPr>
        <w:ind w:firstLine="560"/>
      </w:pPr>
      <w:r>
        <w:rPr>
          <w:rFonts w:hint="eastAsia"/>
        </w:rPr>
        <w:t>针对博罗现有乡村旅游资源，有序增加旅游线路、旅游商品、旅游标识系统等，并与现有资源相融合，通过罗浮山将现有景区相互串联，突破古村落、新农村所面临的的孤岛现象，打好生态牌、长寿牌、文化牌、高铁牌，做好山水文章，讲好江湖故事，念好山海经，做足名人名山文章，全力以赴推动乡村旅游业发展</w:t>
      </w:r>
    </w:p>
    <w:p>
      <w:pPr>
        <w:pStyle w:val="5"/>
        <w:ind w:firstLine="562"/>
      </w:pPr>
      <w:bookmarkStart w:id="126" w:name="_Toc107350659"/>
      <w:r>
        <w:rPr>
          <w:rFonts w:hint="eastAsia"/>
        </w:rPr>
        <w:t>（四）推进乡村旅游标准化体系建设</w:t>
      </w:r>
      <w:bookmarkEnd w:id="126"/>
    </w:p>
    <w:p>
      <w:pPr>
        <w:ind w:firstLine="560"/>
      </w:pPr>
      <w:r>
        <w:rPr>
          <w:rFonts w:hint="eastAsia"/>
        </w:rPr>
        <w:t>在住宿、餐饮、休闲娱乐以及安全等方面实施统一的标准，打造博罗县的旅游标准化体系；同时做好监督管理、宣传推广、人才培训以及公共服务等工作。建立“乡村旅游资源台账”，建立旅游安全应急平台，建立旅游应急事件预案，加强旅游人才培养和专题培训等，全方位推行博罗县乡村旅游标准化体系建设。</w:t>
      </w:r>
    </w:p>
    <w:tbl>
      <w:tblPr>
        <w:tblStyle w:val="23"/>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2" w:type="dxa"/>
            <w:vAlign w:val="center"/>
          </w:tcPr>
          <w:p>
            <w:pPr>
              <w:pStyle w:val="39"/>
              <w:snapToGrid w:val="0"/>
              <w:ind w:firstLine="562"/>
              <w:jc w:val="center"/>
              <w:rPr>
                <w:rFonts w:hint="default" w:ascii="仿宋" w:hAnsi="仿宋" w:eastAsia="仿宋"/>
                <w:b/>
                <w:bCs/>
              </w:rPr>
            </w:pPr>
            <w:r>
              <w:rPr>
                <w:rFonts w:ascii="仿宋" w:hAnsi="仿宋" w:eastAsia="仿宋"/>
                <w:b/>
                <w:bCs/>
              </w:rPr>
              <w:t>专栏3：休闲农业与乡村旅游提升工程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2" w:type="dxa"/>
            <w:vAlign w:val="center"/>
          </w:tcPr>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kern w:val="0"/>
                <w:sz w:val="24"/>
                <w:szCs w:val="22"/>
              </w:rPr>
            </w:pPr>
            <w:r>
              <w:rPr>
                <w:rFonts w:hint="eastAsia" w:ascii="Times New Roman" w:hAnsi="Times New Roman" w:eastAsia="仿宋" w:cs="Times New Roman"/>
                <w:b/>
                <w:bCs/>
                <w:kern w:val="0"/>
                <w:sz w:val="24"/>
                <w:szCs w:val="22"/>
              </w:rPr>
              <w:t>博罗县旅游集散枢纽升级工程：</w:t>
            </w:r>
            <w:r>
              <w:rPr>
                <w:rFonts w:hint="eastAsia" w:ascii="Times New Roman" w:hAnsi="Times New Roman" w:eastAsia="仿宋" w:cs="Times New Roman"/>
                <w:kern w:val="0"/>
                <w:sz w:val="24"/>
                <w:szCs w:val="22"/>
              </w:rPr>
              <w:t>对长宁旅游集散主枢纽，罗阳、麻陂旅游集散副枢纽进行全面升级改造，扩容扩建，提升接待能力；完善基础设施，提升接待水平。</w:t>
            </w:r>
          </w:p>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color w:val="000000"/>
                <w:kern w:val="0"/>
                <w:sz w:val="24"/>
                <w:szCs w:val="22"/>
              </w:rPr>
            </w:pPr>
            <w:r>
              <w:rPr>
                <w:rFonts w:hint="eastAsia" w:ascii="Times New Roman" w:hAnsi="Times New Roman" w:eastAsia="仿宋" w:cs="Times New Roman"/>
                <w:b/>
                <w:bCs/>
                <w:color w:val="000000"/>
                <w:kern w:val="0"/>
                <w:sz w:val="24"/>
                <w:szCs w:val="22"/>
              </w:rPr>
              <w:t>苏村文化古村保护工程：</w:t>
            </w:r>
            <w:r>
              <w:rPr>
                <w:rFonts w:hint="eastAsia" w:ascii="Times New Roman" w:hAnsi="Times New Roman" w:eastAsia="仿宋" w:cs="Times New Roman"/>
                <w:color w:val="000000"/>
                <w:kern w:val="0"/>
                <w:sz w:val="24"/>
                <w:szCs w:val="22"/>
              </w:rPr>
              <w:t>申报省级历史文化村落，重点加强文化遗产、风俗传统、景观资源传产保护，发展文化体验、旅游度假。</w:t>
            </w:r>
          </w:p>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b/>
                <w:bCs/>
                <w:color w:val="000000"/>
                <w:kern w:val="0"/>
                <w:sz w:val="24"/>
                <w:szCs w:val="22"/>
              </w:rPr>
            </w:pPr>
            <w:r>
              <w:rPr>
                <w:rFonts w:hint="eastAsia" w:ascii="Times New Roman" w:hAnsi="Times New Roman" w:eastAsia="仿宋" w:cs="Times New Roman"/>
                <w:b/>
                <w:bCs/>
                <w:color w:val="000000"/>
                <w:kern w:val="0"/>
                <w:sz w:val="24"/>
                <w:szCs w:val="22"/>
              </w:rPr>
              <w:t>莲湖缚娄文化古村保护工程：</w:t>
            </w:r>
            <w:r>
              <w:rPr>
                <w:rFonts w:hint="eastAsia" w:ascii="Times New Roman" w:hAnsi="Times New Roman" w:eastAsia="仿宋" w:cs="Times New Roman"/>
                <w:color w:val="000000"/>
                <w:kern w:val="0"/>
                <w:sz w:val="24"/>
                <w:szCs w:val="22"/>
              </w:rPr>
              <w:t>申报中国传统村落，加强历史建筑的活化利用，增设公共活动空间，举办创意文化展览，注入旅游服务功能。</w:t>
            </w:r>
          </w:p>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color w:val="000000"/>
                <w:kern w:val="0"/>
                <w:sz w:val="24"/>
                <w:szCs w:val="22"/>
              </w:rPr>
            </w:pPr>
            <w:r>
              <w:rPr>
                <w:rFonts w:hint="eastAsia" w:ascii="Times New Roman" w:hAnsi="Times New Roman" w:eastAsia="仿宋" w:cs="Times New Roman"/>
                <w:b/>
                <w:bCs/>
                <w:color w:val="000000"/>
                <w:kern w:val="0"/>
                <w:sz w:val="24"/>
                <w:szCs w:val="22"/>
              </w:rPr>
              <w:t>双龙水都农旅康一体化田园综合景区建设项目：</w:t>
            </w:r>
            <w:r>
              <w:rPr>
                <w:rFonts w:hint="eastAsia" w:ascii="Times New Roman" w:hAnsi="Times New Roman" w:eastAsia="仿宋" w:cs="Times New Roman"/>
                <w:color w:val="000000"/>
                <w:kern w:val="0"/>
                <w:sz w:val="24"/>
                <w:szCs w:val="22"/>
              </w:rPr>
              <w:t>项目位于博罗县龙华镇鹤溪村，规划占地总面积约1</w:t>
            </w:r>
            <w:r>
              <w:rPr>
                <w:rFonts w:ascii="Times New Roman" w:hAnsi="Times New Roman" w:eastAsia="仿宋" w:cs="Times New Roman"/>
                <w:color w:val="000000"/>
                <w:kern w:val="0"/>
                <w:sz w:val="24"/>
                <w:szCs w:val="22"/>
              </w:rPr>
              <w:t>970</w:t>
            </w:r>
            <w:r>
              <w:rPr>
                <w:rFonts w:hint="eastAsia" w:ascii="Times New Roman" w:hAnsi="Times New Roman" w:eastAsia="仿宋" w:cs="Times New Roman"/>
                <w:color w:val="000000"/>
                <w:kern w:val="0"/>
                <w:sz w:val="24"/>
                <w:szCs w:val="22"/>
              </w:rPr>
              <w:t>亩，计划总投资6亿元，以农业、渔业为基底、以生态文明为导向，建成集旅游餐饮、军事拓展、蔬果采摘、亲子休闲、科普教育、农业研学于一体的综合景区，通过专业化管理运营，带动博罗县一二三产融合发展，促进农民收入多元化。</w:t>
            </w:r>
          </w:p>
        </w:tc>
      </w:tr>
    </w:tbl>
    <w:p>
      <w:pPr>
        <w:pStyle w:val="4"/>
        <w:ind w:firstLine="602" w:firstLineChars="200"/>
      </w:pPr>
      <w:bookmarkStart w:id="127" w:name="_Toc107350660"/>
      <w:r>
        <w:rPr>
          <w:rFonts w:hint="eastAsia"/>
        </w:rPr>
        <w:t>四、农业科技创新工程</w:t>
      </w:r>
      <w:bookmarkEnd w:id="127"/>
    </w:p>
    <w:p>
      <w:pPr>
        <w:pStyle w:val="5"/>
        <w:ind w:firstLine="562"/>
      </w:pPr>
      <w:bookmarkStart w:id="128" w:name="_Toc107350661"/>
      <w:r>
        <w:rPr>
          <w:rFonts w:hint="eastAsia"/>
        </w:rPr>
        <w:t>（一）加强科研成果创新转化</w:t>
      </w:r>
      <w:bookmarkEnd w:id="128"/>
    </w:p>
    <w:p>
      <w:pPr>
        <w:adjustRightInd w:val="0"/>
        <w:ind w:firstLine="560"/>
        <w:rPr>
          <w:rFonts w:cs="Times New Roman"/>
          <w:color w:val="000000"/>
          <w:szCs w:val="28"/>
        </w:rPr>
      </w:pPr>
      <w:r>
        <w:rPr>
          <w:rFonts w:hint="eastAsia" w:cs="Times New Roman"/>
          <w:color w:val="000000"/>
          <w:szCs w:val="28"/>
        </w:rPr>
        <w:t>集聚华南农业大学、广东省农业科学院、中山大学、</w:t>
      </w:r>
      <w:r>
        <w:rPr>
          <w:rFonts w:hint="eastAsia" w:cs="Times New Roman"/>
          <w:szCs w:val="28"/>
        </w:rPr>
        <w:t>博罗县农业科技示范场</w:t>
      </w:r>
      <w:r>
        <w:rPr>
          <w:rFonts w:hint="eastAsia" w:cs="Times New Roman"/>
          <w:color w:val="000000"/>
          <w:szCs w:val="28"/>
        </w:rPr>
        <w:t>等科研院所和高等院校以及</w:t>
      </w:r>
      <w:r>
        <w:rPr>
          <w:rFonts w:hint="eastAsia" w:cs="Times New Roman"/>
          <w:szCs w:val="28"/>
        </w:rPr>
        <w:t>博罗县农业综合服务中心</w:t>
      </w:r>
      <w:r>
        <w:rPr>
          <w:rFonts w:hint="eastAsia" w:cs="Times New Roman"/>
          <w:color w:val="000000"/>
          <w:szCs w:val="28"/>
        </w:rPr>
        <w:t>的科研力量，向上、下游挖掘产业</w:t>
      </w:r>
      <w:r>
        <w:rPr>
          <w:rFonts w:cs="Times New Roman"/>
          <w:color w:val="000000"/>
          <w:szCs w:val="28"/>
        </w:rPr>
        <w:t>链</w:t>
      </w:r>
      <w:r>
        <w:rPr>
          <w:rFonts w:hint="eastAsia" w:cs="Times New Roman"/>
          <w:color w:val="000000"/>
          <w:szCs w:val="28"/>
        </w:rPr>
        <w:t>，围绕产业关键环节开展农业科技合作，全方面促进现代</w:t>
      </w:r>
      <w:r>
        <w:rPr>
          <w:rFonts w:cs="Times New Roman"/>
          <w:color w:val="000000"/>
          <w:szCs w:val="28"/>
        </w:rPr>
        <w:t>农业科技</w:t>
      </w:r>
      <w:r>
        <w:rPr>
          <w:rFonts w:hint="eastAsia" w:cs="Times New Roman"/>
          <w:color w:val="000000"/>
          <w:szCs w:val="28"/>
        </w:rPr>
        <w:t>集成。开展优新成果展示示范、交流培训与技术推广，加快产业关键技术和薄弱环节的研发和创新。</w:t>
      </w:r>
    </w:p>
    <w:p>
      <w:pPr>
        <w:pStyle w:val="5"/>
        <w:ind w:firstLine="562"/>
      </w:pPr>
      <w:bookmarkStart w:id="129" w:name="_Toc107350662"/>
      <w:r>
        <w:rPr>
          <w:rFonts w:hint="eastAsia"/>
        </w:rPr>
        <w:t>（二）建设农业大数据平台</w:t>
      </w:r>
      <w:bookmarkEnd w:id="129"/>
    </w:p>
    <w:p>
      <w:pPr>
        <w:adjustRightInd w:val="0"/>
        <w:ind w:firstLine="560"/>
        <w:rPr>
          <w:rFonts w:cs="Times New Roman"/>
          <w:color w:val="000000"/>
          <w:szCs w:val="28"/>
        </w:rPr>
      </w:pPr>
      <w:r>
        <w:rPr>
          <w:rFonts w:hint="eastAsia" w:cs="Times New Roman"/>
          <w:color w:val="000000"/>
          <w:szCs w:val="28"/>
        </w:rPr>
        <w:t>深入开展“互联网+现代农业”行动，建设博罗县现代农业大数据平台，集成应用物联网、大数据、云计算、5G技术、3S技术、人工智能等农业信息化技术。重点加强水产、</w:t>
      </w:r>
      <w:r>
        <w:rPr>
          <w:rFonts w:cs="Times New Roman"/>
          <w:color w:val="000000"/>
          <w:szCs w:val="28"/>
        </w:rPr>
        <w:t>蔬菜</w:t>
      </w:r>
      <w:r>
        <w:rPr>
          <w:rFonts w:hint="eastAsia" w:cs="Times New Roman"/>
          <w:color w:val="000000"/>
          <w:szCs w:val="28"/>
        </w:rPr>
        <w:t>全产业链重点环节信息化建设</w:t>
      </w:r>
      <w:r>
        <w:rPr>
          <w:rFonts w:cs="Times New Roman"/>
          <w:color w:val="000000"/>
          <w:szCs w:val="28"/>
        </w:rPr>
        <w:t>，</w:t>
      </w:r>
      <w:r>
        <w:rPr>
          <w:rFonts w:hint="eastAsia" w:cs="Times New Roman"/>
          <w:color w:val="000000"/>
          <w:szCs w:val="28"/>
        </w:rPr>
        <w:t>通过搭建大数据平台、信息共享平台，建设快速、高效的农业信息化集成体系。吸纳相关专业技术人才的引进，全面促进现代农业园区的智慧化运营。</w:t>
      </w:r>
    </w:p>
    <w:p>
      <w:pPr>
        <w:pStyle w:val="5"/>
        <w:ind w:firstLine="562"/>
      </w:pPr>
      <w:bookmarkStart w:id="130" w:name="_Toc107350663"/>
      <w:r>
        <w:rPr>
          <w:rFonts w:hint="eastAsia"/>
        </w:rPr>
        <w:t>（三）建立智慧农业示范基地</w:t>
      </w:r>
      <w:bookmarkEnd w:id="130"/>
    </w:p>
    <w:p>
      <w:pPr>
        <w:adjustRightInd w:val="0"/>
        <w:snapToGrid w:val="0"/>
        <w:ind w:firstLine="560"/>
        <w:rPr>
          <w:rFonts w:ascii="仿宋" w:hAnsi="仿宋"/>
          <w:color w:val="000000" w:themeColor="text1"/>
          <w:szCs w:val="28"/>
          <w14:textFill>
            <w14:solidFill>
              <w14:schemeClr w14:val="tx1"/>
            </w14:solidFill>
          </w14:textFill>
        </w:rPr>
      </w:pPr>
      <w:r>
        <w:rPr>
          <w:rFonts w:hint="eastAsia" w:ascii="仿宋" w:hAnsi="仿宋"/>
          <w:color w:val="000000" w:themeColor="text1"/>
          <w:szCs w:val="28"/>
          <w14:textFill>
            <w14:solidFill>
              <w14:schemeClr w14:val="tx1"/>
            </w14:solidFill>
          </w14:textFill>
        </w:rPr>
        <w:t>选取集中连片，土地平整，自然条件优越的地块，建设以“北斗”定位为基础的农机精准作业系统、“天空地”一体化大田农情监测系统、农业生产精准管理决策系统和农业高效生产公共服务系统，促进大田作物生产节本增效、提升产量，提高农机作业质量与效率，减少化肥、农药施用，增强农业可持续发展能力。</w:t>
      </w:r>
    </w:p>
    <w:tbl>
      <w:tblPr>
        <w:tblStyle w:val="23"/>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2" w:type="dxa"/>
            <w:vAlign w:val="center"/>
          </w:tcPr>
          <w:p>
            <w:pPr>
              <w:pStyle w:val="39"/>
              <w:snapToGrid w:val="0"/>
              <w:jc w:val="center"/>
              <w:rPr>
                <w:rFonts w:hint="default" w:ascii="仿宋" w:hAnsi="仿宋" w:eastAsia="仿宋"/>
                <w:b/>
                <w:bCs/>
              </w:rPr>
            </w:pPr>
            <w:r>
              <w:rPr>
                <w:rFonts w:ascii="仿宋" w:hAnsi="仿宋" w:eastAsia="仿宋"/>
                <w:b/>
                <w:bCs/>
              </w:rPr>
              <w:t>专栏4：农业科技创新工程重点项目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2" w:type="dxa"/>
            <w:vAlign w:val="center"/>
          </w:tcPr>
          <w:p>
            <w:pPr>
              <w:pStyle w:val="41"/>
              <w:numPr>
                <w:ilvl w:val="0"/>
                <w:numId w:val="1"/>
              </w:numPr>
              <w:adjustRightInd w:val="0"/>
              <w:spacing w:line="360" w:lineRule="auto"/>
              <w:ind w:firstLineChars="0"/>
              <w:rPr>
                <w:rFonts w:ascii="Times New Roman" w:hAnsi="Times New Roman" w:eastAsia="仿宋" w:cs="Times New Roman"/>
                <w:kern w:val="0"/>
                <w:sz w:val="24"/>
                <w:szCs w:val="22"/>
              </w:rPr>
            </w:pPr>
            <w:r>
              <w:rPr>
                <w:rFonts w:hint="eastAsia" w:ascii="Times New Roman" w:hAnsi="Times New Roman" w:eastAsia="仿宋" w:cs="Times New Roman"/>
                <w:b/>
                <w:bCs/>
                <w:kern w:val="0"/>
                <w:sz w:val="24"/>
                <w:szCs w:val="22"/>
              </w:rPr>
              <w:t>农业大数据平台：</w:t>
            </w:r>
            <w:r>
              <w:rPr>
                <w:rFonts w:hint="eastAsia" w:ascii="Times New Roman" w:hAnsi="Times New Roman" w:eastAsia="仿宋" w:cs="Times New Roman"/>
                <w:kern w:val="0"/>
                <w:sz w:val="24"/>
                <w:szCs w:val="22"/>
              </w:rPr>
              <w:t>依托惠州市农科院建立覆盖全县的农业大数据平台，集成应用物联网、大数据、云计算、5G技术、3S技术、人工智能等农业信息化技术，搭建大数据平台、信息共享平台，建设快速、高效的农业信息化集成体系，全面提升博罗县农业智慧化水平。</w:t>
            </w:r>
          </w:p>
          <w:p>
            <w:pPr>
              <w:pStyle w:val="41"/>
              <w:numPr>
                <w:ilvl w:val="0"/>
                <w:numId w:val="1"/>
              </w:numPr>
              <w:adjustRightInd w:val="0"/>
              <w:spacing w:line="360" w:lineRule="auto"/>
              <w:ind w:firstLineChars="0"/>
              <w:rPr>
                <w:rFonts w:ascii="Times New Roman" w:hAnsi="Times New Roman" w:eastAsia="仿宋" w:cs="Times New Roman"/>
                <w:kern w:val="0"/>
                <w:sz w:val="24"/>
                <w:szCs w:val="22"/>
              </w:rPr>
            </w:pPr>
            <w:r>
              <w:rPr>
                <w:rFonts w:hint="eastAsia" w:ascii="Times New Roman" w:hAnsi="Times New Roman" w:eastAsia="仿宋" w:cs="Times New Roman"/>
                <w:b/>
                <w:bCs/>
                <w:color w:val="000000"/>
                <w:kern w:val="0"/>
                <w:sz w:val="24"/>
                <w:szCs w:val="22"/>
              </w:rPr>
              <w:t>数字大田示范基地建设项目：</w:t>
            </w:r>
            <w:r>
              <w:rPr>
                <w:rFonts w:hint="eastAsia" w:ascii="Times New Roman" w:hAnsi="Times New Roman" w:eastAsia="仿宋" w:cs="Times New Roman"/>
                <w:kern w:val="0"/>
                <w:sz w:val="24"/>
                <w:szCs w:val="22"/>
              </w:rPr>
              <w:t>选取集中连片，土地平整，自然条件优越的地块，建设以“北斗”定位为基础的农机精准作业系统、“天空地”一体化大田农情监测系统、农业生产精准管理决策系统和农业高效生产公共服务系统，促进大田作物生产节本增效、提升产量，提高农机作业质量与效率，减少化肥、农药施用，增强农业可持续发展能力。</w:t>
            </w:r>
          </w:p>
          <w:p>
            <w:pPr>
              <w:pStyle w:val="41"/>
              <w:numPr>
                <w:ilvl w:val="0"/>
                <w:numId w:val="1"/>
              </w:numPr>
              <w:adjustRightInd w:val="0"/>
              <w:spacing w:line="360" w:lineRule="auto"/>
              <w:ind w:firstLineChars="0"/>
              <w:rPr>
                <w:rFonts w:ascii="Times New Roman" w:hAnsi="Times New Roman" w:eastAsia="仿宋" w:cs="Times New Roman"/>
                <w:kern w:val="0"/>
                <w:sz w:val="24"/>
                <w:szCs w:val="22"/>
              </w:rPr>
            </w:pPr>
            <w:r>
              <w:rPr>
                <w:rFonts w:hint="eastAsia" w:ascii="Times New Roman" w:hAnsi="Times New Roman" w:eastAsia="仿宋" w:cs="Times New Roman"/>
                <w:b/>
                <w:bCs/>
                <w:kern w:val="0"/>
                <w:sz w:val="24"/>
                <w:szCs w:val="22"/>
              </w:rPr>
              <w:t>博罗县智慧畜牧业在线监管云系统工程：</w:t>
            </w:r>
            <w:r>
              <w:rPr>
                <w:rFonts w:hint="eastAsia" w:ascii="Times New Roman" w:hAnsi="Times New Roman" w:eastAsia="仿宋" w:cs="Times New Roman"/>
                <w:kern w:val="0"/>
                <w:sz w:val="24"/>
                <w:szCs w:val="22"/>
              </w:rPr>
              <w:t>加快构建博罗县畜牧业智能监管公共服务体系，推进畜禽粪污处理、粪污资源化利用、病死畜禽无害化处理、畜牧养殖防疫、畜牧业生产、畜牧业数据共享与分析预警、畜牧应急指挥、畜牧业技术推广等8项功能模块建设，力争博罗县智慧在线监管覆盖畜牧业全域，形成养殖、屠宰、防疫、无害化处理等“全链条、全闭环、无缝对接”的监管体系，促进畜牧业高质量发展。</w:t>
            </w:r>
          </w:p>
        </w:tc>
      </w:tr>
    </w:tbl>
    <w:p>
      <w:pPr>
        <w:pStyle w:val="4"/>
        <w:ind w:firstLine="602" w:firstLineChars="200"/>
      </w:pPr>
      <w:bookmarkStart w:id="131" w:name="_Toc107350664"/>
      <w:r>
        <w:rPr>
          <w:rFonts w:hint="eastAsia"/>
        </w:rPr>
        <w:t>五、品牌提升工程</w:t>
      </w:r>
      <w:bookmarkEnd w:id="131"/>
    </w:p>
    <w:p>
      <w:pPr>
        <w:pStyle w:val="5"/>
        <w:ind w:firstLine="562"/>
      </w:pPr>
      <w:bookmarkStart w:id="132" w:name="_Toc107350665"/>
      <w:r>
        <w:rPr>
          <w:rFonts w:hint="eastAsia"/>
        </w:rPr>
        <w:t>（一）创建区域公共品牌</w:t>
      </w:r>
      <w:bookmarkEnd w:id="132"/>
    </w:p>
    <w:p>
      <w:pPr>
        <w:adjustRightInd w:val="0"/>
        <w:ind w:firstLine="560"/>
        <w:rPr>
          <w:rFonts w:cs="Times New Roman"/>
          <w:color w:val="000000"/>
          <w:szCs w:val="28"/>
        </w:rPr>
      </w:pPr>
      <w:r>
        <w:rPr>
          <w:rFonts w:hint="eastAsia" w:cs="Times New Roman"/>
          <w:color w:val="000000"/>
          <w:szCs w:val="28"/>
        </w:rPr>
        <w:t>实施农产品质量品牌提升行动，打造具有国内外影响力的特色农产品品牌。建立以企业为主、政府多方面支持的特色品牌争创体系，鼓励企业开展商标注册、</w:t>
      </w:r>
      <w:r>
        <w:rPr>
          <w:rFonts w:hint="eastAsia" w:cs="Times New Roman"/>
          <w:szCs w:val="28"/>
        </w:rPr>
        <w:t>“两品一标”认证</w:t>
      </w:r>
      <w:r>
        <w:rPr>
          <w:rFonts w:hint="eastAsia" w:cs="Times New Roman"/>
          <w:color w:val="000000"/>
          <w:szCs w:val="28"/>
        </w:rPr>
        <w:t>，培育具有地方特色的优质、安全、生态农产品名牌产品，打造国家、全省知名的绿色食品、有机食品品牌以及外销品牌，</w:t>
      </w:r>
      <w:r>
        <w:rPr>
          <w:rFonts w:cs="Times New Roman"/>
          <w:color w:val="000000"/>
          <w:szCs w:val="28"/>
        </w:rPr>
        <w:t>加强</w:t>
      </w:r>
      <w:r>
        <w:rPr>
          <w:rFonts w:ascii="仿宋" w:hAnsi="仿宋" w:cs="Times New Roman"/>
          <w:color w:val="000000"/>
          <w:szCs w:val="28"/>
        </w:rPr>
        <w:t>“区域公用品牌”建设的统筹力</w:t>
      </w:r>
      <w:r>
        <w:rPr>
          <w:rFonts w:cs="Times New Roman"/>
          <w:color w:val="000000"/>
          <w:szCs w:val="28"/>
        </w:rPr>
        <w:t>度，制定</w:t>
      </w:r>
      <w:r>
        <w:rPr>
          <w:rFonts w:hint="eastAsia" w:cs="Times New Roman"/>
          <w:color w:val="000000"/>
          <w:szCs w:val="28"/>
        </w:rPr>
        <w:t>罗浮山大米、观音阁花生、柏塘山茶</w:t>
      </w:r>
      <w:r>
        <w:rPr>
          <w:rFonts w:cs="Times New Roman"/>
          <w:color w:val="000000"/>
          <w:szCs w:val="28"/>
        </w:rPr>
        <w:t>等产品的地方标准，提高产品的标准化生产水平。同时，进行区域公用品牌的统一宣传推广和维护，对地标产品的logo进行设计和统一的规划，符合要求的就授权企业使用</w:t>
      </w:r>
      <w:r>
        <w:rPr>
          <w:rFonts w:ascii="仿宋" w:hAnsi="仿宋" w:cs="Times New Roman"/>
          <w:color w:val="000000"/>
          <w:szCs w:val="28"/>
        </w:rPr>
        <w:t>“地理标志”。此外，</w:t>
      </w:r>
      <w:r>
        <w:rPr>
          <w:rFonts w:cs="Times New Roman"/>
          <w:color w:val="000000"/>
          <w:szCs w:val="28"/>
        </w:rPr>
        <w:t>在全</w:t>
      </w:r>
      <w:r>
        <w:rPr>
          <w:rFonts w:hint="eastAsia" w:cs="Times New Roman"/>
          <w:color w:val="000000"/>
          <w:szCs w:val="28"/>
        </w:rPr>
        <w:t>县</w:t>
      </w:r>
      <w:r>
        <w:rPr>
          <w:rFonts w:cs="Times New Roman"/>
          <w:color w:val="000000"/>
          <w:szCs w:val="28"/>
        </w:rPr>
        <w:t>范围内甄选优质生产基地，作为区域品牌示范基地。</w:t>
      </w:r>
    </w:p>
    <w:p>
      <w:pPr>
        <w:pStyle w:val="5"/>
        <w:ind w:firstLine="562"/>
      </w:pPr>
      <w:bookmarkStart w:id="133" w:name="_Toc107350666"/>
      <w:r>
        <w:rPr>
          <w:rFonts w:hint="eastAsia"/>
        </w:rPr>
        <w:t>（二）品牌建设和推广</w:t>
      </w:r>
      <w:bookmarkEnd w:id="133"/>
    </w:p>
    <w:p>
      <w:pPr>
        <w:adjustRightInd w:val="0"/>
        <w:ind w:firstLine="560"/>
        <w:rPr>
          <w:rFonts w:cs="Times New Roman"/>
          <w:color w:val="000000"/>
          <w:szCs w:val="28"/>
        </w:rPr>
      </w:pPr>
      <w:r>
        <w:rPr>
          <w:rFonts w:cs="Times New Roman"/>
          <w:color w:val="000000"/>
          <w:szCs w:val="28"/>
        </w:rPr>
        <w:t>坚持</w:t>
      </w:r>
      <w:r>
        <w:rPr>
          <w:rFonts w:ascii="仿宋" w:hAnsi="仿宋" w:cs="Times New Roman"/>
          <w:color w:val="000000"/>
          <w:szCs w:val="28"/>
        </w:rPr>
        <w:t>“品牌强农”的</w:t>
      </w:r>
      <w:r>
        <w:rPr>
          <w:rFonts w:cs="Times New Roman"/>
          <w:color w:val="000000"/>
          <w:szCs w:val="28"/>
        </w:rPr>
        <w:t>发展理念，积极开展绿色有机认证和商标注册工作，争创国家和省、市名牌产品。把培育龙头企业和专业合作社作为推进产业发展的关键环节，鼓励、引导现有龙头企业，采取自建基地、订单种植和股份合作等多种方式，</w:t>
      </w:r>
      <w:r>
        <w:rPr>
          <w:rFonts w:hint="eastAsia" w:cs="Times New Roman"/>
          <w:color w:val="000000"/>
          <w:szCs w:val="28"/>
        </w:rPr>
        <w:t>逐步建立产加销一体化链条</w:t>
      </w:r>
      <w:r>
        <w:rPr>
          <w:rFonts w:cs="Times New Roman"/>
          <w:color w:val="000000"/>
          <w:szCs w:val="28"/>
        </w:rPr>
        <w:t>。大力发展和规范农民专业合作社、农产品行业协会等组织，充分发挥他们在提供生产服务、制定产品标准、发布产品信息、规范品牌使用、维护品牌权益等方面的重要作用。</w:t>
      </w:r>
    </w:p>
    <w:p>
      <w:pPr>
        <w:pStyle w:val="5"/>
        <w:ind w:firstLine="562"/>
      </w:pPr>
      <w:bookmarkStart w:id="134" w:name="_Toc107350667"/>
      <w:r>
        <w:rPr>
          <w:rFonts w:hint="eastAsia"/>
        </w:rPr>
        <w:t>（三）创建农产品数字化监管体系</w:t>
      </w:r>
      <w:bookmarkEnd w:id="134"/>
    </w:p>
    <w:p>
      <w:pPr>
        <w:ind w:firstLine="560"/>
        <w:rPr>
          <w:rFonts w:cs="Times New Roman"/>
          <w:color w:val="000000"/>
          <w:szCs w:val="28"/>
        </w:rPr>
      </w:pPr>
      <w:r>
        <w:rPr>
          <w:rFonts w:cs="Times New Roman"/>
          <w:color w:val="000000"/>
          <w:szCs w:val="28"/>
        </w:rPr>
        <w:t>以</w:t>
      </w:r>
      <w:r>
        <w:rPr>
          <w:rFonts w:hint="eastAsia" w:cs="Times New Roman"/>
          <w:color w:val="000000"/>
          <w:szCs w:val="28"/>
        </w:rPr>
        <w:t>博罗全县</w:t>
      </w:r>
      <w:r>
        <w:rPr>
          <w:rFonts w:cs="Times New Roman"/>
          <w:color w:val="000000"/>
          <w:szCs w:val="28"/>
        </w:rPr>
        <w:t>瓜菜果茶等农产品为主要监管对象，以农资生产经营企业为监控重点，以农业产业园、菜篮子基地、生产基地等为农产品生产质量监控源头，以批发市场、超市等分销零售市场为农产品流通环节为监控节点，建立</w:t>
      </w:r>
      <w:r>
        <w:rPr>
          <w:rFonts w:hint="eastAsia" w:cs="Times New Roman"/>
          <w:color w:val="000000"/>
          <w:szCs w:val="28"/>
        </w:rPr>
        <w:t>县</w:t>
      </w:r>
      <w:r>
        <w:rPr>
          <w:rFonts w:cs="Times New Roman"/>
          <w:color w:val="000000"/>
          <w:szCs w:val="28"/>
        </w:rPr>
        <w:t>、镇、村三级质量监管体系，实现质量安全监管覆盖全</w:t>
      </w:r>
      <w:r>
        <w:rPr>
          <w:rFonts w:hint="eastAsia" w:cs="Times New Roman"/>
          <w:color w:val="000000"/>
          <w:szCs w:val="28"/>
        </w:rPr>
        <w:t>县</w:t>
      </w:r>
      <w:r>
        <w:rPr>
          <w:rFonts w:cs="Times New Roman"/>
          <w:color w:val="000000"/>
          <w:szCs w:val="28"/>
        </w:rPr>
        <w:t>；建立农产品质量安全追溯监管平台，推动区块链、物联网、二维码、无线射频识别等数字技术在农产品质量安全追溯的广泛应用，建立数据交换与信息共享机制，推进农产品追溯纵向横向连接，实现“从田头到餐桌”可追溯。到2025年，主要农产品例行监测合格率稳定在98%以上。</w:t>
      </w:r>
    </w:p>
    <w:tbl>
      <w:tblPr>
        <w:tblStyle w:val="23"/>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2" w:type="dxa"/>
            <w:vAlign w:val="center"/>
          </w:tcPr>
          <w:p>
            <w:pPr>
              <w:pStyle w:val="39"/>
              <w:snapToGrid w:val="0"/>
              <w:jc w:val="center"/>
              <w:rPr>
                <w:rFonts w:hint="default" w:ascii="仿宋" w:hAnsi="仿宋" w:eastAsia="仿宋"/>
                <w:b/>
                <w:bCs/>
              </w:rPr>
            </w:pPr>
            <w:r>
              <w:rPr>
                <w:rFonts w:ascii="仿宋" w:hAnsi="仿宋" w:eastAsia="仿宋"/>
                <w:b/>
                <w:bCs/>
              </w:rPr>
              <w:t>专栏</w:t>
            </w:r>
            <w:r>
              <w:rPr>
                <w:rFonts w:hint="default" w:ascii="仿宋" w:hAnsi="仿宋" w:eastAsia="仿宋"/>
                <w:b/>
                <w:bCs/>
              </w:rPr>
              <w:t>5</w:t>
            </w:r>
            <w:r>
              <w:rPr>
                <w:rFonts w:ascii="仿宋" w:hAnsi="仿宋" w:eastAsia="仿宋"/>
                <w:b/>
                <w:bCs/>
              </w:rPr>
              <w:t>：品牌提升工程重点项目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2" w:type="dxa"/>
            <w:vAlign w:val="center"/>
          </w:tcPr>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color w:val="000000"/>
                <w:kern w:val="0"/>
                <w:sz w:val="24"/>
                <w:szCs w:val="22"/>
              </w:rPr>
            </w:pPr>
            <w:r>
              <w:rPr>
                <w:rFonts w:hint="eastAsia" w:ascii="Times New Roman" w:hAnsi="Times New Roman" w:eastAsia="仿宋" w:cs="Times New Roman"/>
                <w:b/>
                <w:bCs/>
                <w:color w:val="000000"/>
                <w:kern w:val="0"/>
                <w:sz w:val="24"/>
                <w:szCs w:val="22"/>
              </w:rPr>
              <w:t>公共区域品牌创建项目：</w:t>
            </w:r>
            <w:r>
              <w:rPr>
                <w:rFonts w:hint="eastAsia" w:ascii="Times New Roman" w:hAnsi="Times New Roman" w:eastAsia="仿宋" w:cs="Times New Roman"/>
                <w:color w:val="000000"/>
                <w:kern w:val="0"/>
                <w:sz w:val="24"/>
                <w:szCs w:val="22"/>
              </w:rPr>
              <w:t>打造标准化蔬菜生产示范基地，提高产品质量，扩大生产规模，加强产品质量检测，做大做优博罗县蔬菜产业，在此基础上积极申请创建公共区域品牌，提升博罗县品牌效应。</w:t>
            </w:r>
          </w:p>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b/>
                <w:bCs/>
                <w:color w:val="000000"/>
                <w:kern w:val="0"/>
                <w:sz w:val="24"/>
                <w:szCs w:val="22"/>
              </w:rPr>
            </w:pPr>
            <w:r>
              <w:rPr>
                <w:rFonts w:hint="eastAsia" w:ascii="Times New Roman" w:hAnsi="Times New Roman" w:eastAsia="仿宋" w:cs="Times New Roman"/>
                <w:b/>
                <w:bCs/>
                <w:color w:val="000000"/>
                <w:kern w:val="0"/>
                <w:sz w:val="24"/>
                <w:szCs w:val="22"/>
              </w:rPr>
              <w:t>农产品质量安全监管数字化项目：</w:t>
            </w:r>
            <w:r>
              <w:rPr>
                <w:rFonts w:hint="eastAsia" w:ascii="Times New Roman" w:hAnsi="Times New Roman" w:eastAsia="仿宋" w:cs="Times New Roman"/>
                <w:color w:val="000000"/>
                <w:kern w:val="0"/>
                <w:sz w:val="24"/>
                <w:szCs w:val="22"/>
              </w:rPr>
              <w:t>建立农产品质量安全追溯监管平台，完善县、镇、村三级监测体系，在农业园区、菜篮子基地、生产基地、交易市场等配套快速检测设备，强化蔬菜、水果、畜禽、禽蛋、养殖水产品全程可追溯，构建“来源可查、去向可追、责任可究”追溯制度机制。</w:t>
            </w:r>
          </w:p>
        </w:tc>
      </w:tr>
    </w:tbl>
    <w:p>
      <w:pPr>
        <w:pStyle w:val="4"/>
        <w:ind w:firstLine="602" w:firstLineChars="200"/>
      </w:pPr>
      <w:bookmarkStart w:id="135" w:name="_Toc107350668"/>
      <w:r>
        <w:rPr>
          <w:rFonts w:hint="eastAsia"/>
        </w:rPr>
        <w:t>六、农业绿色发展工程</w:t>
      </w:r>
      <w:bookmarkEnd w:id="135"/>
    </w:p>
    <w:p>
      <w:pPr>
        <w:pStyle w:val="5"/>
        <w:ind w:firstLine="562"/>
      </w:pPr>
      <w:bookmarkStart w:id="136" w:name="_Toc107350669"/>
      <w:r>
        <w:rPr>
          <w:rFonts w:hint="eastAsia"/>
        </w:rPr>
        <w:t>（一）畜禽粪污资源化利用整县推进项目</w:t>
      </w:r>
      <w:bookmarkEnd w:id="136"/>
    </w:p>
    <w:p>
      <w:pPr>
        <w:ind w:firstLine="560"/>
      </w:pPr>
      <w:r>
        <w:rPr>
          <w:rFonts w:hint="eastAsia" w:ascii="仿宋" w:hAnsi="仿宋"/>
          <w:color w:val="000000" w:themeColor="text1"/>
          <w:szCs w:val="28"/>
          <w14:textFill>
            <w14:solidFill>
              <w14:schemeClr w14:val="tx1"/>
            </w14:solidFill>
          </w14:textFill>
        </w:rPr>
        <w:t>全面推进和实施包括“畜禽养殖企业的配套升级改造、畜禽养殖农牧循环一体化示范区建设、畜禽粪污资源化处理中心（有机肥加工企业）建设、智慧畜牧在线监管云系统建设、病死畜禽无害化处理中心建设”五大方面的内容。推动石坝镇的“众原”、湖镇镇“奇的”、杨村镇的“圣源”、杨村镇的“普农”、观音阁镇的“致远”等5个畜禽粪有机肥加工厂升级改造或新建投产工作。</w:t>
      </w:r>
    </w:p>
    <w:p>
      <w:pPr>
        <w:pStyle w:val="5"/>
        <w:ind w:firstLine="562"/>
      </w:pPr>
      <w:bookmarkStart w:id="137" w:name="_Toc107350670"/>
      <w:r>
        <w:rPr>
          <w:rFonts w:hint="eastAsia"/>
        </w:rPr>
        <w:t>（二）推进环境友好型种植业示范工程</w:t>
      </w:r>
      <w:bookmarkEnd w:id="137"/>
    </w:p>
    <w:p>
      <w:pPr>
        <w:ind w:firstLine="560"/>
      </w:pPr>
      <w:r>
        <w:rPr>
          <w:rFonts w:hint="eastAsia"/>
        </w:rPr>
        <w:t>持续创新农药化肥补贴机制，适当调整农药补贴品种；加大缓（控）释肥和草地贪夜蛾防控技术推广力度，建立缓（控）释肥技术示范田。加强项目区玉米草地贪夜蛾综合防控，继续推广配方肥、生物农药和高效低毒低残留农药，禁止在项目区使用WHO</w:t>
      </w:r>
      <w:r>
        <w:t xml:space="preserve"> </w:t>
      </w:r>
      <w:r>
        <w:rPr>
          <w:rFonts w:hint="eastAsia"/>
        </w:rPr>
        <w:t>I类、II类农药和水唧筒喷药；项目区推广有机肥，减少化肥等的投入。创新示范和培训模式，加强农资店主、镇技术指导员、村技术助理、科技示范户的培训，组织镇村技术人员深入现场指导，充分发挥好县、镇、村管理技术人员的示范和带动作用，重点对化肥农药使用量较大的项目农户要加大指导力度，开展在线培训，扩大培训覆盖面和受益面，加大项目环境友好技术在非项目农户的推广，提高项目整体质量。</w:t>
      </w:r>
    </w:p>
    <w:p>
      <w:pPr>
        <w:pStyle w:val="5"/>
        <w:ind w:firstLine="562"/>
      </w:pPr>
      <w:bookmarkStart w:id="138" w:name="_Toc107350671"/>
      <w:r>
        <w:rPr>
          <w:rFonts w:hint="eastAsia"/>
        </w:rPr>
        <w:t>（三）设施化陆基循环水养殖模式示范工程</w:t>
      </w:r>
      <w:bookmarkEnd w:id="138"/>
    </w:p>
    <w:p>
      <w:pPr>
        <w:ind w:firstLine="560"/>
      </w:pPr>
      <w:r>
        <w:rPr>
          <w:rFonts w:hint="eastAsia"/>
        </w:rPr>
        <w:t>引进先进的陆基循环水养殖系统并完善配套养殖设施，建设从鱼苗培育到成鱼养成、加工、运输、销售于一体的现代渔业养殖基地，形成示范效应，带动博罗县渔业高质量发展。</w:t>
      </w:r>
    </w:p>
    <w:tbl>
      <w:tblPr>
        <w:tblStyle w:val="23"/>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2" w:type="dxa"/>
            <w:vAlign w:val="center"/>
          </w:tcPr>
          <w:p>
            <w:pPr>
              <w:pStyle w:val="39"/>
              <w:snapToGrid w:val="0"/>
              <w:jc w:val="center"/>
              <w:rPr>
                <w:rFonts w:hint="default" w:ascii="仿宋" w:hAnsi="仿宋" w:eastAsia="仿宋"/>
                <w:b/>
                <w:bCs/>
              </w:rPr>
            </w:pPr>
            <w:r>
              <w:rPr>
                <w:rFonts w:ascii="仿宋" w:hAnsi="仿宋" w:eastAsia="仿宋"/>
                <w:b/>
                <w:bCs/>
              </w:rPr>
              <w:t>专栏6：农业绿色发展工程重点项目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2" w:type="dxa"/>
            <w:vAlign w:val="center"/>
          </w:tcPr>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b/>
                <w:bCs/>
                <w:color w:val="000000"/>
                <w:kern w:val="0"/>
                <w:sz w:val="24"/>
                <w:szCs w:val="22"/>
              </w:rPr>
            </w:pPr>
            <w:r>
              <w:rPr>
                <w:rFonts w:hint="eastAsia" w:ascii="Times New Roman" w:hAnsi="Times New Roman" w:eastAsia="仿宋" w:cs="Times New Roman"/>
                <w:b/>
                <w:bCs/>
                <w:color w:val="000000"/>
                <w:kern w:val="0"/>
                <w:sz w:val="24"/>
                <w:szCs w:val="22"/>
              </w:rPr>
              <w:t>畜禽养殖企业的配套升级改造项目：</w:t>
            </w:r>
            <w:r>
              <w:rPr>
                <w:rFonts w:hint="eastAsia" w:ascii="Times New Roman" w:hAnsi="Times New Roman" w:eastAsia="仿宋" w:cs="Times New Roman"/>
                <w:color w:val="000000"/>
                <w:kern w:val="0"/>
                <w:sz w:val="24"/>
                <w:szCs w:val="22"/>
              </w:rPr>
              <w:t>在全县范围内推动畜禽养殖场配套升级改造工程，重点改进节水设备，建设雨污分流、暗沟布设的污水收集系统和漏缝地板、自动刮粪板等清粪设施，配备固液分离机等设备。</w:t>
            </w:r>
          </w:p>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color w:val="000000"/>
                <w:kern w:val="0"/>
                <w:sz w:val="24"/>
                <w:szCs w:val="22"/>
              </w:rPr>
            </w:pPr>
            <w:r>
              <w:rPr>
                <w:rFonts w:hint="eastAsia" w:ascii="Times New Roman" w:hAnsi="Times New Roman" w:eastAsia="仿宋" w:cs="Times New Roman"/>
                <w:b/>
                <w:bCs/>
                <w:color w:val="000000"/>
                <w:kern w:val="0"/>
                <w:sz w:val="24"/>
                <w:szCs w:val="22"/>
              </w:rPr>
              <w:t>畜禽养殖农牧循环一体化示范区建设项目：</w:t>
            </w:r>
            <w:r>
              <w:rPr>
                <w:rFonts w:hint="eastAsia" w:ascii="Times New Roman" w:hAnsi="Times New Roman" w:eastAsia="仿宋" w:cs="Times New Roman"/>
                <w:color w:val="000000"/>
                <w:kern w:val="0"/>
                <w:sz w:val="24"/>
                <w:szCs w:val="22"/>
              </w:rPr>
              <w:t>主要针对粪污全量收集还田利用、固体粪便堆肥利用、异位发酵床、粪便垫料回用、污水肥料化利用、污水达标排放等处理模式，建立畜禽养殖农牧循环一体化示范区。</w:t>
            </w:r>
          </w:p>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color w:val="000000"/>
                <w:kern w:val="0"/>
                <w:sz w:val="24"/>
                <w:szCs w:val="22"/>
              </w:rPr>
            </w:pPr>
            <w:r>
              <w:rPr>
                <w:rFonts w:hint="eastAsia" w:ascii="Times New Roman" w:hAnsi="Times New Roman" w:eastAsia="仿宋" w:cs="Times New Roman"/>
                <w:b/>
                <w:bCs/>
                <w:color w:val="000000"/>
                <w:kern w:val="0"/>
                <w:sz w:val="24"/>
                <w:szCs w:val="22"/>
              </w:rPr>
              <w:t>畜禽粪污资源化处理中心（有机肥加工企业）建设：</w:t>
            </w:r>
            <w:r>
              <w:rPr>
                <w:rFonts w:hint="eastAsia" w:ascii="Times New Roman" w:hAnsi="Times New Roman" w:eastAsia="仿宋" w:cs="Times New Roman"/>
                <w:color w:val="000000"/>
                <w:kern w:val="0"/>
                <w:sz w:val="24"/>
                <w:szCs w:val="22"/>
              </w:rPr>
              <w:t>推动</w:t>
            </w:r>
            <w:bookmarkStart w:id="181" w:name="_GoBack"/>
            <w:bookmarkEnd w:id="181"/>
            <w:r>
              <w:rPr>
                <w:rFonts w:hint="eastAsia" w:ascii="Times New Roman" w:hAnsi="Times New Roman" w:eastAsia="仿宋" w:cs="Times New Roman"/>
                <w:color w:val="000000"/>
                <w:kern w:val="0"/>
                <w:sz w:val="24"/>
                <w:szCs w:val="22"/>
              </w:rPr>
              <w:t>石坝镇的“众原”、湖镇镇“奇的”、杨村镇的“圣源”、杨村镇的“普农”、观音阁镇的“致远”等5个畜禽粪有机肥加工厂升级改造或新建投产工作。</w:t>
            </w:r>
          </w:p>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b/>
                <w:bCs/>
                <w:color w:val="000000"/>
                <w:kern w:val="0"/>
                <w:sz w:val="24"/>
                <w:szCs w:val="22"/>
              </w:rPr>
            </w:pPr>
            <w:r>
              <w:rPr>
                <w:rFonts w:hint="eastAsia" w:ascii="Times New Roman" w:hAnsi="Times New Roman" w:eastAsia="仿宋" w:cs="Times New Roman"/>
                <w:b/>
                <w:bCs/>
                <w:color w:val="000000"/>
                <w:kern w:val="0"/>
                <w:sz w:val="24"/>
                <w:szCs w:val="22"/>
              </w:rPr>
              <w:t>智慧畜牧在线监管云系统建设：</w:t>
            </w:r>
            <w:r>
              <w:rPr>
                <w:rFonts w:hint="eastAsia" w:ascii="Times New Roman" w:hAnsi="Times New Roman" w:eastAsia="仿宋" w:cs="Times New Roman"/>
                <w:color w:val="000000"/>
                <w:kern w:val="0"/>
                <w:sz w:val="24"/>
                <w:szCs w:val="22"/>
              </w:rPr>
              <w:t>充分利用条码标签（条形码、二维码）和RFID电子标签等识别技术、智能移动终端技术、大型数据库和WEB技术以及Android应用开发技术等诸多相关移动互联网技术和物联网技术，建立智慧畜牧在线监管云系统，实现从农业养殖、收购、加工、运输、销售等各个环节的标识、识别、追踪和查询，以及仓库、资产和企业信息等相关管理，推动畜牧业重点核心业务的全面信息化、业务管理信息化、管理信息资源化和信息服务规范化。</w:t>
            </w:r>
          </w:p>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color w:val="000000"/>
                <w:kern w:val="0"/>
                <w:sz w:val="24"/>
                <w:szCs w:val="22"/>
              </w:rPr>
            </w:pPr>
            <w:r>
              <w:rPr>
                <w:rFonts w:hint="eastAsia" w:ascii="Times New Roman" w:hAnsi="Times New Roman" w:eastAsia="仿宋" w:cs="Times New Roman"/>
                <w:b/>
                <w:bCs/>
                <w:color w:val="000000"/>
                <w:kern w:val="0"/>
                <w:sz w:val="24"/>
                <w:szCs w:val="22"/>
              </w:rPr>
              <w:t>病死畜禽无害化处理中心建设：</w:t>
            </w:r>
            <w:r>
              <w:rPr>
                <w:rFonts w:hint="eastAsia" w:ascii="Times New Roman" w:hAnsi="Times New Roman" w:eastAsia="仿宋" w:cs="Times New Roman"/>
                <w:color w:val="000000"/>
                <w:kern w:val="0"/>
                <w:sz w:val="24"/>
                <w:szCs w:val="22"/>
              </w:rPr>
              <w:t>建立一座病死畜禽无害化处理中心，配套病死畜禽收集车辆，实现全县范围内病死畜禽无害化处理全覆盖。</w:t>
            </w:r>
          </w:p>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b/>
                <w:bCs/>
                <w:color w:val="000000"/>
                <w:kern w:val="0"/>
                <w:sz w:val="24"/>
                <w:szCs w:val="22"/>
              </w:rPr>
            </w:pPr>
            <w:r>
              <w:rPr>
                <w:rFonts w:hint="eastAsia" w:ascii="Times New Roman" w:hAnsi="Times New Roman" w:eastAsia="仿宋" w:cs="Times New Roman"/>
                <w:b/>
                <w:bCs/>
                <w:color w:val="000000"/>
                <w:kern w:val="0"/>
                <w:sz w:val="24"/>
                <w:szCs w:val="22"/>
              </w:rPr>
              <w:t>环境友好型种植业示范工程：</w:t>
            </w:r>
            <w:r>
              <w:rPr>
                <w:rFonts w:hint="eastAsia" w:ascii="Times New Roman" w:hAnsi="Times New Roman" w:eastAsia="仿宋" w:cs="Times New Roman"/>
                <w:color w:val="000000"/>
                <w:kern w:val="0"/>
                <w:sz w:val="24"/>
                <w:szCs w:val="22"/>
              </w:rPr>
              <w:t>建立缓（控）释肥技术示范田，全县范围内加大缓（控）释肥和草地贪夜蛾防控技术推广力度，继续推广配方肥、生物农药和高效低毒低残留农药，禁止项目区使用</w:t>
            </w:r>
            <w:r>
              <w:rPr>
                <w:rFonts w:ascii="Times New Roman" w:hAnsi="Times New Roman" w:eastAsia="仿宋" w:cs="Times New Roman"/>
                <w:color w:val="000000"/>
                <w:kern w:val="0"/>
                <w:sz w:val="24"/>
                <w:szCs w:val="22"/>
              </w:rPr>
              <w:t>WHO I</w:t>
            </w:r>
            <w:r>
              <w:rPr>
                <w:rFonts w:hint="eastAsia" w:ascii="Times New Roman" w:hAnsi="Times New Roman" w:eastAsia="仿宋" w:cs="Times New Roman"/>
                <w:color w:val="000000"/>
                <w:kern w:val="0"/>
                <w:sz w:val="24"/>
                <w:szCs w:val="22"/>
              </w:rPr>
              <w:t>类、</w:t>
            </w:r>
            <w:r>
              <w:rPr>
                <w:rFonts w:ascii="Times New Roman" w:hAnsi="Times New Roman" w:eastAsia="仿宋" w:cs="Times New Roman"/>
                <w:color w:val="000000"/>
                <w:kern w:val="0"/>
                <w:sz w:val="24"/>
                <w:szCs w:val="22"/>
              </w:rPr>
              <w:t>II</w:t>
            </w:r>
            <w:r>
              <w:rPr>
                <w:rFonts w:hint="eastAsia" w:ascii="Times New Roman" w:hAnsi="Times New Roman" w:eastAsia="仿宋" w:cs="Times New Roman"/>
                <w:color w:val="000000"/>
                <w:kern w:val="0"/>
                <w:sz w:val="24"/>
                <w:szCs w:val="22"/>
              </w:rPr>
              <w:t>类农药和水唧筒喷药；项目区推广有机肥，减少化肥等的投入。</w:t>
            </w:r>
          </w:p>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b/>
                <w:bCs/>
                <w:color w:val="000000"/>
                <w:kern w:val="0"/>
                <w:sz w:val="24"/>
                <w:szCs w:val="22"/>
              </w:rPr>
            </w:pPr>
            <w:r>
              <w:rPr>
                <w:rFonts w:hint="eastAsia" w:ascii="Times New Roman" w:hAnsi="Times New Roman" w:eastAsia="仿宋" w:cs="Times New Roman"/>
                <w:b/>
                <w:bCs/>
                <w:color w:val="000000"/>
                <w:kern w:val="0"/>
                <w:sz w:val="24"/>
                <w:szCs w:val="22"/>
              </w:rPr>
              <w:t>设施化陆基循环水养殖模式示范工程：</w:t>
            </w:r>
            <w:r>
              <w:rPr>
                <w:rFonts w:hint="eastAsia" w:ascii="Times New Roman" w:hAnsi="Times New Roman" w:eastAsia="仿宋" w:cs="Times New Roman"/>
                <w:color w:val="000000"/>
                <w:kern w:val="0"/>
                <w:sz w:val="24"/>
                <w:szCs w:val="22"/>
              </w:rPr>
              <w:t>在博罗县杨侨镇建设占地规模约</w:t>
            </w:r>
            <w:r>
              <w:rPr>
                <w:rFonts w:ascii="Times New Roman" w:hAnsi="Times New Roman" w:eastAsia="仿宋" w:cs="Times New Roman"/>
                <w:color w:val="000000"/>
                <w:kern w:val="0"/>
                <w:sz w:val="24"/>
                <w:szCs w:val="22"/>
              </w:rPr>
              <w:t>10000</w:t>
            </w:r>
            <w:r>
              <w:rPr>
                <w:rFonts w:hint="eastAsia" w:ascii="Times New Roman" w:hAnsi="Times New Roman" w:eastAsia="仿宋" w:cs="Times New Roman"/>
                <w:color w:val="000000"/>
                <w:kern w:val="0"/>
                <w:sz w:val="24"/>
                <w:szCs w:val="22"/>
              </w:rPr>
              <w:t>平方米的设施化陆基循环水养殖模式示范基地，配套陆基循环水养殖生产及辅助设施建设、养殖装备工程提升、标准化养殖生产及示范、水产品牌打造等。</w:t>
            </w:r>
          </w:p>
        </w:tc>
      </w:tr>
    </w:tbl>
    <w:p>
      <w:pPr>
        <w:pStyle w:val="4"/>
        <w:ind w:firstLine="602" w:firstLineChars="200"/>
      </w:pPr>
      <w:bookmarkStart w:id="139" w:name="_Toc107350672"/>
      <w:r>
        <w:rPr>
          <w:rFonts w:hint="eastAsia"/>
        </w:rPr>
        <w:t>七、美丽乡村建设工程</w:t>
      </w:r>
      <w:bookmarkEnd w:id="139"/>
    </w:p>
    <w:p>
      <w:pPr>
        <w:pStyle w:val="5"/>
        <w:ind w:firstLine="562"/>
      </w:pPr>
      <w:bookmarkStart w:id="140" w:name="_Toc107350673"/>
      <w:r>
        <w:rPr>
          <w:rFonts w:hint="eastAsia"/>
        </w:rPr>
        <w:t>（一）打造样板示范村庄</w:t>
      </w:r>
      <w:bookmarkEnd w:id="140"/>
    </w:p>
    <w:p>
      <w:pPr>
        <w:ind w:firstLine="560"/>
      </w:pPr>
      <w:r>
        <w:rPr>
          <w:rFonts w:hint="eastAsia"/>
        </w:rPr>
        <w:t>结合博罗县现有工作基础，在条件好的村、镇率先打造一批风貌突出的各类样板示范村庄，形成可推广可复制的经验，引领带动全县乡村风貌提升。</w:t>
      </w:r>
    </w:p>
    <w:p>
      <w:pPr>
        <w:pStyle w:val="5"/>
        <w:ind w:firstLine="562"/>
      </w:pPr>
      <w:bookmarkStart w:id="141" w:name="_Toc107350674"/>
      <w:r>
        <w:rPr>
          <w:rFonts w:hint="eastAsia"/>
        </w:rPr>
        <w:t>（二）分类提升村庄风貌</w:t>
      </w:r>
      <w:bookmarkEnd w:id="141"/>
    </w:p>
    <w:p>
      <w:pPr>
        <w:ind w:firstLine="560"/>
      </w:pPr>
      <w:r>
        <w:rPr>
          <w:rFonts w:hint="eastAsia"/>
        </w:rPr>
        <w:t>整治提升类村庄：重点清理整治破旧泥砖房、削坡建房、危房和违法建筑，推进基础环境整治、绿化美化和农房立面改造等。保护修复类村庄：保护传统村落的格局、风貌等整体空间形态和环境，全面保护和活化利用文物古迹、历史建筑、传统民居、工场作坊遗址以及古驿道等，修缮和改造要严格审批、科学实施。地域特色类村庄：对具有山区、平原以及少数民族特色的村庄，重点挖掘其地域特征和传统文化习俗，建设各具特色，各美其美的岭南美丽乡村。</w:t>
      </w:r>
    </w:p>
    <w:p>
      <w:pPr>
        <w:pStyle w:val="5"/>
        <w:ind w:firstLine="562"/>
      </w:pPr>
      <w:bookmarkStart w:id="142" w:name="_Toc107350675"/>
      <w:r>
        <w:rPr>
          <w:rFonts w:hint="eastAsia"/>
        </w:rPr>
        <w:t>（三）推进存量农房微改造和新建农房风貌塑造</w:t>
      </w:r>
      <w:bookmarkEnd w:id="142"/>
    </w:p>
    <w:p>
      <w:pPr>
        <w:ind w:firstLine="560"/>
      </w:pPr>
      <w:r>
        <w:rPr>
          <w:rFonts w:hint="eastAsia"/>
        </w:rPr>
        <w:t>对于存量农房，结构完整、风貌和谐、质量良好、合法合规的保持现状，严重危及安全、无纪念价值的要清拆整治，年代较新、风格不协调的可进行立面完善等局部改造；对年代久远、局部破损、有地方特色和使用价值的泥砖房、青砖房可加固修缮、活化利用。鼓励有条件的地区整村推进农房外立面改造，但不得过度装饰和大拆大建。新建农房要依据村庄总体风貌定位，区分村民住房和农业生产用房，既要采用乡土材料、乡土工艺，融合岭南传统历史文化元素，又要合理运用现代加工材料，木结构等建材，因地制宜推广现代建造方式。支持和培育传统建筑物件生产企业，保护传承传统建筑工艺和产业。对可利用的废弃物传统建筑材料应回收利用。</w:t>
      </w:r>
    </w:p>
    <w:p>
      <w:pPr>
        <w:pStyle w:val="5"/>
        <w:ind w:firstLine="562"/>
      </w:pPr>
      <w:bookmarkStart w:id="143" w:name="_Toc107350676"/>
      <w:r>
        <w:rPr>
          <w:rFonts w:hint="eastAsia"/>
        </w:rPr>
        <w:t>（四）沿线连片建设美丽乡村</w:t>
      </w:r>
      <w:bookmarkEnd w:id="143"/>
    </w:p>
    <w:p>
      <w:pPr>
        <w:ind w:firstLine="560"/>
      </w:pPr>
      <w:r>
        <w:rPr>
          <w:rFonts w:hint="eastAsia"/>
        </w:rPr>
        <w:t>以各类示范创建村为主要节点，以周边和沿线村庄为辐射带动对象，开展绿化美化，塑造节点景观。充分发挥山水林田湖草和路桥、水利等设施对乡村风貌塑造提升的重要作用，结合“四好农村路”和村内道路硬化、古驿道保护修复利用、万里碧道建设工程，沿线连片推进人居环境整治和风貌提升，建设美丽驿站和风景长廊。在村民住宅的房前屋后因地制宜打造“四小园”（小菜园、小果园、小花园、小公园），丰富村容村貌形态，引导形成兼具生产性和观赏性的特色农业景观。</w:t>
      </w:r>
    </w:p>
    <w:tbl>
      <w:tblPr>
        <w:tblStyle w:val="23"/>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2" w:type="dxa"/>
            <w:vAlign w:val="center"/>
          </w:tcPr>
          <w:p>
            <w:pPr>
              <w:pStyle w:val="39"/>
              <w:snapToGrid w:val="0"/>
              <w:ind w:firstLine="562"/>
              <w:jc w:val="center"/>
              <w:rPr>
                <w:rFonts w:hint="default" w:ascii="仿宋" w:hAnsi="仿宋" w:eastAsia="仿宋"/>
                <w:b/>
                <w:bCs/>
              </w:rPr>
            </w:pPr>
            <w:r>
              <w:rPr>
                <w:rFonts w:ascii="仿宋" w:hAnsi="仿宋" w:eastAsia="仿宋"/>
                <w:b/>
                <w:bCs/>
              </w:rPr>
              <w:t>专栏</w:t>
            </w:r>
            <w:r>
              <w:rPr>
                <w:rFonts w:hint="default" w:ascii="仿宋" w:hAnsi="仿宋" w:eastAsia="仿宋"/>
                <w:b/>
                <w:bCs/>
              </w:rPr>
              <w:t>7</w:t>
            </w:r>
            <w:r>
              <w:rPr>
                <w:rFonts w:ascii="仿宋" w:hAnsi="仿宋" w:eastAsia="仿宋"/>
                <w:b/>
                <w:bCs/>
              </w:rPr>
              <w:t>：美丽乡村建设工程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2" w:type="dxa"/>
            <w:vAlign w:val="center"/>
          </w:tcPr>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color w:val="000000"/>
                <w:kern w:val="0"/>
                <w:sz w:val="24"/>
                <w:szCs w:val="22"/>
              </w:rPr>
            </w:pPr>
            <w:r>
              <w:rPr>
                <w:rFonts w:hint="eastAsia" w:ascii="Times New Roman" w:hAnsi="Times New Roman" w:eastAsia="仿宋" w:cs="Times New Roman"/>
                <w:b/>
                <w:bCs/>
                <w:color w:val="000000"/>
                <w:kern w:val="0"/>
                <w:sz w:val="24"/>
                <w:szCs w:val="22"/>
              </w:rPr>
              <w:t>农村人居环境风貌全域整治工程：</w:t>
            </w:r>
            <w:r>
              <w:rPr>
                <w:rFonts w:hint="eastAsia" w:ascii="Times New Roman" w:hAnsi="Times New Roman" w:eastAsia="仿宋" w:cs="Times New Roman"/>
                <w:color w:val="000000"/>
                <w:kern w:val="0"/>
                <w:sz w:val="24"/>
                <w:szCs w:val="22"/>
              </w:rPr>
              <w:t>以“七星耀罗浮”为示范，分阶段解决农房改造、水环境治理、村容村貌整治等现状问题，开展“绿满家园”行动，全面提升乡村绿化环境和景观风貌。打造乡村风貌新亮点，凸显乡村风貌特色和形象定位，提升村庄品质与内涵。塑造具有典型乡村地域特征、特色鲜明的乡村公共空间环境，对于乡村开敞空间进行景观型微改造，打造优质公共活动空间。</w:t>
            </w:r>
          </w:p>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color w:val="000000"/>
                <w:kern w:val="0"/>
                <w:sz w:val="24"/>
                <w:szCs w:val="22"/>
              </w:rPr>
            </w:pPr>
            <w:r>
              <w:rPr>
                <w:rFonts w:hint="eastAsia" w:ascii="Times New Roman" w:hAnsi="Times New Roman" w:eastAsia="仿宋" w:cs="Times New Roman"/>
                <w:b/>
                <w:bCs/>
                <w:color w:val="000000"/>
                <w:kern w:val="0"/>
                <w:sz w:val="24"/>
                <w:szCs w:val="22"/>
              </w:rPr>
              <w:t>农村“四小园”生态景观塑造：</w:t>
            </w:r>
            <w:r>
              <w:rPr>
                <w:rFonts w:hint="eastAsia" w:ascii="Times New Roman" w:hAnsi="Times New Roman" w:eastAsia="仿宋" w:cs="Times New Roman"/>
                <w:color w:val="000000"/>
                <w:kern w:val="0"/>
                <w:sz w:val="24"/>
                <w:szCs w:val="22"/>
              </w:rPr>
              <w:t>充分利用“三清三拆三整治”后的空闲土地以及用村头巷尾、房前屋后的空闲土地，因地制宜开展“四小园”小生态板块规划建设。</w:t>
            </w:r>
          </w:p>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color w:val="000000"/>
                <w:kern w:val="0"/>
                <w:sz w:val="24"/>
                <w:szCs w:val="22"/>
              </w:rPr>
            </w:pPr>
            <w:r>
              <w:rPr>
                <w:rFonts w:hint="eastAsia" w:ascii="Times New Roman" w:hAnsi="Times New Roman" w:eastAsia="仿宋" w:cs="Times New Roman"/>
                <w:b/>
                <w:bCs/>
                <w:color w:val="000000"/>
                <w:kern w:val="0"/>
                <w:sz w:val="24"/>
                <w:szCs w:val="22"/>
              </w:rPr>
              <w:t>农村公路升级建设：</w:t>
            </w:r>
            <w:r>
              <w:rPr>
                <w:rFonts w:hint="eastAsia" w:ascii="Times New Roman" w:hAnsi="Times New Roman" w:eastAsia="仿宋" w:cs="Times New Roman"/>
                <w:color w:val="000000"/>
                <w:kern w:val="0"/>
                <w:sz w:val="24"/>
                <w:szCs w:val="22"/>
              </w:rPr>
              <w:t>实施“三通一防”改造工程，完成村道硬化建设，创建“四好农村路”示范县，建设宜居宜业宜游省级“美丽农村路”。</w:t>
            </w:r>
          </w:p>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color w:val="000000"/>
                <w:kern w:val="0"/>
                <w:sz w:val="24"/>
                <w:szCs w:val="22"/>
              </w:rPr>
            </w:pPr>
            <w:r>
              <w:rPr>
                <w:rFonts w:hint="eastAsia" w:ascii="Times New Roman" w:hAnsi="Times New Roman" w:eastAsia="仿宋" w:cs="Times New Roman"/>
                <w:b/>
                <w:bCs/>
                <w:color w:val="000000"/>
                <w:kern w:val="0"/>
                <w:sz w:val="24"/>
                <w:szCs w:val="22"/>
              </w:rPr>
              <w:t>民生服务保障水平升级工程：</w:t>
            </w:r>
            <w:r>
              <w:rPr>
                <w:rFonts w:hint="eastAsia" w:ascii="Times New Roman" w:hAnsi="Times New Roman" w:eastAsia="仿宋" w:cs="Times New Roman"/>
                <w:color w:val="000000"/>
                <w:kern w:val="0"/>
                <w:sz w:val="24"/>
                <w:szCs w:val="22"/>
              </w:rPr>
              <w:t>完善基本公共服务设施配套，补齐短板，推动农村道路交通建设、构建城乡生活垃圾一体化处理模式、扩大电力通信覆盖范围等。优化农村公共服务体系，整合优化教育资源、完善医疗服务体系、建设“十里文化圈”、推进农村电子商务支撑服务体系建设、构建城乡一体化居家养老服务模式等，打造舒适便捷、生活幸福的高品质农村人居环境。</w:t>
            </w:r>
          </w:p>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color w:val="000000"/>
                <w:kern w:val="0"/>
                <w:sz w:val="24"/>
                <w:szCs w:val="22"/>
              </w:rPr>
            </w:pPr>
            <w:r>
              <w:rPr>
                <w:rFonts w:hint="eastAsia" w:ascii="Times New Roman" w:hAnsi="Times New Roman" w:eastAsia="仿宋" w:cs="Times New Roman"/>
                <w:b/>
                <w:bCs/>
                <w:color w:val="000000"/>
                <w:kern w:val="0"/>
                <w:sz w:val="24"/>
                <w:szCs w:val="22"/>
              </w:rPr>
              <w:t>乡村振兴示范带建设工程：</w:t>
            </w:r>
            <w:r>
              <w:rPr>
                <w:rFonts w:hint="eastAsia" w:ascii="Times New Roman" w:hAnsi="Times New Roman" w:eastAsia="仿宋" w:cs="Times New Roman"/>
                <w:color w:val="000000"/>
                <w:kern w:val="0"/>
                <w:sz w:val="24"/>
                <w:szCs w:val="22"/>
              </w:rPr>
              <w:t>坚持“美线强点、连点成片、以片带面”的发展思路，大力实施乡村建设，全力打造“环罗浮山”“百里茶香”“东江画廊”“五谷丰登”“东纵精神”示范带，将乡村精品亮点串珠成链，辐射带动乡村形态全面优化，绘就产业欣欣向荣、乡村美美与共、生活蒸蒸日上、治理井井有条的秀美画卷。</w:t>
            </w:r>
          </w:p>
        </w:tc>
      </w:tr>
    </w:tbl>
    <w:p>
      <w:pPr>
        <w:pStyle w:val="4"/>
        <w:ind w:firstLine="602" w:firstLineChars="200"/>
      </w:pPr>
      <w:bookmarkStart w:id="144" w:name="_Toc107350677"/>
      <w:r>
        <w:rPr>
          <w:rFonts w:hint="eastAsia"/>
        </w:rPr>
        <w:t>八、数字农业农村建设工程</w:t>
      </w:r>
      <w:bookmarkEnd w:id="144"/>
    </w:p>
    <w:p>
      <w:pPr>
        <w:pStyle w:val="5"/>
        <w:ind w:firstLine="562"/>
      </w:pPr>
      <w:bookmarkStart w:id="145" w:name="_Toc107350678"/>
      <w:r>
        <w:rPr>
          <w:rFonts w:hint="eastAsia"/>
        </w:rPr>
        <w:t>（一）加强数字农业农村基础设施建设工程</w:t>
      </w:r>
      <w:bookmarkEnd w:id="145"/>
    </w:p>
    <w:p>
      <w:pPr>
        <w:adjustRightInd w:val="0"/>
        <w:ind w:firstLine="560"/>
        <w:rPr>
          <w:rFonts w:cs="Times New Roman"/>
          <w:color w:val="000000"/>
          <w:szCs w:val="28"/>
        </w:rPr>
      </w:pPr>
      <w:r>
        <w:rPr>
          <w:rFonts w:hint="eastAsia" w:cs="Times New Roman"/>
          <w:color w:val="000000"/>
          <w:szCs w:val="28"/>
        </w:rPr>
        <w:t>以产业数字化、数字产业化为发展主线，以数字技术与农业农村经济深度融合为主攻方向，以数据为关键生产要素，全力推动农村光纤宽带、移动互联网、数字电视等基础设施建设，提升</w:t>
      </w:r>
      <w:r>
        <w:rPr>
          <w:rFonts w:cs="Times New Roman"/>
          <w:color w:val="000000"/>
          <w:szCs w:val="28"/>
        </w:rPr>
        <w:t>4</w:t>
      </w:r>
      <w:r>
        <w:rPr>
          <w:rFonts w:hint="eastAsia" w:cs="Times New Roman"/>
          <w:color w:val="000000"/>
          <w:szCs w:val="28"/>
        </w:rPr>
        <w:t>G、5G网络覆盖水平，加强数字生产能力建设，加快农业农村生产经营、管理服务数字化改造，强化关键技术装备创新和重大工程设施建设，推动政府信息系统和公共数据互联开放共享，全面提升农业农村生产智能化、经营网络化、管理高效化、服务便捷化水平，用数字化引领驱动农业农村现代化，为实现乡村全面振兴提供有力支撑。</w:t>
      </w:r>
    </w:p>
    <w:p>
      <w:pPr>
        <w:pStyle w:val="5"/>
        <w:ind w:firstLine="562"/>
      </w:pPr>
      <w:bookmarkStart w:id="146" w:name="_Toc107350679"/>
      <w:r>
        <w:rPr>
          <w:rFonts w:hint="eastAsia"/>
        </w:rPr>
        <w:t>（二）提升数字化服务能力</w:t>
      </w:r>
      <w:bookmarkEnd w:id="146"/>
    </w:p>
    <w:p>
      <w:pPr>
        <w:adjustRightInd w:val="0"/>
        <w:ind w:firstLine="560"/>
        <w:rPr>
          <w:rFonts w:cs="Times New Roman"/>
          <w:color w:val="000000"/>
          <w:szCs w:val="28"/>
        </w:rPr>
      </w:pPr>
      <w:r>
        <w:rPr>
          <w:rFonts w:hint="eastAsia" w:cs="Times New Roman"/>
          <w:color w:val="000000"/>
          <w:szCs w:val="28"/>
        </w:rPr>
        <w:t>建设与博罗县相对接的覆盖县、镇、村三级的生态宜居美丽乡村大数据平台，运用大数据、云计算、GIS等现代信息技术，采用固定电脑和PAD、手机等移动终端，通过门户网站、APP应用、小程序等多样化形式，提供高效能、高可用、高安全、可拓展、可视化和按需服务的平台，打造博罗县美丽乡村数据动态化、场景可视化、应用智能化的数字乡村管理模式。</w:t>
      </w:r>
    </w:p>
    <w:tbl>
      <w:tblPr>
        <w:tblStyle w:val="23"/>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2" w:type="dxa"/>
            <w:vAlign w:val="center"/>
          </w:tcPr>
          <w:p>
            <w:pPr>
              <w:pStyle w:val="39"/>
              <w:snapToGrid w:val="0"/>
              <w:jc w:val="center"/>
              <w:rPr>
                <w:rFonts w:hint="default" w:ascii="仿宋" w:hAnsi="仿宋" w:eastAsia="仿宋"/>
                <w:b/>
                <w:bCs/>
              </w:rPr>
            </w:pPr>
            <w:r>
              <w:rPr>
                <w:rFonts w:ascii="仿宋" w:hAnsi="仿宋" w:eastAsia="仿宋"/>
                <w:b/>
                <w:bCs/>
              </w:rPr>
              <w:t>专栏8：数字农业农村建设工程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02" w:type="dxa"/>
            <w:vAlign w:val="center"/>
          </w:tcPr>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color w:val="000000"/>
                <w:kern w:val="0"/>
                <w:sz w:val="24"/>
                <w:szCs w:val="22"/>
              </w:rPr>
            </w:pPr>
            <w:r>
              <w:rPr>
                <w:rFonts w:hint="eastAsia" w:ascii="Times New Roman" w:hAnsi="Times New Roman" w:eastAsia="仿宋" w:cs="Times New Roman"/>
                <w:b/>
                <w:bCs/>
                <w:color w:val="000000"/>
                <w:kern w:val="0"/>
                <w:sz w:val="24"/>
                <w:szCs w:val="22"/>
              </w:rPr>
              <w:t>数字农业农村基础设施建设项目：</w:t>
            </w:r>
            <w:r>
              <w:rPr>
                <w:rFonts w:hint="eastAsia" w:ascii="Times New Roman" w:hAnsi="Times New Roman" w:eastAsia="仿宋" w:cs="Times New Roman"/>
                <w:color w:val="000000"/>
                <w:kern w:val="0"/>
                <w:sz w:val="24"/>
                <w:szCs w:val="22"/>
              </w:rPr>
              <w:t>推进农村光纤入户，实现农村网络全覆盖；加快推动农村水利、公路、电力、冷链物流、农业生产加工等传统基础设施的数字化、智能化转型，推进智慧水利、智慧交通、智能电网、智慧农业、智慧物流建设。</w:t>
            </w:r>
          </w:p>
          <w:p>
            <w:pPr>
              <w:pStyle w:val="41"/>
              <w:keepNext w:val="0"/>
              <w:keepLines w:val="0"/>
              <w:pageBreakBefore w:val="0"/>
              <w:widowControl w:val="0"/>
              <w:numPr>
                <w:ilvl w:val="0"/>
                <w:numId w:val="1"/>
              </w:numPr>
              <w:kinsoku/>
              <w:wordWrap/>
              <w:overflowPunct/>
              <w:topLinePunct w:val="0"/>
              <w:autoSpaceDE/>
              <w:autoSpaceDN/>
              <w:bidi w:val="0"/>
              <w:adjustRightInd w:val="0"/>
              <w:snapToGrid/>
              <w:spacing w:line="440" w:lineRule="exact"/>
              <w:ind w:left="420" w:hanging="420" w:firstLineChars="0"/>
              <w:textAlignment w:val="auto"/>
              <w:rPr>
                <w:rFonts w:ascii="Times New Roman" w:hAnsi="Times New Roman" w:eastAsia="仿宋" w:cs="Times New Roman"/>
                <w:color w:val="000000"/>
                <w:kern w:val="0"/>
                <w:sz w:val="24"/>
                <w:szCs w:val="22"/>
              </w:rPr>
            </w:pPr>
            <w:r>
              <w:rPr>
                <w:rFonts w:hint="eastAsia" w:ascii="Times New Roman" w:hAnsi="Times New Roman" w:eastAsia="仿宋" w:cs="Times New Roman"/>
                <w:b/>
                <w:bCs/>
                <w:color w:val="000000"/>
                <w:kern w:val="0"/>
                <w:sz w:val="24"/>
                <w:szCs w:val="22"/>
              </w:rPr>
              <w:t>美丽乡村大数据平台建设项目：</w:t>
            </w:r>
            <w:r>
              <w:rPr>
                <w:rFonts w:hint="eastAsia" w:ascii="Times New Roman" w:hAnsi="Times New Roman" w:eastAsia="仿宋" w:cs="Times New Roman"/>
                <w:color w:val="000000"/>
                <w:kern w:val="0"/>
                <w:sz w:val="24"/>
                <w:szCs w:val="22"/>
              </w:rPr>
              <w:t>建立覆盖博罗县县、镇、村三级的生态宜居美丽乡村大数据平台，运用大数据、云计算、GIS等现代信息技术，采用固定电脑和PAD、手机等移动终端，通过门户网站、APP应用、小程序等，打造博罗县美丽乡村数据动态化、场景可视化、应用智能化的数字乡村管理模式。</w:t>
            </w:r>
          </w:p>
        </w:tc>
      </w:tr>
    </w:tbl>
    <w:p>
      <w:pPr>
        <w:ind w:firstLine="560"/>
      </w:pPr>
    </w:p>
    <w:p>
      <w:pPr>
        <w:pStyle w:val="3"/>
      </w:pPr>
      <w:r>
        <w:br w:type="page"/>
      </w:r>
      <w:bookmarkStart w:id="147" w:name="_Toc107350680"/>
      <w:r>
        <w:rPr>
          <w:rFonts w:hint="eastAsia"/>
        </w:rPr>
        <w:t>第九章 保障措施</w:t>
      </w:r>
      <w:bookmarkEnd w:id="147"/>
    </w:p>
    <w:p>
      <w:pPr>
        <w:pStyle w:val="4"/>
        <w:ind w:firstLine="602" w:firstLineChars="200"/>
      </w:pPr>
      <w:bookmarkStart w:id="148" w:name="_Toc107350681"/>
      <w:r>
        <w:rPr>
          <w:rFonts w:hint="eastAsia"/>
        </w:rPr>
        <w:t>一、</w:t>
      </w:r>
      <w:bookmarkStart w:id="149" w:name="_Toc423014450"/>
      <w:bookmarkStart w:id="150" w:name="_Toc23429"/>
      <w:bookmarkStart w:id="151" w:name="_Toc22937"/>
      <w:bookmarkStart w:id="152" w:name="_Toc23462"/>
      <w:bookmarkStart w:id="153" w:name="_Toc436382571"/>
      <w:bookmarkStart w:id="154" w:name="_Toc30484"/>
      <w:bookmarkStart w:id="155" w:name="_Toc31997"/>
      <w:r>
        <w:t>加强组织协调</w:t>
      </w:r>
      <w:bookmarkEnd w:id="148"/>
      <w:bookmarkEnd w:id="149"/>
      <w:bookmarkEnd w:id="150"/>
      <w:bookmarkEnd w:id="151"/>
      <w:bookmarkEnd w:id="152"/>
      <w:bookmarkEnd w:id="153"/>
      <w:bookmarkEnd w:id="154"/>
      <w:bookmarkEnd w:id="155"/>
    </w:p>
    <w:p>
      <w:pPr>
        <w:adjustRightInd w:val="0"/>
        <w:ind w:firstLine="560"/>
        <w:rPr>
          <w:rFonts w:cs="Times New Roman"/>
          <w:color w:val="000000"/>
          <w:szCs w:val="28"/>
        </w:rPr>
      </w:pPr>
      <w:r>
        <w:rPr>
          <w:rFonts w:cs="Times New Roman"/>
          <w:color w:val="000000"/>
          <w:szCs w:val="28"/>
        </w:rPr>
        <w:t>加强组织领导。</w:t>
      </w:r>
      <w:r>
        <w:rPr>
          <w:rFonts w:hint="eastAsia" w:cs="Times New Roman"/>
          <w:szCs w:val="28"/>
        </w:rPr>
        <w:t>县、镇街各级政府要高度重视</w:t>
      </w:r>
      <w:r>
        <w:rPr>
          <w:rFonts w:cs="Times New Roman"/>
          <w:szCs w:val="28"/>
        </w:rPr>
        <w:t>“</w:t>
      </w:r>
      <w:r>
        <w:rPr>
          <w:rFonts w:hint="eastAsia" w:cs="Times New Roman"/>
          <w:szCs w:val="28"/>
        </w:rPr>
        <w:t>三农</w:t>
      </w:r>
      <w:r>
        <w:rPr>
          <w:rFonts w:cs="Times New Roman"/>
          <w:szCs w:val="28"/>
        </w:rPr>
        <w:t>”</w:t>
      </w:r>
      <w:r>
        <w:rPr>
          <w:rFonts w:hint="eastAsia" w:cs="Times New Roman"/>
          <w:szCs w:val="28"/>
        </w:rPr>
        <w:t>工作，</w:t>
      </w:r>
      <w:r>
        <w:rPr>
          <w:rFonts w:cs="Times New Roman"/>
          <w:color w:val="000000"/>
          <w:szCs w:val="28"/>
        </w:rPr>
        <w:t>转变农业发展方式，实现“</w:t>
      </w:r>
      <w:r>
        <w:rPr>
          <w:rFonts w:hint="eastAsia" w:cs="Times New Roman"/>
          <w:color w:val="000000"/>
          <w:szCs w:val="28"/>
        </w:rPr>
        <w:t>乡村振兴</w:t>
      </w:r>
      <w:r>
        <w:rPr>
          <w:rFonts w:cs="Times New Roman"/>
          <w:color w:val="000000"/>
          <w:szCs w:val="28"/>
        </w:rPr>
        <w:t>”的战略高度，将农业和农村工作纳入政府的重要工作计划和目标管理考核内容</w:t>
      </w:r>
      <w:r>
        <w:rPr>
          <w:rFonts w:hint="eastAsia" w:cs="Times New Roman"/>
          <w:color w:val="000000"/>
          <w:szCs w:val="28"/>
        </w:rPr>
        <w:t>中</w:t>
      </w:r>
      <w:r>
        <w:rPr>
          <w:rFonts w:cs="Times New Roman"/>
          <w:color w:val="000000"/>
          <w:szCs w:val="28"/>
        </w:rPr>
        <w:t>。各</w:t>
      </w:r>
      <w:r>
        <w:rPr>
          <w:rFonts w:hint="eastAsia" w:cs="Times New Roman"/>
          <w:color w:val="000000"/>
          <w:szCs w:val="28"/>
        </w:rPr>
        <w:t>级</w:t>
      </w:r>
      <w:r>
        <w:rPr>
          <w:rFonts w:cs="Times New Roman"/>
          <w:color w:val="000000"/>
          <w:szCs w:val="28"/>
        </w:rPr>
        <w:t>农业部门要担负起实施“十</w:t>
      </w:r>
      <w:r>
        <w:rPr>
          <w:rFonts w:hint="eastAsia" w:cs="Times New Roman"/>
          <w:color w:val="000000"/>
          <w:szCs w:val="28"/>
        </w:rPr>
        <w:t>四</w:t>
      </w:r>
      <w:r>
        <w:rPr>
          <w:rFonts w:cs="Times New Roman"/>
          <w:color w:val="000000"/>
          <w:szCs w:val="28"/>
        </w:rPr>
        <w:t>五”规划的组织实施和协调管理工作，建立行政领导负责制和联席会议制度，切实把规划落到实处。强化衔接落实</w:t>
      </w:r>
      <w:r>
        <w:rPr>
          <w:rFonts w:hint="eastAsia" w:cs="Times New Roman"/>
          <w:color w:val="000000"/>
          <w:szCs w:val="28"/>
        </w:rPr>
        <w:t>，</w:t>
      </w:r>
      <w:r>
        <w:rPr>
          <w:rFonts w:cs="Times New Roman"/>
          <w:color w:val="000000"/>
          <w:szCs w:val="28"/>
        </w:rPr>
        <w:t>结合农业“十</w:t>
      </w:r>
      <w:r>
        <w:rPr>
          <w:rFonts w:hint="eastAsia" w:cs="Times New Roman"/>
          <w:color w:val="000000"/>
          <w:szCs w:val="28"/>
        </w:rPr>
        <w:t>四</w:t>
      </w:r>
      <w:r>
        <w:rPr>
          <w:rFonts w:cs="Times New Roman"/>
          <w:color w:val="000000"/>
          <w:szCs w:val="28"/>
        </w:rPr>
        <w:t>五”发展规划，以镇</w:t>
      </w:r>
      <w:r>
        <w:rPr>
          <w:rFonts w:hint="eastAsia" w:cs="Times New Roman"/>
          <w:color w:val="000000"/>
          <w:szCs w:val="28"/>
        </w:rPr>
        <w:t>街</w:t>
      </w:r>
      <w:r>
        <w:rPr>
          <w:rFonts w:cs="Times New Roman"/>
          <w:color w:val="000000"/>
          <w:szCs w:val="28"/>
        </w:rPr>
        <w:t>为单元，明确发展重点和任务，整合资金和政策投入，合力推进</w:t>
      </w:r>
      <w:r>
        <w:rPr>
          <w:rFonts w:hint="eastAsia" w:cs="Times New Roman"/>
          <w:color w:val="000000"/>
          <w:szCs w:val="28"/>
        </w:rPr>
        <w:t>博罗县</w:t>
      </w:r>
      <w:r>
        <w:rPr>
          <w:rFonts w:cs="Times New Roman"/>
          <w:color w:val="000000"/>
          <w:szCs w:val="28"/>
        </w:rPr>
        <w:t>优势农业做大做强。</w:t>
      </w:r>
    </w:p>
    <w:p>
      <w:pPr>
        <w:pStyle w:val="4"/>
        <w:ind w:firstLine="602" w:firstLineChars="200"/>
      </w:pPr>
      <w:bookmarkStart w:id="156" w:name="_Toc31774"/>
      <w:bookmarkStart w:id="157" w:name="_Toc436382572"/>
      <w:bookmarkStart w:id="158" w:name="_Toc107350682"/>
      <w:bookmarkStart w:id="159" w:name="_Toc15745"/>
      <w:bookmarkStart w:id="160" w:name="_Toc876"/>
      <w:bookmarkStart w:id="161" w:name="_Toc17776"/>
      <w:bookmarkStart w:id="162" w:name="_Toc6829"/>
      <w:r>
        <w:t>二、加大支持力度</w:t>
      </w:r>
      <w:bookmarkEnd w:id="156"/>
      <w:bookmarkEnd w:id="157"/>
      <w:bookmarkEnd w:id="158"/>
      <w:bookmarkEnd w:id="159"/>
      <w:bookmarkEnd w:id="160"/>
      <w:bookmarkEnd w:id="161"/>
      <w:bookmarkEnd w:id="162"/>
    </w:p>
    <w:p>
      <w:pPr>
        <w:adjustRightInd w:val="0"/>
        <w:ind w:firstLine="560"/>
        <w:rPr>
          <w:rFonts w:cs="Times New Roman"/>
          <w:color w:val="000000"/>
          <w:szCs w:val="28"/>
        </w:rPr>
      </w:pPr>
      <w:r>
        <w:rPr>
          <w:rFonts w:cs="Times New Roman"/>
          <w:color w:val="000000"/>
          <w:szCs w:val="28"/>
        </w:rPr>
        <w:t>建立健全农业农村</w:t>
      </w:r>
      <w:r>
        <w:rPr>
          <w:rFonts w:hint="eastAsia" w:cs="Times New Roman"/>
          <w:color w:val="000000"/>
          <w:szCs w:val="28"/>
        </w:rPr>
        <w:t>长效</w:t>
      </w:r>
      <w:r>
        <w:rPr>
          <w:rFonts w:cs="Times New Roman"/>
          <w:color w:val="000000"/>
          <w:szCs w:val="28"/>
        </w:rPr>
        <w:t>投入</w:t>
      </w:r>
      <w:r>
        <w:rPr>
          <w:rFonts w:hint="eastAsia" w:cs="Times New Roman"/>
          <w:color w:val="000000"/>
          <w:szCs w:val="28"/>
        </w:rPr>
        <w:t>增长</w:t>
      </w:r>
      <w:r>
        <w:rPr>
          <w:rFonts w:cs="Times New Roman"/>
          <w:color w:val="000000"/>
          <w:szCs w:val="28"/>
        </w:rPr>
        <w:t>机制。继续加大各级财政对农业农村的投入力度，积极争取中央</w:t>
      </w:r>
      <w:r>
        <w:rPr>
          <w:rFonts w:hint="eastAsia" w:cs="Times New Roman"/>
          <w:color w:val="000000"/>
          <w:szCs w:val="28"/>
        </w:rPr>
        <w:t>、</w:t>
      </w:r>
      <w:r>
        <w:rPr>
          <w:rFonts w:cs="Times New Roman"/>
          <w:color w:val="000000"/>
          <w:szCs w:val="28"/>
        </w:rPr>
        <w:t>省级</w:t>
      </w:r>
      <w:r>
        <w:rPr>
          <w:rFonts w:hint="eastAsia" w:cs="Times New Roman"/>
          <w:color w:val="000000"/>
          <w:szCs w:val="28"/>
        </w:rPr>
        <w:t>和市级</w:t>
      </w:r>
      <w:r>
        <w:rPr>
          <w:rFonts w:cs="Times New Roman"/>
          <w:color w:val="000000"/>
          <w:szCs w:val="28"/>
        </w:rPr>
        <w:t>财政</w:t>
      </w:r>
      <w:r>
        <w:rPr>
          <w:rFonts w:hint="eastAsia" w:cs="Times New Roman"/>
          <w:color w:val="000000"/>
          <w:szCs w:val="28"/>
        </w:rPr>
        <w:t>资金的</w:t>
      </w:r>
      <w:r>
        <w:rPr>
          <w:rFonts w:cs="Times New Roman"/>
          <w:color w:val="000000"/>
          <w:szCs w:val="28"/>
        </w:rPr>
        <w:t>支持和投入，把农业</w:t>
      </w:r>
      <w:r>
        <w:rPr>
          <w:rFonts w:hint="eastAsia" w:cs="Times New Roman"/>
          <w:color w:val="000000"/>
          <w:szCs w:val="28"/>
        </w:rPr>
        <w:t>农村</w:t>
      </w:r>
      <w:r>
        <w:rPr>
          <w:rFonts w:cs="Times New Roman"/>
          <w:color w:val="000000"/>
          <w:szCs w:val="28"/>
        </w:rPr>
        <w:t>现代化建设作为财政支出的优先保障领域，确保各级财政投入总量持续增加、比例逐步提高。改革创新涉农资金管理体制机制。推动涉农资金安排与中央、省</w:t>
      </w:r>
      <w:r>
        <w:rPr>
          <w:rFonts w:hint="eastAsia" w:cs="Times New Roman"/>
          <w:color w:val="000000"/>
          <w:szCs w:val="28"/>
        </w:rPr>
        <w:t>、</w:t>
      </w:r>
      <w:r>
        <w:rPr>
          <w:rFonts w:cs="Times New Roman"/>
          <w:color w:val="000000"/>
          <w:szCs w:val="28"/>
        </w:rPr>
        <w:t>市</w:t>
      </w:r>
      <w:r>
        <w:rPr>
          <w:rFonts w:hint="eastAsia" w:cs="Times New Roman"/>
          <w:color w:val="000000"/>
          <w:szCs w:val="28"/>
        </w:rPr>
        <w:t>、县</w:t>
      </w:r>
      <w:r>
        <w:rPr>
          <w:rFonts w:cs="Times New Roman"/>
          <w:color w:val="000000"/>
          <w:szCs w:val="28"/>
        </w:rPr>
        <w:t>农业规划有效衔接，统筹整合各类涉农资金、归并交叉重复项目，集中力量办大事，让财政资金安排服务于农业农村发展大计，切实提高财政资金使用效益。引导社会资本投向农业农村。继续探索财政涉农资金与金融资本、社会资本相融合的有效模式，建立完善激励机制，引导社会资本投向农业农村，以提供更多的资金保障。</w:t>
      </w:r>
    </w:p>
    <w:p>
      <w:pPr>
        <w:pStyle w:val="4"/>
        <w:ind w:firstLine="602" w:firstLineChars="200"/>
      </w:pPr>
      <w:bookmarkStart w:id="163" w:name="_Toc107350683"/>
      <w:bookmarkStart w:id="164" w:name="_Toc26999"/>
      <w:bookmarkStart w:id="165" w:name="_Toc10958"/>
      <w:r>
        <w:t>三、强化创新驱动</w:t>
      </w:r>
      <w:bookmarkEnd w:id="163"/>
      <w:bookmarkEnd w:id="164"/>
      <w:bookmarkEnd w:id="165"/>
    </w:p>
    <w:p>
      <w:pPr>
        <w:adjustRightInd w:val="0"/>
        <w:ind w:firstLine="560"/>
        <w:rPr>
          <w:rFonts w:cs="Times New Roman"/>
          <w:szCs w:val="28"/>
        </w:rPr>
      </w:pPr>
      <w:r>
        <w:rPr>
          <w:rFonts w:hint="eastAsia" w:cs="Times New Roman"/>
          <w:szCs w:val="28"/>
        </w:rPr>
        <w:t>建立和完善以创新为主要引领和支撑的现代农业农村发展模式和体制机制，完善激励机制，激活创新发展活力。加强现代农业产业技术体系建设，以农业龙头企业、农民专业合作社、家庭农场等新型农业经营主体为依托，完善考核评价制度，强化专家对农业的指导带动作用，充分发挥省级、市级和县级现代农业产业技术体系对博罗县农业产业发展的支撑和驱动作用，全面带动博罗县现代农业转型升级。强化基层农业科技创新和农技推广体系建设，将有关机构、人才、经费、培训等纳入本级政府财政预算，保障其在博罗县农业协同创新体系中的地位和作用。推进农业科技成果的试验示范和转化，引导社会资源积极参与农技推广工作，提高全县农业科技成果转化应用水平。建立新型职业农民和农业经营管理人才培训的长效机制，全面提高农业劳动者素质和经营管理水平，为博罗县现代农业发展提供人力支撑。加快发展农业专业化、社会化服务组织，依托市场合理配置要素，支持专业大户和各类经营主体牵头兴办专业服务组织。</w:t>
      </w:r>
    </w:p>
    <w:p>
      <w:pPr>
        <w:pStyle w:val="4"/>
        <w:ind w:firstLine="602" w:firstLineChars="200"/>
      </w:pPr>
      <w:bookmarkStart w:id="166" w:name="_Toc107350684"/>
      <w:bookmarkStart w:id="167" w:name="_Toc781"/>
      <w:r>
        <w:t>四、加强金融支农</w:t>
      </w:r>
      <w:bookmarkEnd w:id="166"/>
      <w:bookmarkEnd w:id="167"/>
    </w:p>
    <w:p>
      <w:pPr>
        <w:adjustRightInd w:val="0"/>
        <w:ind w:firstLine="560"/>
        <w:rPr>
          <w:rFonts w:cs="Times New Roman"/>
          <w:color w:val="000000"/>
          <w:szCs w:val="28"/>
        </w:rPr>
      </w:pPr>
      <w:r>
        <w:rPr>
          <w:rFonts w:hint="eastAsia" w:cs="Times New Roman"/>
          <w:color w:val="000000"/>
          <w:szCs w:val="28"/>
        </w:rPr>
        <w:t>鼓励开发性、政策性金融机构在业务范围内为乡村振兴提供中长期信贷支持，加大商业银行对乡村振兴支持力度，强化农村中小金融支农主力军作用，推动征信、支付等农村金融设施入镇进村，提高普惠金融覆盖面。探索农村集体经营性建设用地使用权、承包地经营权、集体林权、集体资产股权等抵押贷款。推动农业保险高质量发展，促进农业保险向“保价格、保收入”升级，推进农业保险“扩面、增品、提标”。支持符合条件的涉农企业在资本市场上市融资。推动金融基础设施建设，加快推进农村地区移动支付示范镇建设，提升农村普惠金融服务水平。</w:t>
      </w:r>
    </w:p>
    <w:p>
      <w:pPr>
        <w:pStyle w:val="4"/>
        <w:ind w:firstLine="602" w:firstLineChars="200"/>
      </w:pPr>
      <w:bookmarkStart w:id="168" w:name="_Toc107350685"/>
      <w:bookmarkStart w:id="169" w:name="_Toc13370"/>
      <w:bookmarkStart w:id="170" w:name="_Toc436382574"/>
      <w:bookmarkStart w:id="171" w:name="_Toc433985953"/>
      <w:bookmarkStart w:id="172" w:name="_Toc9730"/>
      <w:bookmarkStart w:id="173" w:name="_Toc6484"/>
      <w:bookmarkStart w:id="174" w:name="_Toc7655"/>
      <w:bookmarkStart w:id="175" w:name="_Toc20956"/>
      <w:r>
        <w:t>五、全面深化改革</w:t>
      </w:r>
      <w:bookmarkEnd w:id="168"/>
      <w:bookmarkEnd w:id="169"/>
    </w:p>
    <w:p>
      <w:pPr>
        <w:adjustRightInd w:val="0"/>
        <w:ind w:firstLine="560"/>
        <w:rPr>
          <w:rFonts w:cs="Times New Roman"/>
          <w:color w:val="000000"/>
          <w:szCs w:val="28"/>
        </w:rPr>
      </w:pPr>
      <w:r>
        <w:rPr>
          <w:rFonts w:cs="Times New Roman"/>
          <w:color w:val="000000"/>
          <w:szCs w:val="28"/>
        </w:rPr>
        <w:t>加大改革力度，创新体制机制。进一步推进和完善农村土地承包经营权确权登记颁证制度，深入推进农村集体产权制度改革。完善农村金融改革。加快推进农业科技创新体制改革。</w:t>
      </w:r>
      <w:bookmarkStart w:id="176" w:name="_Toc1184"/>
      <w:bookmarkStart w:id="177" w:name="_Toc19914"/>
      <w:bookmarkStart w:id="178" w:name="_Toc30133"/>
      <w:bookmarkStart w:id="179" w:name="_Toc11214"/>
      <w:bookmarkStart w:id="180" w:name="_Toc436382576"/>
      <w:r>
        <w:rPr>
          <w:rFonts w:cs="Times New Roman"/>
          <w:color w:val="000000"/>
          <w:szCs w:val="28"/>
        </w:rPr>
        <w:fldChar w:fldCharType="begin"/>
      </w:r>
      <w:r>
        <w:rPr>
          <w:rFonts w:cs="Times New Roman"/>
          <w:color w:val="000000"/>
          <w:szCs w:val="28"/>
        </w:rPr>
        <w:instrText xml:space="preserve"> HYPERLINK \l "_Toc423014454" </w:instrText>
      </w:r>
      <w:r>
        <w:rPr>
          <w:rFonts w:cs="Times New Roman"/>
          <w:color w:val="000000"/>
          <w:szCs w:val="28"/>
        </w:rPr>
        <w:fldChar w:fldCharType="separate"/>
      </w:r>
      <w:r>
        <w:rPr>
          <w:rFonts w:cs="Times New Roman"/>
          <w:color w:val="000000"/>
          <w:szCs w:val="28"/>
        </w:rPr>
        <w:t>推进依</w:t>
      </w:r>
      <w:r>
        <w:rPr>
          <w:rFonts w:cs="Times New Roman"/>
          <w:color w:val="000000"/>
          <w:szCs w:val="28"/>
        </w:rPr>
        <w:fldChar w:fldCharType="end"/>
      </w:r>
      <w:r>
        <w:rPr>
          <w:rFonts w:cs="Times New Roman"/>
          <w:color w:val="000000"/>
          <w:szCs w:val="28"/>
        </w:rPr>
        <w:t>法治农</w:t>
      </w:r>
      <w:bookmarkEnd w:id="176"/>
      <w:bookmarkEnd w:id="177"/>
      <w:bookmarkEnd w:id="178"/>
      <w:bookmarkEnd w:id="179"/>
      <w:bookmarkEnd w:id="180"/>
      <w:r>
        <w:rPr>
          <w:rFonts w:cs="Times New Roman"/>
          <w:color w:val="000000"/>
          <w:szCs w:val="28"/>
        </w:rPr>
        <w:t>。</w:t>
      </w:r>
      <w:r>
        <w:rPr>
          <w:rFonts w:hint="eastAsia" w:cs="Times New Roman"/>
          <w:szCs w:val="28"/>
        </w:rPr>
        <w:t>落实好中央和省农业发展支持保护法治体系，重点加强农业耕地保护、农田水利设施使用和保护、农业种质资源等方面的管理，完善农业资源保护法治体系。</w:t>
      </w:r>
      <w:r>
        <w:rPr>
          <w:rFonts w:cs="Times New Roman"/>
          <w:color w:val="000000"/>
          <w:szCs w:val="28"/>
        </w:rPr>
        <w:t>推进农业综合执法，完善县镇（街）</w:t>
      </w:r>
      <w:r>
        <w:rPr>
          <w:rFonts w:hint="eastAsia" w:cs="Times New Roman"/>
          <w:color w:val="000000"/>
          <w:szCs w:val="28"/>
        </w:rPr>
        <w:t>二</w:t>
      </w:r>
      <w:r>
        <w:rPr>
          <w:rFonts w:cs="Times New Roman"/>
          <w:color w:val="000000"/>
          <w:szCs w:val="28"/>
        </w:rPr>
        <w:t>级农业综合执法体系，强化执法装备建设，提高农业执法水平，保障农资农业生产安全和农产品质量安全。加强农业普法工作，强化农业干部学法用法教育。把党的农村改革决策与各级人大的立法决策相统一，加强农村改革与法治建设的协调推进</w:t>
      </w:r>
      <w:bookmarkEnd w:id="170"/>
      <w:bookmarkEnd w:id="171"/>
      <w:bookmarkEnd w:id="172"/>
      <w:bookmarkEnd w:id="173"/>
      <w:bookmarkEnd w:id="174"/>
      <w:bookmarkEnd w:id="175"/>
      <w:r>
        <w:rPr>
          <w:rFonts w:hint="eastAsia" w:cs="Times New Roman"/>
          <w:color w:val="000000"/>
          <w:szCs w:val="28"/>
          <w:lang w:eastAsia="zh-CN"/>
        </w:rPr>
        <w:t>。</w:t>
      </w:r>
    </w:p>
    <w:sectPr>
      <w:pgSz w:w="11906" w:h="16838"/>
      <w:pgMar w:top="1440" w:right="1797" w:bottom="1440" w:left="1797" w:header="851" w:footer="992" w:gutter="0"/>
      <w:cols w:space="425"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Times New Roman (正文 CS 字体)">
    <w:altName w:val="宋体"/>
    <w:panose1 w:val="00000000000000000000"/>
    <w:charset w:val="86"/>
    <w:family w:val="roman"/>
    <w:pitch w:val="default"/>
    <w:sig w:usb0="00000000" w:usb1="00000000" w:usb2="00000000" w:usb3="00000000" w:csb0="00000000" w:csb1="00000000"/>
  </w:font>
  <w:font w:name="Segoe UI">
    <w:panose1 w:val="020B0502040204020203"/>
    <w:charset w:val="00"/>
    <w:family w:val="swiss"/>
    <w:pitch w:val="default"/>
    <w:sig w:usb0="E10022FF" w:usb1="C000E47F" w:usb2="00000029" w:usb3="00000000" w:csb0="200001DF" w:csb1="20000000"/>
  </w:font>
  <w:font w:name="Arial Unicode MS">
    <w:panose1 w:val="020B0604020202020204"/>
    <w:charset w:val="86"/>
    <w:family w:val="auto"/>
    <w:pitch w:val="default"/>
    <w:sig w:usb0="FFFFFFFF" w:usb1="E9FFFFFF" w:usb2="0000003F" w:usb3="00000000" w:csb0="603F01FF" w:csb1="FFFF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5352340"/>
    </w:sdtPr>
    <w:sdtContent>
      <w:p>
        <w:pPr>
          <w:pStyle w:val="13"/>
          <w:ind w:firstLine="360"/>
          <w:jc w:val="center"/>
        </w:pPr>
        <w:r>
          <w:fldChar w:fldCharType="begin"/>
        </w:r>
        <w:r>
          <w:instrText xml:space="preserve">PAGE   \* MERGEFORMAT</w:instrText>
        </w:r>
        <w:r>
          <w:fldChar w:fldCharType="separate"/>
        </w:r>
        <w:r>
          <w:rPr>
            <w:lang w:val="zh-CN"/>
          </w:rPr>
          <w:t>2</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single" w:color="auto" w:sz="4" w:space="1"/>
      </w:pBdr>
      <w:ind w:firstLine="360"/>
      <w:jc w:val="right"/>
    </w:pPr>
    <w:r>
      <w:rPr>
        <w:rFonts w:hint="eastAsia"/>
      </w:rPr>
      <w:t>博罗县农业农村现代化“十四五”规划</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837004"/>
    <w:multiLevelType w:val="multilevel"/>
    <w:tmpl w:val="06837004"/>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hideSpellingErrors/>
  <w:hideGrammaticalErrors/>
  <w:documentProtection w:enforcement="0"/>
  <w:defaultTabStop w:val="420"/>
  <w:drawingGridHorizontalSpacing w:val="140"/>
  <w:drawingGridVerticalSpacing w:val="381"/>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MwMDcxYWE2NGEwMTgzY2M5OGEwNzVkZDExNTkzYTAifQ=="/>
  </w:docVars>
  <w:rsids>
    <w:rsidRoot w:val="00A14AA8"/>
    <w:rsid w:val="000034DE"/>
    <w:rsid w:val="00010313"/>
    <w:rsid w:val="00013993"/>
    <w:rsid w:val="0002022B"/>
    <w:rsid w:val="000274A2"/>
    <w:rsid w:val="0002780E"/>
    <w:rsid w:val="00031BE8"/>
    <w:rsid w:val="00031F22"/>
    <w:rsid w:val="000337E2"/>
    <w:rsid w:val="00036F83"/>
    <w:rsid w:val="000378FF"/>
    <w:rsid w:val="00040F03"/>
    <w:rsid w:val="0004271C"/>
    <w:rsid w:val="000431DF"/>
    <w:rsid w:val="00046092"/>
    <w:rsid w:val="0005021A"/>
    <w:rsid w:val="000549C0"/>
    <w:rsid w:val="000601EC"/>
    <w:rsid w:val="000614B6"/>
    <w:rsid w:val="00066EF9"/>
    <w:rsid w:val="00070881"/>
    <w:rsid w:val="00075B99"/>
    <w:rsid w:val="000812F5"/>
    <w:rsid w:val="00084687"/>
    <w:rsid w:val="00086E4F"/>
    <w:rsid w:val="000901F4"/>
    <w:rsid w:val="00090527"/>
    <w:rsid w:val="00090A36"/>
    <w:rsid w:val="00091187"/>
    <w:rsid w:val="000917CF"/>
    <w:rsid w:val="00091BE2"/>
    <w:rsid w:val="0009464B"/>
    <w:rsid w:val="0009480A"/>
    <w:rsid w:val="000951E9"/>
    <w:rsid w:val="00096B27"/>
    <w:rsid w:val="000972BE"/>
    <w:rsid w:val="000A0319"/>
    <w:rsid w:val="000A140B"/>
    <w:rsid w:val="000A177B"/>
    <w:rsid w:val="000A378E"/>
    <w:rsid w:val="000A3A5B"/>
    <w:rsid w:val="000A47BD"/>
    <w:rsid w:val="000A5302"/>
    <w:rsid w:val="000B57FC"/>
    <w:rsid w:val="000B63B6"/>
    <w:rsid w:val="000B7294"/>
    <w:rsid w:val="000C0258"/>
    <w:rsid w:val="000C0E35"/>
    <w:rsid w:val="000C1EE4"/>
    <w:rsid w:val="000C3F95"/>
    <w:rsid w:val="000C6E21"/>
    <w:rsid w:val="000C7FC2"/>
    <w:rsid w:val="000D404E"/>
    <w:rsid w:val="000D4163"/>
    <w:rsid w:val="000D4EF8"/>
    <w:rsid w:val="000D7749"/>
    <w:rsid w:val="000D7750"/>
    <w:rsid w:val="000E1741"/>
    <w:rsid w:val="000E3B30"/>
    <w:rsid w:val="000E5A0E"/>
    <w:rsid w:val="000E5F90"/>
    <w:rsid w:val="000E6AE6"/>
    <w:rsid w:val="000F1030"/>
    <w:rsid w:val="000F7AF9"/>
    <w:rsid w:val="00100B55"/>
    <w:rsid w:val="0010365B"/>
    <w:rsid w:val="001036CC"/>
    <w:rsid w:val="00104564"/>
    <w:rsid w:val="0010578D"/>
    <w:rsid w:val="00105EC7"/>
    <w:rsid w:val="001102BD"/>
    <w:rsid w:val="00112DC5"/>
    <w:rsid w:val="00114EBC"/>
    <w:rsid w:val="0011679A"/>
    <w:rsid w:val="00117121"/>
    <w:rsid w:val="00117A1D"/>
    <w:rsid w:val="00117F4E"/>
    <w:rsid w:val="00126476"/>
    <w:rsid w:val="0012679F"/>
    <w:rsid w:val="001279C7"/>
    <w:rsid w:val="0013515D"/>
    <w:rsid w:val="00135667"/>
    <w:rsid w:val="00136034"/>
    <w:rsid w:val="0013680A"/>
    <w:rsid w:val="00142ECF"/>
    <w:rsid w:val="0014301A"/>
    <w:rsid w:val="001461F2"/>
    <w:rsid w:val="001504B7"/>
    <w:rsid w:val="001506D1"/>
    <w:rsid w:val="00150918"/>
    <w:rsid w:val="001523EE"/>
    <w:rsid w:val="00160337"/>
    <w:rsid w:val="001632FB"/>
    <w:rsid w:val="00164419"/>
    <w:rsid w:val="001655E6"/>
    <w:rsid w:val="0016601D"/>
    <w:rsid w:val="001666CE"/>
    <w:rsid w:val="00166C84"/>
    <w:rsid w:val="001706EE"/>
    <w:rsid w:val="001734DF"/>
    <w:rsid w:val="0018133D"/>
    <w:rsid w:val="00182EB5"/>
    <w:rsid w:val="0018418A"/>
    <w:rsid w:val="00187192"/>
    <w:rsid w:val="00191985"/>
    <w:rsid w:val="001924AB"/>
    <w:rsid w:val="00197360"/>
    <w:rsid w:val="00197F7E"/>
    <w:rsid w:val="001A09F2"/>
    <w:rsid w:val="001A361F"/>
    <w:rsid w:val="001A5683"/>
    <w:rsid w:val="001A799E"/>
    <w:rsid w:val="001B2A47"/>
    <w:rsid w:val="001C0532"/>
    <w:rsid w:val="001C0E93"/>
    <w:rsid w:val="001C1E3E"/>
    <w:rsid w:val="001C307F"/>
    <w:rsid w:val="001C5109"/>
    <w:rsid w:val="001C6652"/>
    <w:rsid w:val="001C7217"/>
    <w:rsid w:val="001D1B99"/>
    <w:rsid w:val="001D21F4"/>
    <w:rsid w:val="001D5D83"/>
    <w:rsid w:val="001D7016"/>
    <w:rsid w:val="001D7595"/>
    <w:rsid w:val="001E06B7"/>
    <w:rsid w:val="001E30F8"/>
    <w:rsid w:val="001E5DD7"/>
    <w:rsid w:val="001F1056"/>
    <w:rsid w:val="001F4056"/>
    <w:rsid w:val="001F5B54"/>
    <w:rsid w:val="001F604E"/>
    <w:rsid w:val="001F7386"/>
    <w:rsid w:val="00200278"/>
    <w:rsid w:val="002015E2"/>
    <w:rsid w:val="00202F9E"/>
    <w:rsid w:val="0020566F"/>
    <w:rsid w:val="00205912"/>
    <w:rsid w:val="002147C9"/>
    <w:rsid w:val="00215EB4"/>
    <w:rsid w:val="00217565"/>
    <w:rsid w:val="00221AA3"/>
    <w:rsid w:val="00233F2E"/>
    <w:rsid w:val="00236A11"/>
    <w:rsid w:val="00240D4B"/>
    <w:rsid w:val="00243131"/>
    <w:rsid w:val="00245FFD"/>
    <w:rsid w:val="002500EF"/>
    <w:rsid w:val="002502B9"/>
    <w:rsid w:val="00252846"/>
    <w:rsid w:val="00256CB4"/>
    <w:rsid w:val="00261140"/>
    <w:rsid w:val="00261716"/>
    <w:rsid w:val="002632F7"/>
    <w:rsid w:val="00266052"/>
    <w:rsid w:val="00267B0C"/>
    <w:rsid w:val="00270BE8"/>
    <w:rsid w:val="002734B7"/>
    <w:rsid w:val="00273D80"/>
    <w:rsid w:val="00274D13"/>
    <w:rsid w:val="00281D21"/>
    <w:rsid w:val="00291CBF"/>
    <w:rsid w:val="002927A5"/>
    <w:rsid w:val="00293054"/>
    <w:rsid w:val="002940FF"/>
    <w:rsid w:val="00295131"/>
    <w:rsid w:val="002959E1"/>
    <w:rsid w:val="00295A91"/>
    <w:rsid w:val="0029615B"/>
    <w:rsid w:val="00297C4E"/>
    <w:rsid w:val="002A014F"/>
    <w:rsid w:val="002A09AF"/>
    <w:rsid w:val="002A0D3C"/>
    <w:rsid w:val="002A268C"/>
    <w:rsid w:val="002A7B28"/>
    <w:rsid w:val="002B390E"/>
    <w:rsid w:val="002B4B6F"/>
    <w:rsid w:val="002B6116"/>
    <w:rsid w:val="002B74EF"/>
    <w:rsid w:val="002C2270"/>
    <w:rsid w:val="002C4641"/>
    <w:rsid w:val="002D0920"/>
    <w:rsid w:val="002D116C"/>
    <w:rsid w:val="002D3002"/>
    <w:rsid w:val="002D397F"/>
    <w:rsid w:val="002D5A5C"/>
    <w:rsid w:val="002E1621"/>
    <w:rsid w:val="002E2A05"/>
    <w:rsid w:val="002E4C9C"/>
    <w:rsid w:val="002F122B"/>
    <w:rsid w:val="002F1D58"/>
    <w:rsid w:val="002F2D0C"/>
    <w:rsid w:val="002F3046"/>
    <w:rsid w:val="002F41D9"/>
    <w:rsid w:val="002F4555"/>
    <w:rsid w:val="002F6410"/>
    <w:rsid w:val="003010A3"/>
    <w:rsid w:val="00301BBA"/>
    <w:rsid w:val="00303E99"/>
    <w:rsid w:val="0030650C"/>
    <w:rsid w:val="00310825"/>
    <w:rsid w:val="00311B92"/>
    <w:rsid w:val="00311C1F"/>
    <w:rsid w:val="00311F46"/>
    <w:rsid w:val="00312638"/>
    <w:rsid w:val="00312713"/>
    <w:rsid w:val="003143F7"/>
    <w:rsid w:val="003152AB"/>
    <w:rsid w:val="00316856"/>
    <w:rsid w:val="00320138"/>
    <w:rsid w:val="003201A3"/>
    <w:rsid w:val="00323D27"/>
    <w:rsid w:val="0032445D"/>
    <w:rsid w:val="00326E71"/>
    <w:rsid w:val="00333101"/>
    <w:rsid w:val="00334F34"/>
    <w:rsid w:val="003374AE"/>
    <w:rsid w:val="003415F1"/>
    <w:rsid w:val="0034571E"/>
    <w:rsid w:val="00346DB0"/>
    <w:rsid w:val="00347CE1"/>
    <w:rsid w:val="0035240D"/>
    <w:rsid w:val="00352A68"/>
    <w:rsid w:val="003547AA"/>
    <w:rsid w:val="00354EBF"/>
    <w:rsid w:val="0035635E"/>
    <w:rsid w:val="00362DF1"/>
    <w:rsid w:val="003643DC"/>
    <w:rsid w:val="00365D9D"/>
    <w:rsid w:val="00370881"/>
    <w:rsid w:val="00373142"/>
    <w:rsid w:val="003739EE"/>
    <w:rsid w:val="00376356"/>
    <w:rsid w:val="00377D32"/>
    <w:rsid w:val="00377FBE"/>
    <w:rsid w:val="003817ED"/>
    <w:rsid w:val="00382B69"/>
    <w:rsid w:val="00384CBC"/>
    <w:rsid w:val="00387DD5"/>
    <w:rsid w:val="00390F6C"/>
    <w:rsid w:val="00391D41"/>
    <w:rsid w:val="003945D4"/>
    <w:rsid w:val="003972F3"/>
    <w:rsid w:val="00397450"/>
    <w:rsid w:val="003A0D2A"/>
    <w:rsid w:val="003A27F0"/>
    <w:rsid w:val="003A2869"/>
    <w:rsid w:val="003A3F71"/>
    <w:rsid w:val="003A502C"/>
    <w:rsid w:val="003A76E3"/>
    <w:rsid w:val="003B01E5"/>
    <w:rsid w:val="003B0667"/>
    <w:rsid w:val="003B08DF"/>
    <w:rsid w:val="003B2519"/>
    <w:rsid w:val="003B5939"/>
    <w:rsid w:val="003B6506"/>
    <w:rsid w:val="003B7322"/>
    <w:rsid w:val="003C0434"/>
    <w:rsid w:val="003C6054"/>
    <w:rsid w:val="003C62BD"/>
    <w:rsid w:val="003C6675"/>
    <w:rsid w:val="003C6A3E"/>
    <w:rsid w:val="003C6C42"/>
    <w:rsid w:val="003D3D5C"/>
    <w:rsid w:val="003D791E"/>
    <w:rsid w:val="003E0801"/>
    <w:rsid w:val="003E1FC9"/>
    <w:rsid w:val="003E202E"/>
    <w:rsid w:val="003E2957"/>
    <w:rsid w:val="003E3396"/>
    <w:rsid w:val="003E536D"/>
    <w:rsid w:val="003E6C88"/>
    <w:rsid w:val="003E71AE"/>
    <w:rsid w:val="003F15E2"/>
    <w:rsid w:val="003F3267"/>
    <w:rsid w:val="003F413E"/>
    <w:rsid w:val="003F74D3"/>
    <w:rsid w:val="0040021A"/>
    <w:rsid w:val="0040437A"/>
    <w:rsid w:val="00415A0A"/>
    <w:rsid w:val="0041687F"/>
    <w:rsid w:val="00422CB6"/>
    <w:rsid w:val="004242F8"/>
    <w:rsid w:val="00430B25"/>
    <w:rsid w:val="0043396A"/>
    <w:rsid w:val="0043427A"/>
    <w:rsid w:val="004354C7"/>
    <w:rsid w:val="00436240"/>
    <w:rsid w:val="00436533"/>
    <w:rsid w:val="0043701D"/>
    <w:rsid w:val="004425EC"/>
    <w:rsid w:val="00444BC6"/>
    <w:rsid w:val="00446604"/>
    <w:rsid w:val="00446C9B"/>
    <w:rsid w:val="0044785C"/>
    <w:rsid w:val="0045181F"/>
    <w:rsid w:val="00451A10"/>
    <w:rsid w:val="00453D1D"/>
    <w:rsid w:val="00456610"/>
    <w:rsid w:val="004609C6"/>
    <w:rsid w:val="004614C1"/>
    <w:rsid w:val="00461C86"/>
    <w:rsid w:val="004643AA"/>
    <w:rsid w:val="00466E15"/>
    <w:rsid w:val="00470A2D"/>
    <w:rsid w:val="00471387"/>
    <w:rsid w:val="0047260D"/>
    <w:rsid w:val="00472ADD"/>
    <w:rsid w:val="00473E9B"/>
    <w:rsid w:val="00474254"/>
    <w:rsid w:val="00477077"/>
    <w:rsid w:val="00480ADD"/>
    <w:rsid w:val="00483131"/>
    <w:rsid w:val="0048472B"/>
    <w:rsid w:val="0049095A"/>
    <w:rsid w:val="00491DD4"/>
    <w:rsid w:val="00492B2E"/>
    <w:rsid w:val="0049409A"/>
    <w:rsid w:val="00495429"/>
    <w:rsid w:val="00497553"/>
    <w:rsid w:val="004A1320"/>
    <w:rsid w:val="004A303C"/>
    <w:rsid w:val="004A3192"/>
    <w:rsid w:val="004A47F4"/>
    <w:rsid w:val="004A5128"/>
    <w:rsid w:val="004A56BF"/>
    <w:rsid w:val="004A7CA1"/>
    <w:rsid w:val="004B0269"/>
    <w:rsid w:val="004B1F7C"/>
    <w:rsid w:val="004B29E7"/>
    <w:rsid w:val="004B398C"/>
    <w:rsid w:val="004B72AC"/>
    <w:rsid w:val="004C459B"/>
    <w:rsid w:val="004C67CB"/>
    <w:rsid w:val="004C748D"/>
    <w:rsid w:val="004D1A6A"/>
    <w:rsid w:val="004D2183"/>
    <w:rsid w:val="004E403E"/>
    <w:rsid w:val="004E5222"/>
    <w:rsid w:val="004F17E3"/>
    <w:rsid w:val="004F2B66"/>
    <w:rsid w:val="004F4CB8"/>
    <w:rsid w:val="004F6AEB"/>
    <w:rsid w:val="004F716D"/>
    <w:rsid w:val="004F737F"/>
    <w:rsid w:val="00501AEE"/>
    <w:rsid w:val="00504B90"/>
    <w:rsid w:val="00507286"/>
    <w:rsid w:val="0050763E"/>
    <w:rsid w:val="0051198C"/>
    <w:rsid w:val="00511FDF"/>
    <w:rsid w:val="0051520B"/>
    <w:rsid w:val="005157F6"/>
    <w:rsid w:val="00516CBC"/>
    <w:rsid w:val="0052579B"/>
    <w:rsid w:val="00526474"/>
    <w:rsid w:val="00530309"/>
    <w:rsid w:val="0053032C"/>
    <w:rsid w:val="00531519"/>
    <w:rsid w:val="005340AA"/>
    <w:rsid w:val="00534440"/>
    <w:rsid w:val="00537F80"/>
    <w:rsid w:val="0054092B"/>
    <w:rsid w:val="00541F1E"/>
    <w:rsid w:val="00541F5F"/>
    <w:rsid w:val="005426EB"/>
    <w:rsid w:val="00546583"/>
    <w:rsid w:val="0055182F"/>
    <w:rsid w:val="00552232"/>
    <w:rsid w:val="005534E3"/>
    <w:rsid w:val="0055469B"/>
    <w:rsid w:val="00560151"/>
    <w:rsid w:val="00561899"/>
    <w:rsid w:val="00563CCF"/>
    <w:rsid w:val="00564E75"/>
    <w:rsid w:val="00565435"/>
    <w:rsid w:val="005658BA"/>
    <w:rsid w:val="005708FB"/>
    <w:rsid w:val="00572792"/>
    <w:rsid w:val="00572ED3"/>
    <w:rsid w:val="00573A2A"/>
    <w:rsid w:val="00574E93"/>
    <w:rsid w:val="0057653C"/>
    <w:rsid w:val="00580026"/>
    <w:rsid w:val="005821FA"/>
    <w:rsid w:val="00585BEB"/>
    <w:rsid w:val="0059100C"/>
    <w:rsid w:val="005911CA"/>
    <w:rsid w:val="005921D3"/>
    <w:rsid w:val="00592432"/>
    <w:rsid w:val="0059771D"/>
    <w:rsid w:val="005A0650"/>
    <w:rsid w:val="005A0754"/>
    <w:rsid w:val="005A210A"/>
    <w:rsid w:val="005A27AC"/>
    <w:rsid w:val="005B0F31"/>
    <w:rsid w:val="005B1796"/>
    <w:rsid w:val="005B181F"/>
    <w:rsid w:val="005B2D86"/>
    <w:rsid w:val="005B33E5"/>
    <w:rsid w:val="005B3E29"/>
    <w:rsid w:val="005B447F"/>
    <w:rsid w:val="005B7496"/>
    <w:rsid w:val="005C0143"/>
    <w:rsid w:val="005C4B9A"/>
    <w:rsid w:val="005E0955"/>
    <w:rsid w:val="005E4A54"/>
    <w:rsid w:val="005F013C"/>
    <w:rsid w:val="005F16D9"/>
    <w:rsid w:val="005F26A6"/>
    <w:rsid w:val="005F3D02"/>
    <w:rsid w:val="005F5225"/>
    <w:rsid w:val="005F5DE0"/>
    <w:rsid w:val="005F6A71"/>
    <w:rsid w:val="00601355"/>
    <w:rsid w:val="0060145B"/>
    <w:rsid w:val="00603A08"/>
    <w:rsid w:val="00605077"/>
    <w:rsid w:val="00606A51"/>
    <w:rsid w:val="006072A7"/>
    <w:rsid w:val="006116E7"/>
    <w:rsid w:val="00614567"/>
    <w:rsid w:val="006148E2"/>
    <w:rsid w:val="00614F29"/>
    <w:rsid w:val="00617879"/>
    <w:rsid w:val="00622769"/>
    <w:rsid w:val="006327EC"/>
    <w:rsid w:val="00634297"/>
    <w:rsid w:val="006434EA"/>
    <w:rsid w:val="0064560B"/>
    <w:rsid w:val="00647817"/>
    <w:rsid w:val="00656575"/>
    <w:rsid w:val="00656D93"/>
    <w:rsid w:val="00657655"/>
    <w:rsid w:val="00657DAE"/>
    <w:rsid w:val="00660A95"/>
    <w:rsid w:val="006611A6"/>
    <w:rsid w:val="00661CE4"/>
    <w:rsid w:val="006620E9"/>
    <w:rsid w:val="00662E4F"/>
    <w:rsid w:val="00664250"/>
    <w:rsid w:val="00664D9F"/>
    <w:rsid w:val="00664EF6"/>
    <w:rsid w:val="00671DFB"/>
    <w:rsid w:val="00672AB0"/>
    <w:rsid w:val="0067434C"/>
    <w:rsid w:val="00682EB1"/>
    <w:rsid w:val="00684CEB"/>
    <w:rsid w:val="0068673D"/>
    <w:rsid w:val="006911B9"/>
    <w:rsid w:val="0069446F"/>
    <w:rsid w:val="006A37B9"/>
    <w:rsid w:val="006A3C78"/>
    <w:rsid w:val="006A4875"/>
    <w:rsid w:val="006A5204"/>
    <w:rsid w:val="006B05CD"/>
    <w:rsid w:val="006B3F35"/>
    <w:rsid w:val="006B50E0"/>
    <w:rsid w:val="006B7DC6"/>
    <w:rsid w:val="006C10D6"/>
    <w:rsid w:val="006C1556"/>
    <w:rsid w:val="006C253A"/>
    <w:rsid w:val="006C4558"/>
    <w:rsid w:val="006D4482"/>
    <w:rsid w:val="006D7075"/>
    <w:rsid w:val="006E56EC"/>
    <w:rsid w:val="006E6101"/>
    <w:rsid w:val="006E63E2"/>
    <w:rsid w:val="006E667B"/>
    <w:rsid w:val="006E7524"/>
    <w:rsid w:val="006F0D9A"/>
    <w:rsid w:val="006F20C5"/>
    <w:rsid w:val="006F56CF"/>
    <w:rsid w:val="006F7F63"/>
    <w:rsid w:val="00702C78"/>
    <w:rsid w:val="00703ECB"/>
    <w:rsid w:val="007056FA"/>
    <w:rsid w:val="00705796"/>
    <w:rsid w:val="00711AC4"/>
    <w:rsid w:val="00713E55"/>
    <w:rsid w:val="007158C4"/>
    <w:rsid w:val="00722180"/>
    <w:rsid w:val="00722B89"/>
    <w:rsid w:val="00722CB0"/>
    <w:rsid w:val="00724A1C"/>
    <w:rsid w:val="00725739"/>
    <w:rsid w:val="00725CE0"/>
    <w:rsid w:val="00730170"/>
    <w:rsid w:val="007310C8"/>
    <w:rsid w:val="00732ABB"/>
    <w:rsid w:val="0073451B"/>
    <w:rsid w:val="007361CF"/>
    <w:rsid w:val="00737EF9"/>
    <w:rsid w:val="00740ABB"/>
    <w:rsid w:val="00742973"/>
    <w:rsid w:val="007442C6"/>
    <w:rsid w:val="00744FF6"/>
    <w:rsid w:val="007473E0"/>
    <w:rsid w:val="00750019"/>
    <w:rsid w:val="00751AAC"/>
    <w:rsid w:val="007556DE"/>
    <w:rsid w:val="0076300E"/>
    <w:rsid w:val="00763F24"/>
    <w:rsid w:val="00766777"/>
    <w:rsid w:val="007706D2"/>
    <w:rsid w:val="00771586"/>
    <w:rsid w:val="00771F4A"/>
    <w:rsid w:val="007724E6"/>
    <w:rsid w:val="00775878"/>
    <w:rsid w:val="00777F00"/>
    <w:rsid w:val="00790EAA"/>
    <w:rsid w:val="00792759"/>
    <w:rsid w:val="007933EA"/>
    <w:rsid w:val="00793747"/>
    <w:rsid w:val="00795873"/>
    <w:rsid w:val="00796410"/>
    <w:rsid w:val="00797871"/>
    <w:rsid w:val="007A0A10"/>
    <w:rsid w:val="007A224F"/>
    <w:rsid w:val="007A45CC"/>
    <w:rsid w:val="007A6F16"/>
    <w:rsid w:val="007B1E6E"/>
    <w:rsid w:val="007B3DD6"/>
    <w:rsid w:val="007B6F3C"/>
    <w:rsid w:val="007B70C8"/>
    <w:rsid w:val="007B7D42"/>
    <w:rsid w:val="007C1246"/>
    <w:rsid w:val="007C20B6"/>
    <w:rsid w:val="007C23A4"/>
    <w:rsid w:val="007C4191"/>
    <w:rsid w:val="007C422A"/>
    <w:rsid w:val="007C490F"/>
    <w:rsid w:val="007C5F4D"/>
    <w:rsid w:val="007C6028"/>
    <w:rsid w:val="007C70AC"/>
    <w:rsid w:val="007D1367"/>
    <w:rsid w:val="007D6720"/>
    <w:rsid w:val="007D70B7"/>
    <w:rsid w:val="007E05C9"/>
    <w:rsid w:val="007E06FB"/>
    <w:rsid w:val="007E1D42"/>
    <w:rsid w:val="007E290A"/>
    <w:rsid w:val="007E5517"/>
    <w:rsid w:val="007E77A3"/>
    <w:rsid w:val="007F1E47"/>
    <w:rsid w:val="007F7107"/>
    <w:rsid w:val="007F79C3"/>
    <w:rsid w:val="008042A2"/>
    <w:rsid w:val="00806310"/>
    <w:rsid w:val="008076DB"/>
    <w:rsid w:val="00807B47"/>
    <w:rsid w:val="00813EB0"/>
    <w:rsid w:val="00815EDA"/>
    <w:rsid w:val="00816C51"/>
    <w:rsid w:val="00820955"/>
    <w:rsid w:val="00822C7E"/>
    <w:rsid w:val="008252B0"/>
    <w:rsid w:val="00826F79"/>
    <w:rsid w:val="00833D88"/>
    <w:rsid w:val="0083694B"/>
    <w:rsid w:val="008448EE"/>
    <w:rsid w:val="00846BAD"/>
    <w:rsid w:val="00850C31"/>
    <w:rsid w:val="008512B8"/>
    <w:rsid w:val="00851A72"/>
    <w:rsid w:val="00851C7F"/>
    <w:rsid w:val="008557D1"/>
    <w:rsid w:val="00856570"/>
    <w:rsid w:val="00856CA3"/>
    <w:rsid w:val="00857245"/>
    <w:rsid w:val="00865D3E"/>
    <w:rsid w:val="008662D8"/>
    <w:rsid w:val="00867283"/>
    <w:rsid w:val="00870127"/>
    <w:rsid w:val="00871935"/>
    <w:rsid w:val="00871EF3"/>
    <w:rsid w:val="0087616C"/>
    <w:rsid w:val="00880EF5"/>
    <w:rsid w:val="00881765"/>
    <w:rsid w:val="008818A6"/>
    <w:rsid w:val="008852D5"/>
    <w:rsid w:val="00885D2C"/>
    <w:rsid w:val="00892105"/>
    <w:rsid w:val="008924B8"/>
    <w:rsid w:val="00892743"/>
    <w:rsid w:val="00893B77"/>
    <w:rsid w:val="008A3436"/>
    <w:rsid w:val="008A5035"/>
    <w:rsid w:val="008A6585"/>
    <w:rsid w:val="008A6E3B"/>
    <w:rsid w:val="008B6F9D"/>
    <w:rsid w:val="008B7EFE"/>
    <w:rsid w:val="008C1671"/>
    <w:rsid w:val="008C313E"/>
    <w:rsid w:val="008C6E92"/>
    <w:rsid w:val="008D028C"/>
    <w:rsid w:val="008D0B8C"/>
    <w:rsid w:val="008D16AA"/>
    <w:rsid w:val="008D1A3A"/>
    <w:rsid w:val="008D2F7B"/>
    <w:rsid w:val="008D6EAA"/>
    <w:rsid w:val="008E19FD"/>
    <w:rsid w:val="008E2B68"/>
    <w:rsid w:val="008E7F92"/>
    <w:rsid w:val="008F13DF"/>
    <w:rsid w:val="008F1785"/>
    <w:rsid w:val="008F5114"/>
    <w:rsid w:val="008F7144"/>
    <w:rsid w:val="008F7AFA"/>
    <w:rsid w:val="008F7C16"/>
    <w:rsid w:val="00900DDD"/>
    <w:rsid w:val="0090112B"/>
    <w:rsid w:val="00901FD7"/>
    <w:rsid w:val="009038BA"/>
    <w:rsid w:val="009041E1"/>
    <w:rsid w:val="00907F8A"/>
    <w:rsid w:val="0091245D"/>
    <w:rsid w:val="00914733"/>
    <w:rsid w:val="009204F8"/>
    <w:rsid w:val="009208C1"/>
    <w:rsid w:val="00920B75"/>
    <w:rsid w:val="00923806"/>
    <w:rsid w:val="00924BB1"/>
    <w:rsid w:val="0092516D"/>
    <w:rsid w:val="00926086"/>
    <w:rsid w:val="009300DB"/>
    <w:rsid w:val="0093198D"/>
    <w:rsid w:val="00931EAB"/>
    <w:rsid w:val="00932CC7"/>
    <w:rsid w:val="00933FA1"/>
    <w:rsid w:val="00934645"/>
    <w:rsid w:val="00936CD9"/>
    <w:rsid w:val="00937E2A"/>
    <w:rsid w:val="00941B92"/>
    <w:rsid w:val="00945AE7"/>
    <w:rsid w:val="00952682"/>
    <w:rsid w:val="00952CCD"/>
    <w:rsid w:val="00956753"/>
    <w:rsid w:val="009632FE"/>
    <w:rsid w:val="00963913"/>
    <w:rsid w:val="0096432D"/>
    <w:rsid w:val="00967CE1"/>
    <w:rsid w:val="0097383D"/>
    <w:rsid w:val="00974064"/>
    <w:rsid w:val="00975079"/>
    <w:rsid w:val="00983523"/>
    <w:rsid w:val="00984BD9"/>
    <w:rsid w:val="00985A26"/>
    <w:rsid w:val="00990D51"/>
    <w:rsid w:val="00992C21"/>
    <w:rsid w:val="00993828"/>
    <w:rsid w:val="00994D10"/>
    <w:rsid w:val="0099548E"/>
    <w:rsid w:val="009966F4"/>
    <w:rsid w:val="00996C11"/>
    <w:rsid w:val="009A2387"/>
    <w:rsid w:val="009A758D"/>
    <w:rsid w:val="009B017C"/>
    <w:rsid w:val="009B18BE"/>
    <w:rsid w:val="009B2FDF"/>
    <w:rsid w:val="009B315D"/>
    <w:rsid w:val="009B5006"/>
    <w:rsid w:val="009B723A"/>
    <w:rsid w:val="009B7CCE"/>
    <w:rsid w:val="009C36E8"/>
    <w:rsid w:val="009D10E0"/>
    <w:rsid w:val="009D1103"/>
    <w:rsid w:val="009D24C8"/>
    <w:rsid w:val="009D5759"/>
    <w:rsid w:val="009D688F"/>
    <w:rsid w:val="009E012C"/>
    <w:rsid w:val="009E558D"/>
    <w:rsid w:val="009E67E4"/>
    <w:rsid w:val="009F0E67"/>
    <w:rsid w:val="009F70E6"/>
    <w:rsid w:val="00A01C5A"/>
    <w:rsid w:val="00A03714"/>
    <w:rsid w:val="00A04C10"/>
    <w:rsid w:val="00A05A4B"/>
    <w:rsid w:val="00A061BC"/>
    <w:rsid w:val="00A062CF"/>
    <w:rsid w:val="00A072F8"/>
    <w:rsid w:val="00A07315"/>
    <w:rsid w:val="00A10032"/>
    <w:rsid w:val="00A14AA8"/>
    <w:rsid w:val="00A14ABF"/>
    <w:rsid w:val="00A17D23"/>
    <w:rsid w:val="00A200D4"/>
    <w:rsid w:val="00A221B1"/>
    <w:rsid w:val="00A22925"/>
    <w:rsid w:val="00A25D91"/>
    <w:rsid w:val="00A26958"/>
    <w:rsid w:val="00A27911"/>
    <w:rsid w:val="00A3092B"/>
    <w:rsid w:val="00A30FBB"/>
    <w:rsid w:val="00A3587F"/>
    <w:rsid w:val="00A35F88"/>
    <w:rsid w:val="00A36FE7"/>
    <w:rsid w:val="00A37827"/>
    <w:rsid w:val="00A45153"/>
    <w:rsid w:val="00A45758"/>
    <w:rsid w:val="00A459DC"/>
    <w:rsid w:val="00A4775E"/>
    <w:rsid w:val="00A506CB"/>
    <w:rsid w:val="00A579EC"/>
    <w:rsid w:val="00A621EC"/>
    <w:rsid w:val="00A64F11"/>
    <w:rsid w:val="00A66E1E"/>
    <w:rsid w:val="00A66E28"/>
    <w:rsid w:val="00A679F0"/>
    <w:rsid w:val="00A71C28"/>
    <w:rsid w:val="00A7392D"/>
    <w:rsid w:val="00A74E26"/>
    <w:rsid w:val="00A75D59"/>
    <w:rsid w:val="00A80976"/>
    <w:rsid w:val="00A80F49"/>
    <w:rsid w:val="00A811F2"/>
    <w:rsid w:val="00A81AEA"/>
    <w:rsid w:val="00A82AFE"/>
    <w:rsid w:val="00A83369"/>
    <w:rsid w:val="00A83ED4"/>
    <w:rsid w:val="00A866E3"/>
    <w:rsid w:val="00A915FB"/>
    <w:rsid w:val="00A93C9F"/>
    <w:rsid w:val="00A9673B"/>
    <w:rsid w:val="00AA0DDB"/>
    <w:rsid w:val="00AA0FD1"/>
    <w:rsid w:val="00AA4967"/>
    <w:rsid w:val="00AA74C5"/>
    <w:rsid w:val="00AA78D7"/>
    <w:rsid w:val="00AB0DC0"/>
    <w:rsid w:val="00AB23BC"/>
    <w:rsid w:val="00AB38E3"/>
    <w:rsid w:val="00AB5660"/>
    <w:rsid w:val="00AC4405"/>
    <w:rsid w:val="00AC6F15"/>
    <w:rsid w:val="00AD0AE0"/>
    <w:rsid w:val="00AD5A4F"/>
    <w:rsid w:val="00AD634A"/>
    <w:rsid w:val="00AD6F5C"/>
    <w:rsid w:val="00AE1062"/>
    <w:rsid w:val="00AE2208"/>
    <w:rsid w:val="00AE39C5"/>
    <w:rsid w:val="00AE3CE6"/>
    <w:rsid w:val="00AE417B"/>
    <w:rsid w:val="00AE7DA0"/>
    <w:rsid w:val="00AF3209"/>
    <w:rsid w:val="00AF6DD5"/>
    <w:rsid w:val="00AF76B6"/>
    <w:rsid w:val="00AF7A8A"/>
    <w:rsid w:val="00B01815"/>
    <w:rsid w:val="00B04C32"/>
    <w:rsid w:val="00B055B5"/>
    <w:rsid w:val="00B05636"/>
    <w:rsid w:val="00B05C73"/>
    <w:rsid w:val="00B05F7F"/>
    <w:rsid w:val="00B0647A"/>
    <w:rsid w:val="00B06904"/>
    <w:rsid w:val="00B12DF8"/>
    <w:rsid w:val="00B15B55"/>
    <w:rsid w:val="00B15E57"/>
    <w:rsid w:val="00B20C63"/>
    <w:rsid w:val="00B2333C"/>
    <w:rsid w:val="00B24018"/>
    <w:rsid w:val="00B27A3F"/>
    <w:rsid w:val="00B27CCA"/>
    <w:rsid w:val="00B315CD"/>
    <w:rsid w:val="00B31DD9"/>
    <w:rsid w:val="00B34286"/>
    <w:rsid w:val="00B36323"/>
    <w:rsid w:val="00B36898"/>
    <w:rsid w:val="00B464D7"/>
    <w:rsid w:val="00B47C83"/>
    <w:rsid w:val="00B50D57"/>
    <w:rsid w:val="00B55522"/>
    <w:rsid w:val="00B608EB"/>
    <w:rsid w:val="00B61214"/>
    <w:rsid w:val="00B66FF4"/>
    <w:rsid w:val="00B67295"/>
    <w:rsid w:val="00B67458"/>
    <w:rsid w:val="00B67473"/>
    <w:rsid w:val="00B7660A"/>
    <w:rsid w:val="00B76D9E"/>
    <w:rsid w:val="00B77965"/>
    <w:rsid w:val="00B82C7B"/>
    <w:rsid w:val="00B850AB"/>
    <w:rsid w:val="00B87726"/>
    <w:rsid w:val="00B87D4D"/>
    <w:rsid w:val="00B9206E"/>
    <w:rsid w:val="00B952ED"/>
    <w:rsid w:val="00BA0C90"/>
    <w:rsid w:val="00BA4374"/>
    <w:rsid w:val="00BB1DDD"/>
    <w:rsid w:val="00BB35CB"/>
    <w:rsid w:val="00BB74F7"/>
    <w:rsid w:val="00BC124A"/>
    <w:rsid w:val="00BC24C4"/>
    <w:rsid w:val="00BC45EA"/>
    <w:rsid w:val="00BD0080"/>
    <w:rsid w:val="00BD12B8"/>
    <w:rsid w:val="00BD5FEE"/>
    <w:rsid w:val="00BE0143"/>
    <w:rsid w:val="00BE01DA"/>
    <w:rsid w:val="00BE0205"/>
    <w:rsid w:val="00BE31C4"/>
    <w:rsid w:val="00BE755F"/>
    <w:rsid w:val="00BE7F2A"/>
    <w:rsid w:val="00BF08ED"/>
    <w:rsid w:val="00BF3562"/>
    <w:rsid w:val="00BF645D"/>
    <w:rsid w:val="00BF7497"/>
    <w:rsid w:val="00C0102D"/>
    <w:rsid w:val="00C018C3"/>
    <w:rsid w:val="00C01D78"/>
    <w:rsid w:val="00C03B37"/>
    <w:rsid w:val="00C21806"/>
    <w:rsid w:val="00C229A3"/>
    <w:rsid w:val="00C23626"/>
    <w:rsid w:val="00C306A5"/>
    <w:rsid w:val="00C313A3"/>
    <w:rsid w:val="00C319FF"/>
    <w:rsid w:val="00C31E54"/>
    <w:rsid w:val="00C33DF2"/>
    <w:rsid w:val="00C348AC"/>
    <w:rsid w:val="00C375E4"/>
    <w:rsid w:val="00C37CB1"/>
    <w:rsid w:val="00C46002"/>
    <w:rsid w:val="00C460DC"/>
    <w:rsid w:val="00C53066"/>
    <w:rsid w:val="00C55F34"/>
    <w:rsid w:val="00C61D4F"/>
    <w:rsid w:val="00C64553"/>
    <w:rsid w:val="00C65C8C"/>
    <w:rsid w:val="00C6673E"/>
    <w:rsid w:val="00C6690A"/>
    <w:rsid w:val="00C70509"/>
    <w:rsid w:val="00C71DC0"/>
    <w:rsid w:val="00C737FB"/>
    <w:rsid w:val="00C747FF"/>
    <w:rsid w:val="00C8147B"/>
    <w:rsid w:val="00C8591B"/>
    <w:rsid w:val="00C94C98"/>
    <w:rsid w:val="00C95680"/>
    <w:rsid w:val="00C95F2E"/>
    <w:rsid w:val="00C97817"/>
    <w:rsid w:val="00CA0C17"/>
    <w:rsid w:val="00CA1DA0"/>
    <w:rsid w:val="00CA3149"/>
    <w:rsid w:val="00CA7DB7"/>
    <w:rsid w:val="00CB096F"/>
    <w:rsid w:val="00CB4D4B"/>
    <w:rsid w:val="00CC10A7"/>
    <w:rsid w:val="00CC2445"/>
    <w:rsid w:val="00CC322F"/>
    <w:rsid w:val="00CC549A"/>
    <w:rsid w:val="00CC5C57"/>
    <w:rsid w:val="00CC7D27"/>
    <w:rsid w:val="00CD18D5"/>
    <w:rsid w:val="00CD1CCA"/>
    <w:rsid w:val="00CD1F3E"/>
    <w:rsid w:val="00CD305A"/>
    <w:rsid w:val="00CD4AC5"/>
    <w:rsid w:val="00CD5906"/>
    <w:rsid w:val="00CD64FE"/>
    <w:rsid w:val="00CD7550"/>
    <w:rsid w:val="00CE0D5A"/>
    <w:rsid w:val="00CE1445"/>
    <w:rsid w:val="00CE241E"/>
    <w:rsid w:val="00CE2FBE"/>
    <w:rsid w:val="00CE52DA"/>
    <w:rsid w:val="00CE6208"/>
    <w:rsid w:val="00CE6C8C"/>
    <w:rsid w:val="00CF10DF"/>
    <w:rsid w:val="00CF3215"/>
    <w:rsid w:val="00CF4A21"/>
    <w:rsid w:val="00CF50BD"/>
    <w:rsid w:val="00D01E7A"/>
    <w:rsid w:val="00D029A2"/>
    <w:rsid w:val="00D040F6"/>
    <w:rsid w:val="00D04E1C"/>
    <w:rsid w:val="00D139F2"/>
    <w:rsid w:val="00D14694"/>
    <w:rsid w:val="00D15131"/>
    <w:rsid w:val="00D15C93"/>
    <w:rsid w:val="00D24357"/>
    <w:rsid w:val="00D26A29"/>
    <w:rsid w:val="00D27F2E"/>
    <w:rsid w:val="00D322C2"/>
    <w:rsid w:val="00D32738"/>
    <w:rsid w:val="00D338A1"/>
    <w:rsid w:val="00D353C7"/>
    <w:rsid w:val="00D36988"/>
    <w:rsid w:val="00D372F2"/>
    <w:rsid w:val="00D417FF"/>
    <w:rsid w:val="00D41C84"/>
    <w:rsid w:val="00D422AA"/>
    <w:rsid w:val="00D42E34"/>
    <w:rsid w:val="00D43D60"/>
    <w:rsid w:val="00D46215"/>
    <w:rsid w:val="00D47C25"/>
    <w:rsid w:val="00D50EA8"/>
    <w:rsid w:val="00D50FE6"/>
    <w:rsid w:val="00D57CDD"/>
    <w:rsid w:val="00D57CDF"/>
    <w:rsid w:val="00D717DA"/>
    <w:rsid w:val="00D718BD"/>
    <w:rsid w:val="00D72293"/>
    <w:rsid w:val="00D74C25"/>
    <w:rsid w:val="00D76144"/>
    <w:rsid w:val="00D82909"/>
    <w:rsid w:val="00D90A2C"/>
    <w:rsid w:val="00D9213A"/>
    <w:rsid w:val="00D935FC"/>
    <w:rsid w:val="00D9608B"/>
    <w:rsid w:val="00DA0658"/>
    <w:rsid w:val="00DA3CAA"/>
    <w:rsid w:val="00DB1D97"/>
    <w:rsid w:val="00DB4352"/>
    <w:rsid w:val="00DB6053"/>
    <w:rsid w:val="00DC0446"/>
    <w:rsid w:val="00DC0ED8"/>
    <w:rsid w:val="00DC13E8"/>
    <w:rsid w:val="00DC410B"/>
    <w:rsid w:val="00DC4379"/>
    <w:rsid w:val="00DC6AE1"/>
    <w:rsid w:val="00DD698E"/>
    <w:rsid w:val="00DD7EF2"/>
    <w:rsid w:val="00DE21A6"/>
    <w:rsid w:val="00DE2D5B"/>
    <w:rsid w:val="00DE44DB"/>
    <w:rsid w:val="00DE5A3A"/>
    <w:rsid w:val="00DE68BE"/>
    <w:rsid w:val="00DE6A3E"/>
    <w:rsid w:val="00DE6FC2"/>
    <w:rsid w:val="00DE7150"/>
    <w:rsid w:val="00DF071E"/>
    <w:rsid w:val="00DF3008"/>
    <w:rsid w:val="00DF3994"/>
    <w:rsid w:val="00E008D1"/>
    <w:rsid w:val="00E02930"/>
    <w:rsid w:val="00E036B6"/>
    <w:rsid w:val="00E044C2"/>
    <w:rsid w:val="00E050F5"/>
    <w:rsid w:val="00E0611D"/>
    <w:rsid w:val="00E072E2"/>
    <w:rsid w:val="00E137B8"/>
    <w:rsid w:val="00E15745"/>
    <w:rsid w:val="00E166B6"/>
    <w:rsid w:val="00E27099"/>
    <w:rsid w:val="00E273DA"/>
    <w:rsid w:val="00E2777A"/>
    <w:rsid w:val="00E277CB"/>
    <w:rsid w:val="00E308F0"/>
    <w:rsid w:val="00E31BF2"/>
    <w:rsid w:val="00E32FA9"/>
    <w:rsid w:val="00E40C7C"/>
    <w:rsid w:val="00E42237"/>
    <w:rsid w:val="00E424E5"/>
    <w:rsid w:val="00E470F0"/>
    <w:rsid w:val="00E47B1D"/>
    <w:rsid w:val="00E52A90"/>
    <w:rsid w:val="00E5317A"/>
    <w:rsid w:val="00E612F7"/>
    <w:rsid w:val="00E67503"/>
    <w:rsid w:val="00E752FC"/>
    <w:rsid w:val="00E75619"/>
    <w:rsid w:val="00E81A75"/>
    <w:rsid w:val="00E8373B"/>
    <w:rsid w:val="00E8472C"/>
    <w:rsid w:val="00E87E5B"/>
    <w:rsid w:val="00E93DC1"/>
    <w:rsid w:val="00E9779A"/>
    <w:rsid w:val="00E97A85"/>
    <w:rsid w:val="00EA0A4A"/>
    <w:rsid w:val="00EA7371"/>
    <w:rsid w:val="00EA7D96"/>
    <w:rsid w:val="00EB128A"/>
    <w:rsid w:val="00EB31E0"/>
    <w:rsid w:val="00EB518A"/>
    <w:rsid w:val="00EC102F"/>
    <w:rsid w:val="00EC1242"/>
    <w:rsid w:val="00EC1F03"/>
    <w:rsid w:val="00EC64E8"/>
    <w:rsid w:val="00ED1431"/>
    <w:rsid w:val="00ED1450"/>
    <w:rsid w:val="00ED2030"/>
    <w:rsid w:val="00ED6760"/>
    <w:rsid w:val="00ED6A7C"/>
    <w:rsid w:val="00EE08A9"/>
    <w:rsid w:val="00EE0AC9"/>
    <w:rsid w:val="00EE2151"/>
    <w:rsid w:val="00EE38FC"/>
    <w:rsid w:val="00EE7AB1"/>
    <w:rsid w:val="00EF67B0"/>
    <w:rsid w:val="00F06F56"/>
    <w:rsid w:val="00F0735E"/>
    <w:rsid w:val="00F0748C"/>
    <w:rsid w:val="00F0751F"/>
    <w:rsid w:val="00F1186B"/>
    <w:rsid w:val="00F124DF"/>
    <w:rsid w:val="00F1267E"/>
    <w:rsid w:val="00F239BA"/>
    <w:rsid w:val="00F249EF"/>
    <w:rsid w:val="00F24A22"/>
    <w:rsid w:val="00F27040"/>
    <w:rsid w:val="00F27295"/>
    <w:rsid w:val="00F34E7D"/>
    <w:rsid w:val="00F35554"/>
    <w:rsid w:val="00F3688D"/>
    <w:rsid w:val="00F442BB"/>
    <w:rsid w:val="00F52B73"/>
    <w:rsid w:val="00F57ACC"/>
    <w:rsid w:val="00F61E9C"/>
    <w:rsid w:val="00F6326E"/>
    <w:rsid w:val="00F71BD0"/>
    <w:rsid w:val="00F7529C"/>
    <w:rsid w:val="00F75D93"/>
    <w:rsid w:val="00F816A4"/>
    <w:rsid w:val="00F8282F"/>
    <w:rsid w:val="00F849F5"/>
    <w:rsid w:val="00F8584A"/>
    <w:rsid w:val="00F86E9C"/>
    <w:rsid w:val="00F8753E"/>
    <w:rsid w:val="00F90561"/>
    <w:rsid w:val="00F90956"/>
    <w:rsid w:val="00F90ADD"/>
    <w:rsid w:val="00F93535"/>
    <w:rsid w:val="00F959AF"/>
    <w:rsid w:val="00FA1545"/>
    <w:rsid w:val="00FA155E"/>
    <w:rsid w:val="00FA4B4F"/>
    <w:rsid w:val="00FA5485"/>
    <w:rsid w:val="00FA5A46"/>
    <w:rsid w:val="00FB002E"/>
    <w:rsid w:val="00FB01DA"/>
    <w:rsid w:val="00FB1852"/>
    <w:rsid w:val="00FB21E4"/>
    <w:rsid w:val="00FB268B"/>
    <w:rsid w:val="00FB3ADE"/>
    <w:rsid w:val="00FB429A"/>
    <w:rsid w:val="00FB4D2D"/>
    <w:rsid w:val="00FB5B7F"/>
    <w:rsid w:val="00FC02B3"/>
    <w:rsid w:val="00FC0BC3"/>
    <w:rsid w:val="00FC1595"/>
    <w:rsid w:val="00FC43ED"/>
    <w:rsid w:val="00FC7965"/>
    <w:rsid w:val="00FD28FF"/>
    <w:rsid w:val="00FD2C29"/>
    <w:rsid w:val="00FD480E"/>
    <w:rsid w:val="00FD5D82"/>
    <w:rsid w:val="00FD6370"/>
    <w:rsid w:val="00FE0C88"/>
    <w:rsid w:val="00FE1624"/>
    <w:rsid w:val="00FE46CB"/>
    <w:rsid w:val="00FE49BA"/>
    <w:rsid w:val="00FE5184"/>
    <w:rsid w:val="00FF408C"/>
    <w:rsid w:val="00FF647B"/>
    <w:rsid w:val="00FF7FE1"/>
    <w:rsid w:val="023C5573"/>
    <w:rsid w:val="02FF5E45"/>
    <w:rsid w:val="03BF29D9"/>
    <w:rsid w:val="05EF03F3"/>
    <w:rsid w:val="0707271F"/>
    <w:rsid w:val="070965C8"/>
    <w:rsid w:val="076C0995"/>
    <w:rsid w:val="08E606D1"/>
    <w:rsid w:val="09DA6CC4"/>
    <w:rsid w:val="0AC41E4E"/>
    <w:rsid w:val="0D1424ED"/>
    <w:rsid w:val="0DBF1997"/>
    <w:rsid w:val="0E7476E7"/>
    <w:rsid w:val="0E8E678F"/>
    <w:rsid w:val="0E9A221B"/>
    <w:rsid w:val="0F666A1F"/>
    <w:rsid w:val="10822FC8"/>
    <w:rsid w:val="12C8262B"/>
    <w:rsid w:val="14EB1BED"/>
    <w:rsid w:val="17D858B1"/>
    <w:rsid w:val="18D43481"/>
    <w:rsid w:val="198A015E"/>
    <w:rsid w:val="1AA9305D"/>
    <w:rsid w:val="1B6E6DD6"/>
    <w:rsid w:val="1B8144E1"/>
    <w:rsid w:val="1C3B73A4"/>
    <w:rsid w:val="1D8B0DD9"/>
    <w:rsid w:val="1E4C16CF"/>
    <w:rsid w:val="216E0257"/>
    <w:rsid w:val="22A30143"/>
    <w:rsid w:val="23C67966"/>
    <w:rsid w:val="24422247"/>
    <w:rsid w:val="25046AA6"/>
    <w:rsid w:val="252217F3"/>
    <w:rsid w:val="2674607E"/>
    <w:rsid w:val="26E3688E"/>
    <w:rsid w:val="28A30E9D"/>
    <w:rsid w:val="2A297180"/>
    <w:rsid w:val="2B54022C"/>
    <w:rsid w:val="2F3F2FA2"/>
    <w:rsid w:val="306029C1"/>
    <w:rsid w:val="314B26DB"/>
    <w:rsid w:val="317C672F"/>
    <w:rsid w:val="33E66117"/>
    <w:rsid w:val="34FE58B1"/>
    <w:rsid w:val="370C212F"/>
    <w:rsid w:val="38447772"/>
    <w:rsid w:val="384A034B"/>
    <w:rsid w:val="38714D44"/>
    <w:rsid w:val="3A5E74B9"/>
    <w:rsid w:val="3BA04441"/>
    <w:rsid w:val="3C1F4887"/>
    <w:rsid w:val="3C687FDC"/>
    <w:rsid w:val="401F44D2"/>
    <w:rsid w:val="40316936"/>
    <w:rsid w:val="42384886"/>
    <w:rsid w:val="44565FEF"/>
    <w:rsid w:val="45C178C7"/>
    <w:rsid w:val="46717A8D"/>
    <w:rsid w:val="46C55118"/>
    <w:rsid w:val="47A25D5B"/>
    <w:rsid w:val="47A50F64"/>
    <w:rsid w:val="49BF4FB3"/>
    <w:rsid w:val="4B46773A"/>
    <w:rsid w:val="4BB5041C"/>
    <w:rsid w:val="4CC2732C"/>
    <w:rsid w:val="4F3511C8"/>
    <w:rsid w:val="4F7D3946"/>
    <w:rsid w:val="50BF63F5"/>
    <w:rsid w:val="51E31A1C"/>
    <w:rsid w:val="534D3F2D"/>
    <w:rsid w:val="53EF08A4"/>
    <w:rsid w:val="55164621"/>
    <w:rsid w:val="56346661"/>
    <w:rsid w:val="56B10B5F"/>
    <w:rsid w:val="587A1289"/>
    <w:rsid w:val="59EC5A3B"/>
    <w:rsid w:val="5D4843AD"/>
    <w:rsid w:val="5DE10FFA"/>
    <w:rsid w:val="602776E2"/>
    <w:rsid w:val="632B4631"/>
    <w:rsid w:val="637846F9"/>
    <w:rsid w:val="6CFC5A53"/>
    <w:rsid w:val="6E9E14B7"/>
    <w:rsid w:val="70734C41"/>
    <w:rsid w:val="716C2775"/>
    <w:rsid w:val="72952BD1"/>
    <w:rsid w:val="73DA6687"/>
    <w:rsid w:val="73E86D31"/>
    <w:rsid w:val="748812EF"/>
    <w:rsid w:val="7C662EE9"/>
    <w:rsid w:val="7C842AD9"/>
    <w:rsid w:val="7CB749C7"/>
    <w:rsid w:val="7DA97531"/>
    <w:rsid w:val="7E8F2BCB"/>
    <w:rsid w:val="7FCD5C3D"/>
    <w:rsid w:val="7FD27E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仿宋" w:cstheme="minorBidi"/>
      <w:kern w:val="2"/>
      <w:sz w:val="28"/>
      <w:szCs w:val="22"/>
      <w:lang w:val="en-US" w:eastAsia="zh-CN" w:bidi="ar-SA"/>
    </w:rPr>
  </w:style>
  <w:style w:type="paragraph" w:styleId="3">
    <w:name w:val="heading 1"/>
    <w:basedOn w:val="1"/>
    <w:next w:val="1"/>
    <w:link w:val="35"/>
    <w:qFormat/>
    <w:uiPriority w:val="9"/>
    <w:pPr>
      <w:keepNext/>
      <w:keepLines/>
      <w:spacing w:before="240" w:after="240" w:line="578" w:lineRule="auto"/>
      <w:ind w:firstLine="0" w:firstLineChars="0"/>
      <w:jc w:val="center"/>
      <w:outlineLvl w:val="0"/>
    </w:pPr>
    <w:rPr>
      <w:b/>
      <w:bCs/>
      <w:kern w:val="44"/>
      <w:sz w:val="32"/>
      <w:szCs w:val="44"/>
    </w:rPr>
  </w:style>
  <w:style w:type="paragraph" w:styleId="4">
    <w:name w:val="heading 2"/>
    <w:basedOn w:val="1"/>
    <w:next w:val="1"/>
    <w:link w:val="34"/>
    <w:unhideWhenUsed/>
    <w:qFormat/>
    <w:uiPriority w:val="9"/>
    <w:pPr>
      <w:keepNext/>
      <w:keepLines/>
      <w:spacing w:before="120" w:after="120" w:line="415" w:lineRule="auto"/>
      <w:ind w:firstLine="0" w:firstLineChars="0"/>
      <w:outlineLvl w:val="1"/>
    </w:pPr>
    <w:rPr>
      <w:rFonts w:asciiTheme="majorHAnsi" w:hAnsiTheme="majorHAnsi" w:cstheme="majorBidi"/>
      <w:b/>
      <w:bCs/>
      <w:sz w:val="30"/>
      <w:szCs w:val="32"/>
    </w:rPr>
  </w:style>
  <w:style w:type="paragraph" w:styleId="5">
    <w:name w:val="heading 3"/>
    <w:basedOn w:val="1"/>
    <w:next w:val="1"/>
    <w:link w:val="36"/>
    <w:unhideWhenUsed/>
    <w:qFormat/>
    <w:uiPriority w:val="9"/>
    <w:pPr>
      <w:keepNext/>
      <w:keepLines/>
      <w:spacing w:before="260" w:after="260" w:line="416" w:lineRule="auto"/>
      <w:outlineLvl w:val="2"/>
    </w:pPr>
    <w:rPr>
      <w:b/>
      <w:bCs/>
      <w:szCs w:val="32"/>
    </w:rPr>
  </w:style>
  <w:style w:type="character" w:default="1" w:styleId="24">
    <w:name w:val="Default Paragraph Font"/>
    <w:semiHidden/>
    <w:unhideWhenUsed/>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unhideWhenUsed/>
    <w:qFormat/>
    <w:uiPriority w:val="99"/>
    <w:pPr>
      <w:spacing w:after="120" w:afterLines="0" w:afterAutospacing="0"/>
    </w:pPr>
  </w:style>
  <w:style w:type="paragraph" w:styleId="6">
    <w:name w:val="toc 7"/>
    <w:basedOn w:val="1"/>
    <w:next w:val="1"/>
    <w:unhideWhenUsed/>
    <w:qFormat/>
    <w:uiPriority w:val="39"/>
    <w:pPr>
      <w:ind w:left="1680"/>
      <w:jc w:val="left"/>
    </w:pPr>
    <w:rPr>
      <w:rFonts w:asciiTheme="minorHAnsi" w:eastAsiaTheme="minorHAnsi"/>
      <w:sz w:val="18"/>
      <w:szCs w:val="18"/>
    </w:rPr>
  </w:style>
  <w:style w:type="paragraph" w:styleId="7">
    <w:name w:val="annotation text"/>
    <w:basedOn w:val="1"/>
    <w:link w:val="46"/>
    <w:semiHidden/>
    <w:unhideWhenUsed/>
    <w:qFormat/>
    <w:uiPriority w:val="99"/>
    <w:pPr>
      <w:jc w:val="left"/>
    </w:pPr>
  </w:style>
  <w:style w:type="paragraph" w:styleId="8">
    <w:name w:val="toc 5"/>
    <w:basedOn w:val="1"/>
    <w:next w:val="1"/>
    <w:unhideWhenUsed/>
    <w:qFormat/>
    <w:uiPriority w:val="39"/>
    <w:pPr>
      <w:ind w:left="1120"/>
      <w:jc w:val="left"/>
    </w:pPr>
    <w:rPr>
      <w:rFonts w:asciiTheme="minorHAnsi" w:eastAsiaTheme="minorHAnsi"/>
      <w:sz w:val="18"/>
      <w:szCs w:val="18"/>
    </w:rPr>
  </w:style>
  <w:style w:type="paragraph" w:styleId="9">
    <w:name w:val="toc 3"/>
    <w:basedOn w:val="1"/>
    <w:next w:val="1"/>
    <w:unhideWhenUsed/>
    <w:qFormat/>
    <w:uiPriority w:val="39"/>
    <w:pPr>
      <w:ind w:left="560"/>
      <w:jc w:val="left"/>
    </w:pPr>
    <w:rPr>
      <w:rFonts w:asciiTheme="minorHAnsi" w:eastAsiaTheme="minorHAnsi"/>
      <w:i/>
      <w:iCs/>
      <w:sz w:val="20"/>
      <w:szCs w:val="20"/>
    </w:rPr>
  </w:style>
  <w:style w:type="paragraph" w:styleId="10">
    <w:name w:val="toc 8"/>
    <w:basedOn w:val="1"/>
    <w:next w:val="1"/>
    <w:unhideWhenUsed/>
    <w:qFormat/>
    <w:uiPriority w:val="39"/>
    <w:pPr>
      <w:ind w:left="1960"/>
      <w:jc w:val="left"/>
    </w:pPr>
    <w:rPr>
      <w:rFonts w:asciiTheme="minorHAnsi" w:eastAsiaTheme="minorHAnsi"/>
      <w:sz w:val="18"/>
      <w:szCs w:val="18"/>
    </w:rPr>
  </w:style>
  <w:style w:type="paragraph" w:styleId="11">
    <w:name w:val="Date"/>
    <w:basedOn w:val="1"/>
    <w:next w:val="1"/>
    <w:link w:val="40"/>
    <w:semiHidden/>
    <w:unhideWhenUsed/>
    <w:qFormat/>
    <w:uiPriority w:val="99"/>
    <w:pPr>
      <w:ind w:left="100" w:leftChars="2500"/>
    </w:pPr>
  </w:style>
  <w:style w:type="paragraph" w:styleId="12">
    <w:name w:val="Balloon Text"/>
    <w:basedOn w:val="1"/>
    <w:link w:val="31"/>
    <w:semiHidden/>
    <w:unhideWhenUsed/>
    <w:qFormat/>
    <w:uiPriority w:val="99"/>
    <w:rPr>
      <w:rFonts w:ascii="宋体" w:eastAsia="宋体"/>
      <w:sz w:val="18"/>
      <w:szCs w:val="18"/>
    </w:rPr>
  </w:style>
  <w:style w:type="paragraph" w:styleId="13">
    <w:name w:val="footer"/>
    <w:basedOn w:val="1"/>
    <w:link w:val="30"/>
    <w:unhideWhenUsed/>
    <w:qFormat/>
    <w:uiPriority w:val="99"/>
    <w:pPr>
      <w:tabs>
        <w:tab w:val="center" w:pos="4153"/>
        <w:tab w:val="right" w:pos="8306"/>
      </w:tabs>
      <w:snapToGrid w:val="0"/>
      <w:jc w:val="left"/>
    </w:pPr>
    <w:rPr>
      <w:sz w:val="18"/>
      <w:szCs w:val="18"/>
    </w:rPr>
  </w:style>
  <w:style w:type="paragraph" w:styleId="14">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spacing w:before="120" w:after="120"/>
      <w:jc w:val="left"/>
    </w:pPr>
    <w:rPr>
      <w:rFonts w:asciiTheme="minorHAnsi" w:eastAsiaTheme="minorHAnsi"/>
      <w:b/>
      <w:bCs/>
      <w:caps/>
      <w:sz w:val="20"/>
      <w:szCs w:val="20"/>
    </w:rPr>
  </w:style>
  <w:style w:type="paragraph" w:styleId="16">
    <w:name w:val="toc 4"/>
    <w:basedOn w:val="1"/>
    <w:next w:val="1"/>
    <w:unhideWhenUsed/>
    <w:qFormat/>
    <w:uiPriority w:val="39"/>
    <w:pPr>
      <w:ind w:left="840"/>
      <w:jc w:val="left"/>
    </w:pPr>
    <w:rPr>
      <w:rFonts w:asciiTheme="minorHAnsi" w:eastAsiaTheme="minorHAnsi"/>
      <w:sz w:val="18"/>
      <w:szCs w:val="18"/>
    </w:rPr>
  </w:style>
  <w:style w:type="paragraph" w:styleId="17">
    <w:name w:val="Subtitle"/>
    <w:basedOn w:val="1"/>
    <w:next w:val="1"/>
    <w:link w:val="32"/>
    <w:qFormat/>
    <w:uiPriority w:val="0"/>
    <w:pPr>
      <w:jc w:val="left"/>
      <w:outlineLvl w:val="1"/>
    </w:pPr>
    <w:rPr>
      <w:rFonts w:eastAsia="楷体" w:cs="Times New Roman"/>
      <w:b/>
      <w:bCs/>
      <w:kern w:val="28"/>
      <w:sz w:val="32"/>
      <w:szCs w:val="32"/>
    </w:rPr>
  </w:style>
  <w:style w:type="paragraph" w:styleId="18">
    <w:name w:val="toc 6"/>
    <w:basedOn w:val="1"/>
    <w:next w:val="1"/>
    <w:unhideWhenUsed/>
    <w:qFormat/>
    <w:uiPriority w:val="39"/>
    <w:pPr>
      <w:ind w:left="1400"/>
      <w:jc w:val="left"/>
    </w:pPr>
    <w:rPr>
      <w:rFonts w:asciiTheme="minorHAnsi" w:eastAsiaTheme="minorHAnsi"/>
      <w:sz w:val="18"/>
      <w:szCs w:val="18"/>
    </w:rPr>
  </w:style>
  <w:style w:type="paragraph" w:styleId="19">
    <w:name w:val="toc 2"/>
    <w:basedOn w:val="1"/>
    <w:next w:val="1"/>
    <w:unhideWhenUsed/>
    <w:qFormat/>
    <w:uiPriority w:val="39"/>
    <w:pPr>
      <w:ind w:left="280"/>
      <w:jc w:val="left"/>
    </w:pPr>
    <w:rPr>
      <w:rFonts w:asciiTheme="minorHAnsi" w:eastAsiaTheme="minorHAnsi"/>
      <w:smallCaps/>
      <w:sz w:val="20"/>
      <w:szCs w:val="20"/>
    </w:rPr>
  </w:style>
  <w:style w:type="paragraph" w:styleId="20">
    <w:name w:val="toc 9"/>
    <w:basedOn w:val="1"/>
    <w:next w:val="1"/>
    <w:unhideWhenUsed/>
    <w:qFormat/>
    <w:uiPriority w:val="39"/>
    <w:pPr>
      <w:ind w:left="2240"/>
      <w:jc w:val="left"/>
    </w:pPr>
    <w:rPr>
      <w:rFonts w:asciiTheme="minorHAnsi" w:eastAsiaTheme="minorHAnsi"/>
      <w:sz w:val="18"/>
      <w:szCs w:val="18"/>
    </w:rPr>
  </w:style>
  <w:style w:type="paragraph" w:styleId="21">
    <w:name w:val="annotation subject"/>
    <w:basedOn w:val="7"/>
    <w:next w:val="7"/>
    <w:link w:val="47"/>
    <w:semiHidden/>
    <w:unhideWhenUsed/>
    <w:qFormat/>
    <w:uiPriority w:val="99"/>
    <w:rPr>
      <w:b/>
      <w:bCs/>
    </w:rPr>
  </w:style>
  <w:style w:type="table" w:styleId="23">
    <w:name w:val="Table Grid"/>
    <w:basedOn w:val="22"/>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uiPriority w:val="0"/>
    <w:rPr>
      <w:b/>
    </w:rPr>
  </w:style>
  <w:style w:type="character" w:styleId="26">
    <w:name w:val="FollowedHyperlink"/>
    <w:basedOn w:val="24"/>
    <w:semiHidden/>
    <w:unhideWhenUsed/>
    <w:qFormat/>
    <w:uiPriority w:val="99"/>
    <w:rPr>
      <w:color w:val="954F72" w:themeColor="followedHyperlink"/>
      <w:u w:val="single"/>
      <w14:textFill>
        <w14:solidFill>
          <w14:schemeClr w14:val="folHlink"/>
        </w14:solidFill>
      </w14:textFill>
    </w:rPr>
  </w:style>
  <w:style w:type="character" w:styleId="27">
    <w:name w:val="Hyperlink"/>
    <w:basedOn w:val="24"/>
    <w:unhideWhenUsed/>
    <w:qFormat/>
    <w:uiPriority w:val="99"/>
    <w:rPr>
      <w:color w:val="0563C1" w:themeColor="hyperlink"/>
      <w:u w:val="single"/>
      <w14:textFill>
        <w14:solidFill>
          <w14:schemeClr w14:val="hlink"/>
        </w14:solidFill>
      </w14:textFill>
    </w:rPr>
  </w:style>
  <w:style w:type="character" w:styleId="28">
    <w:name w:val="annotation reference"/>
    <w:basedOn w:val="24"/>
    <w:semiHidden/>
    <w:unhideWhenUsed/>
    <w:qFormat/>
    <w:uiPriority w:val="99"/>
    <w:rPr>
      <w:sz w:val="21"/>
      <w:szCs w:val="21"/>
    </w:rPr>
  </w:style>
  <w:style w:type="character" w:customStyle="1" w:styleId="29">
    <w:name w:val="页眉 字符"/>
    <w:basedOn w:val="24"/>
    <w:link w:val="14"/>
    <w:qFormat/>
    <w:uiPriority w:val="99"/>
    <w:rPr>
      <w:sz w:val="18"/>
      <w:szCs w:val="18"/>
    </w:rPr>
  </w:style>
  <w:style w:type="character" w:customStyle="1" w:styleId="30">
    <w:name w:val="页脚 字符"/>
    <w:basedOn w:val="24"/>
    <w:link w:val="13"/>
    <w:qFormat/>
    <w:uiPriority w:val="99"/>
    <w:rPr>
      <w:sz w:val="18"/>
      <w:szCs w:val="18"/>
    </w:rPr>
  </w:style>
  <w:style w:type="character" w:customStyle="1" w:styleId="31">
    <w:name w:val="批注框文本 字符"/>
    <w:basedOn w:val="24"/>
    <w:link w:val="12"/>
    <w:semiHidden/>
    <w:qFormat/>
    <w:uiPriority w:val="99"/>
    <w:rPr>
      <w:rFonts w:ascii="宋体" w:eastAsia="宋体"/>
      <w:sz w:val="18"/>
      <w:szCs w:val="18"/>
    </w:rPr>
  </w:style>
  <w:style w:type="character" w:customStyle="1" w:styleId="32">
    <w:name w:val="副标题 字符1"/>
    <w:link w:val="17"/>
    <w:qFormat/>
    <w:uiPriority w:val="0"/>
    <w:rPr>
      <w:rFonts w:eastAsia="楷体" w:cs="Times New Roman"/>
      <w:b/>
      <w:bCs/>
      <w:kern w:val="28"/>
      <w:sz w:val="32"/>
      <w:szCs w:val="32"/>
    </w:rPr>
  </w:style>
  <w:style w:type="character" w:customStyle="1" w:styleId="33">
    <w:name w:val="副标题 字符"/>
    <w:basedOn w:val="24"/>
    <w:qFormat/>
    <w:uiPriority w:val="11"/>
    <w:rPr>
      <w:b/>
      <w:bCs/>
      <w:kern w:val="28"/>
      <w:sz w:val="32"/>
      <w:szCs w:val="32"/>
    </w:rPr>
  </w:style>
  <w:style w:type="character" w:customStyle="1" w:styleId="34">
    <w:name w:val="标题 2 字符"/>
    <w:basedOn w:val="24"/>
    <w:link w:val="4"/>
    <w:qFormat/>
    <w:uiPriority w:val="9"/>
    <w:rPr>
      <w:rFonts w:eastAsia="仿宋" w:asciiTheme="majorHAnsi" w:hAnsiTheme="majorHAnsi" w:cstheme="majorBidi"/>
      <w:b/>
      <w:bCs/>
      <w:sz w:val="30"/>
      <w:szCs w:val="32"/>
    </w:rPr>
  </w:style>
  <w:style w:type="character" w:customStyle="1" w:styleId="35">
    <w:name w:val="标题 1 字符"/>
    <w:basedOn w:val="24"/>
    <w:link w:val="3"/>
    <w:uiPriority w:val="9"/>
    <w:rPr>
      <w:rFonts w:eastAsia="仿宋"/>
      <w:b/>
      <w:bCs/>
      <w:kern w:val="44"/>
      <w:sz w:val="32"/>
      <w:szCs w:val="44"/>
    </w:rPr>
  </w:style>
  <w:style w:type="character" w:customStyle="1" w:styleId="36">
    <w:name w:val="标题 3 字符"/>
    <w:basedOn w:val="24"/>
    <w:link w:val="5"/>
    <w:qFormat/>
    <w:uiPriority w:val="9"/>
    <w:rPr>
      <w:rFonts w:ascii="Times New Roman" w:hAnsi="Times New Roman" w:eastAsia="仿宋"/>
      <w:b/>
      <w:bCs/>
      <w:sz w:val="28"/>
      <w:szCs w:val="32"/>
    </w:rPr>
  </w:style>
  <w:style w:type="paragraph" w:customStyle="1" w:styleId="37">
    <w:name w:val="msonormal msonormal"/>
    <w:basedOn w:val="1"/>
    <w:qFormat/>
    <w:uiPriority w:val="0"/>
    <w:pPr>
      <w:widowControl/>
      <w:spacing w:before="100" w:beforeAutospacing="1" w:after="100" w:afterAutospacing="1" w:line="520" w:lineRule="exact"/>
      <w:ind w:firstLine="0" w:firstLineChars="0"/>
      <w:jc w:val="left"/>
    </w:pPr>
    <w:rPr>
      <w:rFonts w:ascii="宋体" w:hAnsi="宋体" w:cs="宋体"/>
      <w:kern w:val="0"/>
      <w:sz w:val="24"/>
      <w:szCs w:val="32"/>
    </w:rPr>
  </w:style>
  <w:style w:type="paragraph" w:customStyle="1" w:styleId="38">
    <w:name w:val="1"/>
    <w:basedOn w:val="1"/>
    <w:next w:val="1"/>
    <w:qFormat/>
    <w:uiPriority w:val="0"/>
    <w:pPr>
      <w:tabs>
        <w:tab w:val="left" w:pos="1680"/>
        <w:tab w:val="right" w:leader="dot" w:pos="9060"/>
      </w:tabs>
      <w:spacing w:line="400" w:lineRule="exact"/>
      <w:ind w:left="420" w:leftChars="200" w:firstLine="0" w:firstLineChars="0"/>
    </w:pPr>
    <w:rPr>
      <w:rFonts w:eastAsia="宋体" w:cs="Times New Roman"/>
      <w:szCs w:val="24"/>
    </w:rPr>
  </w:style>
  <w:style w:type="paragraph" w:customStyle="1" w:styleId="39">
    <w:name w:val="Default"/>
    <w:qFormat/>
    <w:uiPriority w:val="0"/>
    <w:pPr>
      <w:widowControl w:val="0"/>
      <w:autoSpaceDE w:val="0"/>
      <w:autoSpaceDN w:val="0"/>
      <w:adjustRightInd w:val="0"/>
    </w:pPr>
    <w:rPr>
      <w:rFonts w:hint="eastAsia" w:ascii="仿宋_GB2312" w:hAnsi="仿宋_GB2312" w:eastAsia="仿宋_GB2312" w:cs="Times New Roman"/>
      <w:color w:val="000000"/>
      <w:sz w:val="24"/>
      <w:lang w:val="en-US" w:eastAsia="zh-CN" w:bidi="ar-SA"/>
    </w:rPr>
  </w:style>
  <w:style w:type="character" w:customStyle="1" w:styleId="40">
    <w:name w:val="日期 字符"/>
    <w:basedOn w:val="24"/>
    <w:link w:val="11"/>
    <w:semiHidden/>
    <w:qFormat/>
    <w:uiPriority w:val="99"/>
    <w:rPr>
      <w:rFonts w:ascii="Times New Roman" w:hAnsi="Times New Roman" w:eastAsia="仿宋"/>
      <w:sz w:val="28"/>
    </w:rPr>
  </w:style>
  <w:style w:type="paragraph" w:styleId="41">
    <w:name w:val="List Paragraph"/>
    <w:basedOn w:val="1"/>
    <w:qFormat/>
    <w:uiPriority w:val="99"/>
    <w:pPr>
      <w:spacing w:line="240" w:lineRule="auto"/>
      <w:ind w:firstLine="420"/>
    </w:pPr>
    <w:rPr>
      <w:rFonts w:asciiTheme="minorHAnsi" w:hAnsiTheme="minorHAnsi" w:eastAsiaTheme="minorEastAsia"/>
      <w:sz w:val="21"/>
      <w:szCs w:val="24"/>
    </w:rPr>
  </w:style>
  <w:style w:type="character" w:customStyle="1" w:styleId="42">
    <w:name w:val="未处理的提及1"/>
    <w:basedOn w:val="24"/>
    <w:semiHidden/>
    <w:unhideWhenUsed/>
    <w:qFormat/>
    <w:uiPriority w:val="99"/>
    <w:rPr>
      <w:color w:val="605E5C"/>
      <w:shd w:val="clear" w:color="auto" w:fill="E1DFDD"/>
    </w:rPr>
  </w:style>
  <w:style w:type="paragraph" w:customStyle="1" w:styleId="43">
    <w:name w:val="TOC 标题1"/>
    <w:basedOn w:val="3"/>
    <w:next w:val="1"/>
    <w:unhideWhenUsed/>
    <w:qFormat/>
    <w:uiPriority w:val="39"/>
    <w:pPr>
      <w:widowControl/>
      <w:spacing w:after="0" w:line="259" w:lineRule="auto"/>
      <w:jc w:val="left"/>
      <w:outlineLvl w:val="9"/>
    </w:pPr>
    <w:rPr>
      <w:rFonts w:asciiTheme="majorHAnsi" w:hAnsiTheme="majorHAnsi" w:eastAsiaTheme="majorEastAsia" w:cstheme="majorBidi"/>
      <w:b w:val="0"/>
      <w:bCs w:val="0"/>
      <w:color w:val="2F5597" w:themeColor="accent1" w:themeShade="BF"/>
      <w:kern w:val="0"/>
      <w:szCs w:val="32"/>
    </w:rPr>
  </w:style>
  <w:style w:type="paragraph" w:styleId="44">
    <w:name w:val="No Spacing"/>
    <w:link w:val="45"/>
    <w:qFormat/>
    <w:uiPriority w:val="1"/>
    <w:rPr>
      <w:rFonts w:asciiTheme="minorHAnsi" w:hAnsiTheme="minorHAnsi" w:eastAsiaTheme="minorEastAsia" w:cstheme="minorBidi"/>
      <w:sz w:val="22"/>
      <w:szCs w:val="22"/>
      <w:lang w:val="en-US" w:eastAsia="zh-CN" w:bidi="ar-SA"/>
    </w:rPr>
  </w:style>
  <w:style w:type="character" w:customStyle="1" w:styleId="45">
    <w:name w:val="无间隔 字符"/>
    <w:basedOn w:val="24"/>
    <w:link w:val="44"/>
    <w:qFormat/>
    <w:uiPriority w:val="1"/>
    <w:rPr>
      <w:kern w:val="0"/>
      <w:sz w:val="22"/>
    </w:rPr>
  </w:style>
  <w:style w:type="character" w:customStyle="1" w:styleId="46">
    <w:name w:val="批注文字 字符"/>
    <w:basedOn w:val="24"/>
    <w:link w:val="7"/>
    <w:semiHidden/>
    <w:qFormat/>
    <w:uiPriority w:val="99"/>
    <w:rPr>
      <w:rFonts w:ascii="Times New Roman" w:hAnsi="Times New Roman" w:eastAsia="仿宋"/>
      <w:sz w:val="28"/>
    </w:rPr>
  </w:style>
  <w:style w:type="character" w:customStyle="1" w:styleId="47">
    <w:name w:val="批注主题 字符"/>
    <w:basedOn w:val="46"/>
    <w:link w:val="21"/>
    <w:semiHidden/>
    <w:qFormat/>
    <w:uiPriority w:val="99"/>
    <w:rPr>
      <w:rFonts w:ascii="Times New Roman" w:hAnsi="Times New Roman" w:eastAsia="仿宋"/>
      <w:b/>
      <w:bCs/>
      <w:sz w:val="28"/>
    </w:rPr>
  </w:style>
  <w:style w:type="character" w:customStyle="1" w:styleId="48">
    <w:name w:val="未处理的提及2"/>
    <w:basedOn w:val="24"/>
    <w:semiHidden/>
    <w:unhideWhenUsed/>
    <w:qFormat/>
    <w:uiPriority w:val="99"/>
    <w:rPr>
      <w:color w:val="605E5C"/>
      <w:shd w:val="clear" w:color="auto" w:fill="E1DFDD"/>
    </w:rPr>
  </w:style>
  <w:style w:type="paragraph" w:customStyle="1" w:styleId="49">
    <w:name w:val="修订1"/>
    <w:hidden/>
    <w:semiHidden/>
    <w:qFormat/>
    <w:uiPriority w:val="99"/>
    <w:rPr>
      <w:rFonts w:ascii="Times New Roman" w:hAnsi="Times New Roman" w:eastAsia="仿宋" w:cstheme="minorBidi"/>
      <w:kern w:val="2"/>
      <w:sz w:val="28"/>
      <w:szCs w:val="22"/>
      <w:lang w:val="en-US" w:eastAsia="zh-CN" w:bidi="ar-SA"/>
    </w:rPr>
  </w:style>
  <w:style w:type="paragraph" w:customStyle="1" w:styleId="50">
    <w:name w:val="Revision"/>
    <w:hidden/>
    <w:semiHidden/>
    <w:uiPriority w:val="99"/>
    <w:rPr>
      <w:rFonts w:ascii="Times New Roman" w:hAnsi="Times New Roman" w:eastAsia="仿宋" w:cstheme="minorBidi"/>
      <w:kern w:val="2"/>
      <w:sz w:val="28"/>
      <w:szCs w:val="22"/>
      <w:lang w:val="en-US" w:eastAsia="zh-CN" w:bidi="ar-SA"/>
    </w:rPr>
  </w:style>
  <w:style w:type="character" w:customStyle="1" w:styleId="51">
    <w:name w:val="Unresolved Mention"/>
    <w:basedOn w:val="24"/>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E2D69F-86DE-4B40-ABD0-A9598EC91190}">
  <ds:schemaRefs/>
</ds:datastoreItem>
</file>

<file path=docProps/app.xml><?xml version="1.0" encoding="utf-8"?>
<Properties xmlns="http://schemas.openxmlformats.org/officeDocument/2006/extended-properties" xmlns:vt="http://schemas.openxmlformats.org/officeDocument/2006/docPropsVTypes">
  <Template>Normal</Template>
  <Pages>99</Pages>
  <Words>53127</Words>
  <Characters>54161</Characters>
  <Lines>94</Lines>
  <Paragraphs>128</Paragraphs>
  <TotalTime>14</TotalTime>
  <ScaleCrop>false</ScaleCrop>
  <LinksUpToDate>false</LinksUpToDate>
  <CharactersWithSpaces>54622</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2022-06-14T08:15:00Z</dcterms:created>
  <dc:creator>k</dc:creator>
  <cp:lastModifiedBy>yeyucong</cp:lastModifiedBy>
  <cp:lastPrinted>2022-06-27T10:08:00Z</cp:lastPrinted>
  <dcterms:modified xsi:type="dcterms:W3CDTF">2022-06-29T07:11:32Z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291481242_cloud</vt:lpwstr>
  </property>
  <property fmtid="{D5CDD505-2E9C-101B-9397-08002B2CF9AE}" pid="3" name="KSOProductBuildVer">
    <vt:lpwstr>2052-11.1.0.11830</vt:lpwstr>
  </property>
  <property fmtid="{D5CDD505-2E9C-101B-9397-08002B2CF9AE}" pid="4" name="ICV">
    <vt:lpwstr>AEA023E64E9F446D9D47B0B2DE5D8561</vt:lpwstr>
  </property>
</Properties>
</file>