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1701" w:tblpY="2793"/>
        <w:tblOverlap w:val="never"/>
        <w:tblW w:w="14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085"/>
        <w:gridCol w:w="1478"/>
        <w:gridCol w:w="2806"/>
        <w:gridCol w:w="1372"/>
        <w:gridCol w:w="1221"/>
        <w:gridCol w:w="2016"/>
        <w:gridCol w:w="2073"/>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15" w:type="dxa"/>
            <w:noWrap w:val="0"/>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序号</w:t>
            </w:r>
          </w:p>
        </w:tc>
        <w:tc>
          <w:tcPr>
            <w:tcW w:w="1085"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违法行为</w:t>
            </w:r>
          </w:p>
        </w:tc>
        <w:tc>
          <w:tcPr>
            <w:tcW w:w="1478"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违反条款</w:t>
            </w:r>
          </w:p>
        </w:tc>
        <w:tc>
          <w:tcPr>
            <w:tcW w:w="280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处罚依据</w:t>
            </w:r>
          </w:p>
        </w:tc>
        <w:tc>
          <w:tcPr>
            <w:tcW w:w="1372"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处罚种类</w:t>
            </w:r>
          </w:p>
        </w:tc>
        <w:tc>
          <w:tcPr>
            <w:tcW w:w="1221"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裁量档次</w:t>
            </w:r>
          </w:p>
        </w:tc>
        <w:tc>
          <w:tcPr>
            <w:tcW w:w="201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违法情节和</w:t>
            </w:r>
            <w:r>
              <w:rPr>
                <w:rFonts w:hint="eastAsia" w:ascii="宋体" w:hAnsi="宋体" w:cs="宋体"/>
                <w:b/>
                <w:color w:val="000000"/>
                <w:kern w:val="0"/>
                <w:szCs w:val="21"/>
              </w:rPr>
              <w:t>后果</w:t>
            </w:r>
          </w:p>
        </w:tc>
        <w:tc>
          <w:tcPr>
            <w:tcW w:w="2073"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处罚自由裁量基准</w:t>
            </w:r>
          </w:p>
        </w:tc>
        <w:tc>
          <w:tcPr>
            <w:tcW w:w="114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其他措施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815" w:type="dxa"/>
            <w:vMerge w:val="restart"/>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w:t>
            </w:r>
          </w:p>
        </w:tc>
        <w:tc>
          <w:tcPr>
            <w:tcW w:w="1085" w:type="dxa"/>
            <w:vMerge w:val="restart"/>
            <w:noWrap w:val="0"/>
            <w:vAlign w:val="center"/>
          </w:tcPr>
          <w:p>
            <w:pPr>
              <w:pStyle w:val="4"/>
              <w:jc w:val="both"/>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rPr>
              <w:t>冒领抚恤金、优待金、补助金的;虚报病情骗取医药费的;出具假证明，伪造证件、印章骗取抚恤金、优待金、补助金的。</w:t>
            </w:r>
          </w:p>
          <w:p>
            <w:pPr>
              <w:rPr>
                <w:rFonts w:hint="eastAsia" w:ascii="宋体" w:hAnsi="宋体" w:cs="宋体"/>
                <w:color w:val="000000"/>
                <w:szCs w:val="21"/>
              </w:rPr>
            </w:pPr>
          </w:p>
        </w:tc>
        <w:tc>
          <w:tcPr>
            <w:tcW w:w="1478" w:type="dxa"/>
            <w:vMerge w:val="restart"/>
            <w:noWrap w:val="0"/>
            <w:vAlign w:val="center"/>
          </w:tcPr>
          <w:p>
            <w:pPr>
              <w:pStyle w:val="4"/>
              <w:jc w:val="both"/>
              <w:rPr>
                <w:rFonts w:hint="eastAsia" w:hAnsi="宋体"/>
                <w:bCs/>
                <w:sz w:val="21"/>
                <w:szCs w:val="21"/>
              </w:rPr>
            </w:pPr>
            <w:r>
              <w:rPr>
                <w:rFonts w:hint="eastAsia" w:hAnsi="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军人抚恤优待条例</w:t>
            </w:r>
            <w:r>
              <w:rPr>
                <w:rFonts w:hint="eastAsia" w:hAnsi="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000000"/>
                <w:spacing w:val="0"/>
                <w:sz w:val="22"/>
                <w:szCs w:val="22"/>
              </w:rPr>
              <w:t>第四十八条</w:t>
            </w:r>
          </w:p>
        </w:tc>
        <w:tc>
          <w:tcPr>
            <w:tcW w:w="2806" w:type="dxa"/>
            <w:vMerge w:val="restart"/>
            <w:noWrap w:val="0"/>
            <w:vAlign w:val="center"/>
          </w:tcPr>
          <w:p>
            <w:pPr>
              <w:pStyle w:val="4"/>
              <w:jc w:val="both"/>
              <w:rPr>
                <w:rFonts w:hint="default" w:ascii="宋体" w:hAnsi="宋体" w:eastAsia="宋体" w:cs="宋体"/>
                <w:color w:val="000000"/>
                <w:szCs w:val="21"/>
                <w:lang w:val="en-US" w:eastAsia="zh-CN"/>
              </w:rPr>
            </w:pPr>
            <w:r>
              <w:rPr>
                <w:rFonts w:hint="eastAsia" w:ascii="宋体" w:hAnsi="宋体" w:eastAsia="宋体" w:cs="宋体"/>
                <w:i w:val="0"/>
                <w:iCs w:val="0"/>
                <w:caps w:val="0"/>
                <w:color w:val="000000"/>
                <w:spacing w:val="0"/>
                <w:sz w:val="22"/>
                <w:szCs w:val="22"/>
              </w:rPr>
              <w:t>　</w:t>
            </w:r>
            <w:r>
              <w:rPr>
                <w:rFonts w:hint="eastAsia" w:hAnsi="宋体" w:cs="宋体"/>
                <w:i w:val="0"/>
                <w:iCs w:val="0"/>
                <w:caps w:val="0"/>
                <w:color w:val="000000"/>
                <w:spacing w:val="0"/>
                <w:sz w:val="22"/>
                <w:szCs w:val="22"/>
                <w:lang w:val="en-US" w:eastAsia="zh-CN"/>
              </w:rPr>
              <w:t>四十八条：</w:t>
            </w:r>
            <w:r>
              <w:rPr>
                <w:rFonts w:hint="eastAsia" w:ascii="宋体" w:hAnsi="宋体" w:eastAsia="宋体" w:cs="宋体"/>
                <w:i w:val="0"/>
                <w:iCs w:val="0"/>
                <w:caps w:val="0"/>
                <w:color w:val="000000"/>
                <w:spacing w:val="0"/>
                <w:sz w:val="22"/>
                <w:szCs w:val="22"/>
              </w:rPr>
              <w:t>负有军人优待义务的单位不履行优待义务的，由县级人民政府退役军人事务部门责令限期履行义务;逾期仍未履行的，处以2000元以上1万元以下罚款。对直接负责的主管人员和其他直接责任人员依法给予行政处分、纪律处分。因不履行优待义务使抚恤优待对象受到损失的，应当依法承担赔偿责任。</w:t>
            </w:r>
            <w:bookmarkStart w:id="0" w:name="_GoBack"/>
            <w:bookmarkEnd w:id="0"/>
          </w:p>
        </w:tc>
        <w:tc>
          <w:tcPr>
            <w:tcW w:w="1372" w:type="dxa"/>
            <w:vMerge w:val="restart"/>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行政处罚</w:t>
            </w:r>
          </w:p>
        </w:tc>
        <w:tc>
          <w:tcPr>
            <w:tcW w:w="1221" w:type="dxa"/>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从轻</w:t>
            </w:r>
          </w:p>
        </w:tc>
        <w:tc>
          <w:tcPr>
            <w:tcW w:w="2016" w:type="dxa"/>
            <w:noWrap w:val="0"/>
            <w:vAlign w:val="center"/>
          </w:tcPr>
          <w:p>
            <w:pPr>
              <w:rPr>
                <w:rFonts w:hint="default" w:ascii="宋体" w:hAnsi="宋体" w:cs="宋体"/>
                <w:color w:val="000000"/>
                <w:szCs w:val="21"/>
                <w:lang w:val="en-US" w:eastAsia="zh-CN"/>
              </w:rPr>
            </w:pPr>
            <w:r>
              <w:rPr>
                <w:rFonts w:hint="default" w:ascii="宋体" w:hAnsi="宋体" w:cs="宋体"/>
                <w:color w:val="000000"/>
                <w:szCs w:val="21"/>
                <w:lang w:val="en-US" w:eastAsia="zh-CN"/>
              </w:rPr>
              <w:t>接到当地县级人民政府民政部门责令履行优待义务的通知后，逾期</w:t>
            </w:r>
            <w:r>
              <w:rPr>
                <w:rFonts w:hint="eastAsia" w:ascii="宋体" w:hAnsi="宋体" w:cs="宋体"/>
                <w:color w:val="000000"/>
                <w:szCs w:val="21"/>
                <w:lang w:val="en-US" w:eastAsia="zh-CN"/>
              </w:rPr>
              <w:t>10</w:t>
            </w:r>
            <w:r>
              <w:rPr>
                <w:rFonts w:hint="default" w:ascii="宋体" w:hAnsi="宋体" w:cs="宋体"/>
                <w:color w:val="000000"/>
                <w:szCs w:val="21"/>
                <w:lang w:val="en-US" w:eastAsia="zh-CN"/>
              </w:rPr>
              <w:t>日未履行的</w:t>
            </w:r>
            <w:r>
              <w:rPr>
                <w:rFonts w:hint="eastAsia" w:ascii="宋体" w:hAnsi="宋体" w:cs="宋体"/>
                <w:color w:val="000000"/>
                <w:szCs w:val="21"/>
                <w:lang w:val="en-US" w:eastAsia="zh-CN"/>
              </w:rPr>
              <w:t>。</w:t>
            </w:r>
          </w:p>
        </w:tc>
        <w:tc>
          <w:tcPr>
            <w:tcW w:w="2073" w:type="dxa"/>
            <w:noWrap w:val="0"/>
            <w:vAlign w:val="center"/>
          </w:tcPr>
          <w:p>
            <w:pPr>
              <w:widowControl/>
              <w:rPr>
                <w:rFonts w:hint="default" w:ascii="宋体" w:hAnsi="宋体" w:eastAsia="宋体" w:cs="宋体"/>
                <w:color w:val="000000"/>
                <w:szCs w:val="21"/>
                <w:lang w:val="en-US" w:eastAsia="zh-CN"/>
              </w:rPr>
            </w:pPr>
            <w:r>
              <w:rPr>
                <w:rFonts w:hint="default" w:ascii="宋体" w:hAnsi="宋体" w:cs="宋体"/>
                <w:color w:val="000000"/>
                <w:szCs w:val="21"/>
                <w:lang w:val="en-US" w:eastAsia="zh-CN"/>
              </w:rPr>
              <w:t>处以2000以上5000元以下的罚款</w:t>
            </w:r>
          </w:p>
        </w:tc>
        <w:tc>
          <w:tcPr>
            <w:tcW w:w="1142" w:type="dxa"/>
            <w:vMerge w:val="restart"/>
            <w:noWrap w:val="0"/>
            <w:vAlign w:val="center"/>
          </w:tcPr>
          <w:p>
            <w:pPr>
              <w:widowControl/>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085" w:type="dxa"/>
            <w:vMerge w:val="continue"/>
            <w:noWrap w:val="0"/>
            <w:vAlign w:val="center"/>
          </w:tcPr>
          <w:p>
            <w:pPr>
              <w:rPr>
                <w:rFonts w:hint="eastAsia" w:ascii="宋体" w:hAnsi="宋体" w:cs="宋体"/>
                <w:color w:val="000000"/>
                <w:szCs w:val="21"/>
              </w:rPr>
            </w:pPr>
          </w:p>
        </w:tc>
        <w:tc>
          <w:tcPr>
            <w:tcW w:w="1478" w:type="dxa"/>
            <w:vMerge w:val="continue"/>
            <w:noWrap w:val="0"/>
            <w:vAlign w:val="center"/>
          </w:tcPr>
          <w:p>
            <w:pPr>
              <w:pStyle w:val="4"/>
              <w:jc w:val="both"/>
              <w:rPr>
                <w:rStyle w:val="7"/>
                <w:rFonts w:hint="eastAsia" w:hAnsi="宋体"/>
                <w:b w:val="0"/>
                <w:sz w:val="21"/>
                <w:szCs w:val="21"/>
              </w:rPr>
            </w:pPr>
          </w:p>
        </w:tc>
        <w:tc>
          <w:tcPr>
            <w:tcW w:w="2806" w:type="dxa"/>
            <w:vMerge w:val="continue"/>
            <w:noWrap w:val="0"/>
            <w:vAlign w:val="center"/>
          </w:tcPr>
          <w:p>
            <w:pPr>
              <w:rPr>
                <w:rStyle w:val="7"/>
                <w:rFonts w:hint="eastAsia" w:ascii="宋体" w:hAnsi="宋体" w:cs="宋体"/>
                <w:b w:val="0"/>
                <w:color w:val="000000"/>
                <w:szCs w:val="21"/>
              </w:rPr>
            </w:pPr>
          </w:p>
        </w:tc>
        <w:tc>
          <w:tcPr>
            <w:tcW w:w="1372"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一般</w:t>
            </w:r>
          </w:p>
        </w:tc>
        <w:tc>
          <w:tcPr>
            <w:tcW w:w="2016" w:type="dxa"/>
            <w:noWrap w:val="0"/>
            <w:vAlign w:val="center"/>
          </w:tcPr>
          <w:p>
            <w:pPr>
              <w:rPr>
                <w:rFonts w:hint="default" w:ascii="宋体" w:hAnsi="宋体" w:eastAsia="宋体" w:cs="宋体"/>
                <w:color w:val="000000"/>
                <w:szCs w:val="21"/>
                <w:lang w:val="en-US" w:eastAsia="zh-CN"/>
              </w:rPr>
            </w:pPr>
            <w:r>
              <w:rPr>
                <w:rFonts w:hint="default" w:ascii="宋体" w:hAnsi="宋体" w:cs="宋体"/>
                <w:color w:val="000000"/>
                <w:szCs w:val="21"/>
                <w:lang w:val="en-US" w:eastAsia="zh-CN"/>
              </w:rPr>
              <w:t>接到当地县级人民政府民政部门责令履行优待义务的通知后</w:t>
            </w:r>
            <w:r>
              <w:rPr>
                <w:rFonts w:hint="eastAsia" w:ascii="宋体" w:hAnsi="宋体" w:cs="宋体"/>
                <w:color w:val="000000"/>
                <w:szCs w:val="21"/>
                <w:lang w:val="en-US" w:eastAsia="zh-CN"/>
              </w:rPr>
              <w:t>，</w:t>
            </w:r>
            <w:r>
              <w:rPr>
                <w:rFonts w:hint="default" w:ascii="宋体" w:hAnsi="宋体" w:cs="宋体"/>
                <w:color w:val="000000"/>
                <w:szCs w:val="21"/>
                <w:lang w:val="en-US" w:eastAsia="zh-CN"/>
              </w:rPr>
              <w:t>逾期</w:t>
            </w:r>
            <w:r>
              <w:rPr>
                <w:rFonts w:hint="eastAsia" w:ascii="宋体" w:hAnsi="宋体" w:cs="宋体"/>
                <w:color w:val="000000"/>
                <w:szCs w:val="21"/>
                <w:lang w:val="en-US" w:eastAsia="zh-CN"/>
              </w:rPr>
              <w:t>15</w:t>
            </w:r>
            <w:r>
              <w:rPr>
                <w:rFonts w:hint="default" w:ascii="宋体" w:hAnsi="宋体" w:cs="宋体"/>
                <w:color w:val="000000"/>
                <w:szCs w:val="21"/>
                <w:lang w:val="en-US" w:eastAsia="zh-CN"/>
              </w:rPr>
              <w:t>日未履行的</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处以5000元以上8000元以下的罚款</w:t>
            </w:r>
          </w:p>
        </w:tc>
        <w:tc>
          <w:tcPr>
            <w:tcW w:w="1142" w:type="dxa"/>
            <w:vMerge w:val="continue"/>
            <w:noWrap w:val="0"/>
            <w:vAlign w:val="center"/>
          </w:tcPr>
          <w:p>
            <w:pPr>
              <w:widowControl/>
              <w:jc w:val="lef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5"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085" w:type="dxa"/>
            <w:vMerge w:val="continue"/>
            <w:noWrap w:val="0"/>
            <w:vAlign w:val="center"/>
          </w:tcPr>
          <w:p>
            <w:pPr>
              <w:rPr>
                <w:rFonts w:hint="eastAsia" w:ascii="宋体" w:hAnsi="宋体" w:cs="宋体"/>
                <w:color w:val="000000"/>
                <w:szCs w:val="21"/>
              </w:rPr>
            </w:pPr>
          </w:p>
        </w:tc>
        <w:tc>
          <w:tcPr>
            <w:tcW w:w="1478" w:type="dxa"/>
            <w:vMerge w:val="continue"/>
            <w:noWrap w:val="0"/>
            <w:vAlign w:val="center"/>
          </w:tcPr>
          <w:p>
            <w:pPr>
              <w:pStyle w:val="4"/>
              <w:jc w:val="both"/>
              <w:rPr>
                <w:rStyle w:val="7"/>
                <w:rFonts w:hint="eastAsia" w:hAnsi="宋体"/>
                <w:b w:val="0"/>
                <w:sz w:val="21"/>
                <w:szCs w:val="21"/>
              </w:rPr>
            </w:pPr>
          </w:p>
        </w:tc>
        <w:tc>
          <w:tcPr>
            <w:tcW w:w="2806" w:type="dxa"/>
            <w:vMerge w:val="continue"/>
            <w:noWrap w:val="0"/>
            <w:vAlign w:val="center"/>
          </w:tcPr>
          <w:p>
            <w:pPr>
              <w:rPr>
                <w:rStyle w:val="7"/>
                <w:rFonts w:hint="eastAsia" w:ascii="宋体" w:hAnsi="宋体" w:cs="宋体"/>
                <w:b w:val="0"/>
                <w:color w:val="000000"/>
                <w:szCs w:val="21"/>
              </w:rPr>
            </w:pPr>
          </w:p>
        </w:tc>
        <w:tc>
          <w:tcPr>
            <w:tcW w:w="1372"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严重</w:t>
            </w:r>
          </w:p>
        </w:tc>
        <w:tc>
          <w:tcPr>
            <w:tcW w:w="2016" w:type="dxa"/>
            <w:noWrap w:val="0"/>
            <w:vAlign w:val="center"/>
          </w:tcPr>
          <w:p>
            <w:pPr>
              <w:rPr>
                <w:rFonts w:hint="default" w:ascii="宋体" w:hAnsi="宋体" w:eastAsia="宋体" w:cs="宋体"/>
                <w:color w:val="000000"/>
                <w:kern w:val="0"/>
                <w:szCs w:val="21"/>
                <w:lang w:val="en-US" w:eastAsia="zh-CN"/>
              </w:rPr>
            </w:pPr>
            <w:r>
              <w:rPr>
                <w:rFonts w:hint="default" w:ascii="宋体" w:hAnsi="宋体" w:cs="宋体"/>
                <w:color w:val="000000"/>
                <w:szCs w:val="21"/>
                <w:lang w:val="en-US" w:eastAsia="zh-CN"/>
              </w:rPr>
              <w:t>接到当地县级人民政府民政部门责令履行优待义务的通知后</w:t>
            </w:r>
            <w:r>
              <w:rPr>
                <w:rFonts w:hint="eastAsia" w:ascii="宋体" w:hAnsi="宋体" w:cs="宋体"/>
                <w:color w:val="000000"/>
                <w:szCs w:val="21"/>
                <w:lang w:val="en-US" w:eastAsia="zh-CN"/>
              </w:rPr>
              <w:t>，</w:t>
            </w:r>
            <w:r>
              <w:rPr>
                <w:rFonts w:hint="default" w:ascii="宋体" w:hAnsi="宋体" w:cs="宋体"/>
                <w:color w:val="000000"/>
                <w:szCs w:val="21"/>
                <w:lang w:val="en-US" w:eastAsia="zh-CN"/>
              </w:rPr>
              <w:t>逾期</w:t>
            </w:r>
            <w:r>
              <w:rPr>
                <w:rFonts w:hint="eastAsia" w:ascii="宋体" w:hAnsi="宋体" w:cs="宋体"/>
                <w:color w:val="000000"/>
                <w:szCs w:val="21"/>
                <w:lang w:val="en-US" w:eastAsia="zh-CN"/>
              </w:rPr>
              <w:t>20</w:t>
            </w:r>
            <w:r>
              <w:rPr>
                <w:rFonts w:hint="default" w:ascii="宋体" w:hAnsi="宋体" w:cs="宋体"/>
                <w:color w:val="000000"/>
                <w:szCs w:val="21"/>
                <w:lang w:val="en-US" w:eastAsia="zh-CN"/>
              </w:rPr>
              <w:t>日以上未履行的</w:t>
            </w:r>
          </w:p>
        </w:tc>
        <w:tc>
          <w:tcPr>
            <w:tcW w:w="2073" w:type="dxa"/>
            <w:noWrap w:val="0"/>
            <w:vAlign w:val="center"/>
          </w:tcPr>
          <w:p>
            <w:pPr>
              <w:widowControl/>
              <w:rPr>
                <w:rFonts w:hint="default" w:ascii="宋体" w:hAnsi="宋体" w:cs="宋体"/>
                <w:color w:val="000000"/>
                <w:szCs w:val="21"/>
                <w:lang w:val="en-US"/>
              </w:rPr>
            </w:pPr>
            <w:r>
              <w:rPr>
                <w:rFonts w:hint="default" w:ascii="宋体" w:hAnsi="宋体" w:cs="宋体"/>
                <w:color w:val="000000"/>
                <w:szCs w:val="21"/>
                <w:lang w:val="en-US" w:eastAsia="zh-CN"/>
              </w:rPr>
              <w:t>处以8000元以上10000元以下的罚款。</w:t>
            </w:r>
          </w:p>
        </w:tc>
        <w:tc>
          <w:tcPr>
            <w:tcW w:w="1142" w:type="dxa"/>
            <w:vMerge w:val="continue"/>
            <w:noWrap w:val="0"/>
            <w:vAlign w:val="center"/>
          </w:tcPr>
          <w:p>
            <w:pPr>
              <w:widowControl/>
              <w:jc w:val="left"/>
              <w:rPr>
                <w:rFonts w:hint="eastAsia" w:ascii="宋体" w:hAnsi="宋体" w:cs="宋体"/>
                <w:color w:val="000000"/>
                <w:szCs w:val="21"/>
              </w:rPr>
            </w:pPr>
          </w:p>
        </w:tc>
      </w:tr>
    </w:tbl>
    <w:p>
      <w:pPr>
        <w:tabs>
          <w:tab w:val="left" w:pos="612"/>
        </w:tabs>
        <w:jc w:val="center"/>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rPr>
        <w:t>行政处罚自由裁量权</w:t>
      </w:r>
      <w:r>
        <w:rPr>
          <w:rFonts w:hint="eastAsia" w:ascii="黑体" w:hAnsi="黑体" w:eastAsia="黑体" w:cs="黑体"/>
          <w:b/>
          <w:bCs/>
          <w:color w:val="000000"/>
          <w:sz w:val="28"/>
          <w:szCs w:val="28"/>
          <w:lang w:val="en-US" w:eastAsia="zh-CN"/>
        </w:rPr>
        <w:t>细化量化工作表（表一）</w:t>
      </w:r>
    </w:p>
    <w:p>
      <w:pPr>
        <w:tabs>
          <w:tab w:val="left" w:pos="612"/>
        </w:tabs>
        <w:jc w:val="center"/>
        <w:rPr>
          <w:rFonts w:hint="eastAsia" w:ascii="黑体" w:hAnsi="黑体" w:eastAsia="黑体" w:cs="黑体"/>
          <w:b/>
          <w:bCs/>
          <w:color w:val="000000"/>
          <w:sz w:val="28"/>
          <w:szCs w:val="28"/>
          <w:lang w:val="en-US" w:eastAsia="zh-CN"/>
        </w:rPr>
      </w:pPr>
    </w:p>
    <w:p>
      <w:pPr>
        <w:tabs>
          <w:tab w:val="left" w:pos="612"/>
        </w:tabs>
        <w:jc w:val="center"/>
        <w:rPr>
          <w:rFonts w:hint="eastAsia" w:ascii="黑体" w:hAnsi="黑体" w:eastAsia="黑体" w:cs="黑体"/>
          <w:b/>
          <w:bCs/>
          <w:color w:val="000000"/>
          <w:sz w:val="28"/>
          <w:szCs w:val="28"/>
          <w:lang w:val="en-US" w:eastAsia="zh-CN"/>
        </w:rPr>
        <w:sectPr>
          <w:pgSz w:w="16838" w:h="11906" w:orient="landscape"/>
          <w:pgMar w:top="1800" w:right="1440" w:bottom="1800" w:left="1440" w:header="851" w:footer="992" w:gutter="0"/>
          <w:cols w:space="425" w:num="1"/>
          <w:docGrid w:type="lines" w:linePitch="312" w:charSpace="0"/>
        </w:sectPr>
      </w:pPr>
    </w:p>
    <w:tbl>
      <w:tblPr>
        <w:tblStyle w:val="5"/>
        <w:tblpPr w:leftFromText="180" w:rightFromText="180" w:vertAnchor="page" w:horzAnchor="page" w:tblpX="1701" w:tblpY="2793"/>
        <w:tblOverlap w:val="never"/>
        <w:tblW w:w="14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32"/>
        <w:gridCol w:w="1487"/>
        <w:gridCol w:w="2250"/>
        <w:gridCol w:w="1372"/>
        <w:gridCol w:w="1221"/>
        <w:gridCol w:w="2016"/>
        <w:gridCol w:w="2073"/>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15" w:type="dxa"/>
            <w:noWrap w:val="0"/>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序号</w:t>
            </w:r>
          </w:p>
        </w:tc>
        <w:tc>
          <w:tcPr>
            <w:tcW w:w="163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违法行为</w:t>
            </w:r>
          </w:p>
        </w:tc>
        <w:tc>
          <w:tcPr>
            <w:tcW w:w="1487"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违反条款</w:t>
            </w:r>
          </w:p>
        </w:tc>
        <w:tc>
          <w:tcPr>
            <w:tcW w:w="2250"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处罚依据</w:t>
            </w:r>
          </w:p>
        </w:tc>
        <w:tc>
          <w:tcPr>
            <w:tcW w:w="1372"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处罚种类</w:t>
            </w:r>
          </w:p>
        </w:tc>
        <w:tc>
          <w:tcPr>
            <w:tcW w:w="1221"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裁量档次</w:t>
            </w:r>
          </w:p>
        </w:tc>
        <w:tc>
          <w:tcPr>
            <w:tcW w:w="201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违法情节和</w:t>
            </w:r>
            <w:r>
              <w:rPr>
                <w:rFonts w:hint="eastAsia" w:ascii="宋体" w:hAnsi="宋体" w:cs="宋体"/>
                <w:b/>
                <w:color w:val="000000"/>
                <w:kern w:val="0"/>
                <w:szCs w:val="21"/>
              </w:rPr>
              <w:t>后果</w:t>
            </w:r>
          </w:p>
        </w:tc>
        <w:tc>
          <w:tcPr>
            <w:tcW w:w="2073"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处罚自由裁量基准</w:t>
            </w:r>
          </w:p>
        </w:tc>
        <w:tc>
          <w:tcPr>
            <w:tcW w:w="114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其他措施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815" w:type="dxa"/>
            <w:vMerge w:val="restart"/>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w:t>
            </w:r>
          </w:p>
        </w:tc>
        <w:tc>
          <w:tcPr>
            <w:tcW w:w="1632" w:type="dxa"/>
            <w:vMerge w:val="restart"/>
            <w:noWrap w:val="0"/>
            <w:vAlign w:val="center"/>
          </w:tcPr>
          <w:p>
            <w:pPr>
              <w:rPr>
                <w:rFonts w:hint="eastAsia" w:ascii="宋体" w:hAnsi="宋体" w:cs="宋体"/>
                <w:color w:val="000000"/>
                <w:szCs w:val="21"/>
              </w:rPr>
            </w:pPr>
            <w:r>
              <w:rPr>
                <w:rFonts w:hint="eastAsia" w:ascii="宋体" w:hAnsi="宋体" w:cs="宋体"/>
                <w:color w:val="000000"/>
                <w:szCs w:val="21"/>
                <w:lang w:eastAsia="zh-CN"/>
              </w:rPr>
              <w:t>冒领抚恤金、优待金、补助金的;虚报病情骗取医药费的;出具假证明，伪造证件、印章骗取抚恤金、优待金、补助金的</w:t>
            </w:r>
          </w:p>
        </w:tc>
        <w:tc>
          <w:tcPr>
            <w:tcW w:w="1487" w:type="dxa"/>
            <w:vMerge w:val="restart"/>
            <w:noWrap w:val="0"/>
            <w:vAlign w:val="center"/>
          </w:tcPr>
          <w:p>
            <w:pPr>
              <w:pStyle w:val="4"/>
              <w:jc w:val="both"/>
              <w:rPr>
                <w:rFonts w:hint="eastAsia" w:hAnsi="宋体"/>
                <w:bCs/>
                <w:sz w:val="21"/>
                <w:szCs w:val="21"/>
              </w:rPr>
            </w:pPr>
            <w:r>
              <w:rPr>
                <w:rFonts w:hint="eastAsia" w:hAnsi="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军人抚恤优待条例</w:t>
            </w:r>
            <w:r>
              <w:rPr>
                <w:rFonts w:hint="eastAsia" w:hAnsi="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000000"/>
                <w:spacing w:val="0"/>
                <w:sz w:val="22"/>
                <w:szCs w:val="22"/>
              </w:rPr>
              <w:t>第四十</w:t>
            </w:r>
            <w:r>
              <w:rPr>
                <w:rFonts w:hint="eastAsia" w:hAnsi="宋体" w:cs="宋体"/>
                <w:i w:val="0"/>
                <w:iCs w:val="0"/>
                <w:caps w:val="0"/>
                <w:color w:val="000000"/>
                <w:spacing w:val="0"/>
                <w:sz w:val="22"/>
                <w:szCs w:val="22"/>
                <w:lang w:val="en-US" w:eastAsia="zh-CN"/>
              </w:rPr>
              <w:t>九</w:t>
            </w:r>
            <w:r>
              <w:rPr>
                <w:rFonts w:hint="eastAsia" w:ascii="宋体" w:hAnsi="宋体" w:eastAsia="宋体" w:cs="宋体"/>
                <w:i w:val="0"/>
                <w:iCs w:val="0"/>
                <w:caps w:val="0"/>
                <w:color w:val="000000"/>
                <w:spacing w:val="0"/>
                <w:sz w:val="22"/>
                <w:szCs w:val="22"/>
              </w:rPr>
              <w:t>条</w:t>
            </w:r>
          </w:p>
        </w:tc>
        <w:tc>
          <w:tcPr>
            <w:tcW w:w="2250" w:type="dxa"/>
            <w:vMerge w:val="restart"/>
            <w:noWrap w:val="0"/>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eastAsia="宋体" w:cs="宋体"/>
                <w:color w:val="000000"/>
                <w:sz w:val="24"/>
                <w:szCs w:val="24"/>
                <w:lang w:eastAsia="zh-CN"/>
              </w:rPr>
            </w:pPr>
            <w:r>
              <w:rPr>
                <w:rFonts w:hint="eastAsia" w:hAnsi="宋体" w:cs="宋体"/>
                <w:color w:val="000000"/>
                <w:sz w:val="24"/>
                <w:szCs w:val="24"/>
                <w:lang w:val="en-US" w:eastAsia="zh-CN"/>
              </w:rPr>
              <w:t>四十九条：</w:t>
            </w:r>
            <w:r>
              <w:rPr>
                <w:rFonts w:hint="eastAsia" w:ascii="宋体" w:hAnsi="宋体" w:eastAsia="宋体" w:cs="宋体"/>
                <w:color w:val="000000"/>
                <w:sz w:val="24"/>
                <w:szCs w:val="24"/>
                <w:lang w:eastAsia="zh-CN"/>
              </w:rPr>
              <w:t>抚恤优待对象有下列行为之一的，由县级人民政府退役军人事务部门给予警告，限期退回非法所得;情节严重的，停止其享受的抚恤、优待;构成犯罪的，依法追究刑事责任：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(一)冒领抚恤金、优待金、补助金的;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(二)虚报病情骗取医药费的;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(三)出具假证明，伪造证件、印章骗取抚恤金、优待金、补助金的。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eastAsia="宋体" w:cs="宋体"/>
                <w:color w:val="000000"/>
                <w:szCs w:val="21"/>
                <w:lang w:eastAsia="zh-CN"/>
              </w:rPr>
            </w:pPr>
          </w:p>
        </w:tc>
        <w:tc>
          <w:tcPr>
            <w:tcW w:w="1372" w:type="dxa"/>
            <w:vMerge w:val="restart"/>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行政处罚</w:t>
            </w:r>
          </w:p>
        </w:tc>
        <w:tc>
          <w:tcPr>
            <w:tcW w:w="1221" w:type="dxa"/>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一般</w:t>
            </w:r>
          </w:p>
        </w:tc>
        <w:tc>
          <w:tcPr>
            <w:tcW w:w="2016" w:type="dxa"/>
            <w:noWrap w:val="0"/>
            <w:vAlign w:val="center"/>
          </w:tcPr>
          <w:p>
            <w:pPr>
              <w:rPr>
                <w:rFonts w:hint="default" w:ascii="宋体" w:hAnsi="宋体" w:cs="宋体"/>
                <w:color w:val="000000"/>
                <w:szCs w:val="21"/>
                <w:lang w:val="en-US" w:eastAsia="zh-CN"/>
              </w:rPr>
            </w:pPr>
            <w:r>
              <w:rPr>
                <w:rFonts w:hint="eastAsia" w:ascii="宋体" w:hAnsi="宋体" w:cs="宋体"/>
                <w:color w:val="000000"/>
                <w:szCs w:val="21"/>
                <w:lang w:val="en-US" w:eastAsia="zh-CN"/>
              </w:rPr>
              <w:t>涉及总额在</w:t>
            </w:r>
            <w:r>
              <w:rPr>
                <w:rFonts w:hint="default" w:ascii="宋体" w:hAnsi="宋体" w:eastAsia="宋体" w:cs="宋体"/>
                <w:color w:val="000000"/>
                <w:szCs w:val="21"/>
                <w:lang w:val="en-US" w:eastAsia="zh-CN"/>
              </w:rPr>
              <w:t>5000元以下的</w:t>
            </w:r>
          </w:p>
        </w:tc>
        <w:tc>
          <w:tcPr>
            <w:tcW w:w="2073" w:type="dxa"/>
            <w:noWrap w:val="0"/>
            <w:vAlign w:val="center"/>
          </w:tcPr>
          <w:p>
            <w:pPr>
              <w:widowControl/>
              <w:rPr>
                <w:rFonts w:hint="default" w:ascii="宋体" w:hAnsi="宋体" w:eastAsia="宋体" w:cs="宋体"/>
                <w:color w:val="000000"/>
                <w:szCs w:val="21"/>
                <w:lang w:val="en-US" w:eastAsia="zh-CN"/>
              </w:rPr>
            </w:pPr>
            <w:r>
              <w:rPr>
                <w:rFonts w:hint="default" w:ascii="宋体" w:hAnsi="宋体" w:cs="宋体"/>
                <w:color w:val="000000"/>
                <w:szCs w:val="21"/>
                <w:lang w:val="en-US" w:eastAsia="zh-CN"/>
              </w:rPr>
              <w:t>给予警告，限期退回非法所得。</w:t>
            </w:r>
          </w:p>
        </w:tc>
        <w:tc>
          <w:tcPr>
            <w:tcW w:w="1142" w:type="dxa"/>
            <w:vMerge w:val="restart"/>
            <w:noWrap w:val="0"/>
            <w:vAlign w:val="center"/>
          </w:tcPr>
          <w:p>
            <w:pPr>
              <w:widowControl/>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3"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632" w:type="dxa"/>
            <w:vMerge w:val="continue"/>
            <w:noWrap w:val="0"/>
            <w:vAlign w:val="center"/>
          </w:tcPr>
          <w:p>
            <w:pPr>
              <w:rPr>
                <w:rFonts w:hint="eastAsia" w:ascii="宋体" w:hAnsi="宋体" w:cs="宋体"/>
                <w:color w:val="000000"/>
                <w:szCs w:val="21"/>
              </w:rPr>
            </w:pPr>
          </w:p>
        </w:tc>
        <w:tc>
          <w:tcPr>
            <w:tcW w:w="1487" w:type="dxa"/>
            <w:vMerge w:val="continue"/>
            <w:noWrap w:val="0"/>
            <w:vAlign w:val="center"/>
          </w:tcPr>
          <w:p>
            <w:pPr>
              <w:pStyle w:val="4"/>
              <w:jc w:val="both"/>
              <w:rPr>
                <w:rStyle w:val="7"/>
                <w:rFonts w:hint="eastAsia" w:hAnsi="宋体"/>
                <w:b w:val="0"/>
                <w:sz w:val="21"/>
                <w:szCs w:val="21"/>
              </w:rPr>
            </w:pPr>
          </w:p>
        </w:tc>
        <w:tc>
          <w:tcPr>
            <w:tcW w:w="2250" w:type="dxa"/>
            <w:vMerge w:val="continue"/>
            <w:noWrap w:val="0"/>
            <w:vAlign w:val="center"/>
          </w:tcPr>
          <w:p>
            <w:pPr>
              <w:rPr>
                <w:rStyle w:val="7"/>
                <w:rFonts w:hint="eastAsia" w:ascii="宋体" w:hAnsi="宋体" w:cs="宋体"/>
                <w:b w:val="0"/>
                <w:color w:val="000000"/>
                <w:szCs w:val="21"/>
              </w:rPr>
            </w:pPr>
          </w:p>
        </w:tc>
        <w:tc>
          <w:tcPr>
            <w:tcW w:w="1372"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黑体" w:hAnsi="黑体" w:eastAsia="黑体" w:cs="黑体"/>
                <w:color w:val="000000"/>
                <w:kern w:val="0"/>
                <w:szCs w:val="21"/>
                <w:lang w:val="en-US" w:eastAsia="zh-CN"/>
              </w:rPr>
            </w:pPr>
            <w:r>
              <w:rPr>
                <w:rFonts w:hint="eastAsia" w:ascii="宋体" w:hAnsi="宋体" w:cs="宋体"/>
                <w:color w:val="000000"/>
                <w:kern w:val="0"/>
                <w:szCs w:val="21"/>
                <w:lang w:val="en-US" w:eastAsia="zh-CN"/>
              </w:rPr>
              <w:t>严重</w:t>
            </w:r>
          </w:p>
        </w:tc>
        <w:tc>
          <w:tcPr>
            <w:tcW w:w="2016" w:type="dxa"/>
            <w:noWrap w:val="0"/>
            <w:vAlign w:val="center"/>
          </w:tcPr>
          <w:p>
            <w:pPr>
              <w:rPr>
                <w:rFonts w:hint="default" w:ascii="宋体" w:hAnsi="宋体" w:eastAsia="宋体" w:cs="宋体"/>
                <w:color w:val="000000"/>
                <w:kern w:val="2"/>
                <w:sz w:val="21"/>
                <w:szCs w:val="21"/>
                <w:lang w:val="en-US" w:eastAsia="zh-CN" w:bidi="ar-SA"/>
              </w:rPr>
            </w:pPr>
            <w:r>
              <w:rPr>
                <w:rFonts w:hint="eastAsia" w:ascii="宋体" w:hAnsi="宋体" w:cs="宋体"/>
                <w:color w:val="000000"/>
                <w:szCs w:val="21"/>
                <w:lang w:val="en-US" w:eastAsia="zh-CN"/>
              </w:rPr>
              <w:t>涉及</w:t>
            </w:r>
            <w:r>
              <w:rPr>
                <w:rFonts w:hint="default" w:ascii="宋体" w:hAnsi="宋体" w:eastAsia="宋体" w:cs="宋体"/>
                <w:color w:val="000000"/>
                <w:szCs w:val="21"/>
                <w:lang w:val="en-US" w:eastAsia="zh-CN"/>
              </w:rPr>
              <w:t>总额在5000元以上的</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给予警告，限期退回非法所得，停止其享受的抚恤、优待。</w:t>
            </w:r>
          </w:p>
        </w:tc>
        <w:tc>
          <w:tcPr>
            <w:tcW w:w="1142" w:type="dxa"/>
            <w:vMerge w:val="continue"/>
            <w:noWrap w:val="0"/>
            <w:vAlign w:val="center"/>
          </w:tcPr>
          <w:p>
            <w:pPr>
              <w:widowControl/>
              <w:jc w:val="left"/>
              <w:rPr>
                <w:rFonts w:hint="eastAsia" w:ascii="宋体" w:hAnsi="宋体" w:cs="宋体"/>
                <w:color w:val="000000"/>
                <w:szCs w:val="21"/>
              </w:rPr>
            </w:pPr>
          </w:p>
        </w:tc>
      </w:tr>
    </w:tbl>
    <w:p>
      <w:pPr>
        <w:tabs>
          <w:tab w:val="left" w:pos="612"/>
        </w:tabs>
        <w:jc w:val="center"/>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rPr>
        <w:t>行政处罚自由裁量权</w:t>
      </w:r>
      <w:r>
        <w:rPr>
          <w:rFonts w:hint="eastAsia" w:ascii="黑体" w:hAnsi="黑体" w:eastAsia="黑体" w:cs="黑体"/>
          <w:b/>
          <w:bCs/>
          <w:color w:val="000000"/>
          <w:sz w:val="28"/>
          <w:szCs w:val="28"/>
          <w:lang w:val="en-US" w:eastAsia="zh-CN"/>
        </w:rPr>
        <w:t>细化量化工作表（表一）</w:t>
      </w:r>
    </w:p>
    <w:p>
      <w:pPr>
        <w:tabs>
          <w:tab w:val="left" w:pos="612"/>
        </w:tabs>
        <w:jc w:val="center"/>
        <w:rPr>
          <w:rFonts w:hint="eastAsia" w:ascii="黑体" w:hAnsi="黑体" w:eastAsia="黑体" w:cs="黑体"/>
          <w:b/>
          <w:bCs/>
          <w:color w:val="000000"/>
          <w:sz w:val="28"/>
          <w:szCs w:val="28"/>
          <w:lang w:val="en-US" w:eastAsia="zh-CN"/>
        </w:rPr>
      </w:pPr>
    </w:p>
    <w:p>
      <w:pPr>
        <w:tabs>
          <w:tab w:val="left" w:pos="612"/>
        </w:tabs>
        <w:jc w:val="center"/>
        <w:rPr>
          <w:rFonts w:hint="eastAsia" w:ascii="黑体" w:hAnsi="黑体" w:eastAsia="黑体" w:cs="黑体"/>
          <w:b/>
          <w:bCs/>
          <w:color w:val="000000"/>
          <w:sz w:val="28"/>
          <w:szCs w:val="28"/>
          <w:lang w:val="en-US" w:eastAsia="zh-CN"/>
        </w:rPr>
        <w:sectPr>
          <w:pgSz w:w="16838" w:h="11906" w:orient="landscape"/>
          <w:pgMar w:top="1800" w:right="1440" w:bottom="1800" w:left="1440" w:header="851" w:footer="992" w:gutter="0"/>
          <w:cols w:space="425" w:num="1"/>
          <w:docGrid w:type="lines" w:linePitch="312" w:charSpace="0"/>
        </w:sectPr>
      </w:pPr>
    </w:p>
    <w:tbl>
      <w:tblPr>
        <w:tblStyle w:val="5"/>
        <w:tblpPr w:leftFromText="180" w:rightFromText="180" w:vertAnchor="page" w:horzAnchor="page" w:tblpX="1701" w:tblpY="2793"/>
        <w:tblOverlap w:val="never"/>
        <w:tblW w:w="14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32"/>
        <w:gridCol w:w="1487"/>
        <w:gridCol w:w="2886"/>
        <w:gridCol w:w="736"/>
        <w:gridCol w:w="1221"/>
        <w:gridCol w:w="2016"/>
        <w:gridCol w:w="2073"/>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15" w:type="dxa"/>
            <w:noWrap w:val="0"/>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序号</w:t>
            </w:r>
          </w:p>
        </w:tc>
        <w:tc>
          <w:tcPr>
            <w:tcW w:w="163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违法行为</w:t>
            </w:r>
          </w:p>
        </w:tc>
        <w:tc>
          <w:tcPr>
            <w:tcW w:w="1487"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违反条款</w:t>
            </w:r>
          </w:p>
        </w:tc>
        <w:tc>
          <w:tcPr>
            <w:tcW w:w="288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处罚依据</w:t>
            </w:r>
          </w:p>
        </w:tc>
        <w:tc>
          <w:tcPr>
            <w:tcW w:w="736"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处罚种类</w:t>
            </w:r>
          </w:p>
        </w:tc>
        <w:tc>
          <w:tcPr>
            <w:tcW w:w="1221"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裁量档次</w:t>
            </w:r>
          </w:p>
        </w:tc>
        <w:tc>
          <w:tcPr>
            <w:tcW w:w="201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违法情节和</w:t>
            </w:r>
            <w:r>
              <w:rPr>
                <w:rFonts w:hint="eastAsia" w:ascii="宋体" w:hAnsi="宋体" w:cs="宋体"/>
                <w:b/>
                <w:color w:val="000000"/>
                <w:kern w:val="0"/>
                <w:szCs w:val="21"/>
              </w:rPr>
              <w:t>后果</w:t>
            </w:r>
          </w:p>
        </w:tc>
        <w:tc>
          <w:tcPr>
            <w:tcW w:w="2073"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处罚自由裁量基准</w:t>
            </w:r>
          </w:p>
        </w:tc>
        <w:tc>
          <w:tcPr>
            <w:tcW w:w="114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其他措施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6" w:hRule="atLeast"/>
        </w:trPr>
        <w:tc>
          <w:tcPr>
            <w:tcW w:w="815" w:type="dxa"/>
            <w:vMerge w:val="restart"/>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w:t>
            </w:r>
          </w:p>
        </w:tc>
        <w:tc>
          <w:tcPr>
            <w:tcW w:w="1632" w:type="dxa"/>
            <w:vMerge w:val="restart"/>
            <w:noWrap w:val="0"/>
            <w:vAlign w:val="center"/>
          </w:tcPr>
          <w:p>
            <w:pPr>
              <w:rPr>
                <w:rFonts w:hint="eastAsia" w:ascii="宋体" w:hAnsi="宋体" w:cs="宋体"/>
                <w:color w:val="000000"/>
                <w:szCs w:val="21"/>
              </w:rPr>
            </w:pPr>
            <w:r>
              <w:rPr>
                <w:rFonts w:hint="eastAsia" w:ascii="宋体" w:hAnsi="宋体" w:cs="宋体"/>
                <w:color w:val="000000"/>
                <w:szCs w:val="21"/>
              </w:rPr>
              <w:t>(一)拒绝或者无故拖延执行人民政府下达的安排退役士兵工作任务的;</w:t>
            </w:r>
          </w:p>
          <w:p>
            <w:pPr>
              <w:rPr>
                <w:rFonts w:hint="eastAsia" w:ascii="宋体" w:hAnsi="宋体" w:cs="宋体"/>
                <w:color w:val="000000"/>
                <w:szCs w:val="21"/>
              </w:rPr>
            </w:pPr>
            <w:r>
              <w:rPr>
                <w:rFonts w:hint="eastAsia" w:ascii="宋体" w:hAnsi="宋体" w:cs="宋体"/>
                <w:color w:val="000000"/>
                <w:szCs w:val="21"/>
              </w:rPr>
              <w:t>(二)未依法与退役士兵签订劳动合同、聘用合同的;</w:t>
            </w:r>
          </w:p>
          <w:p>
            <w:pPr>
              <w:rPr>
                <w:rFonts w:hint="eastAsia" w:ascii="宋体" w:hAnsi="宋体" w:cs="宋体"/>
                <w:color w:val="000000"/>
                <w:szCs w:val="21"/>
              </w:rPr>
            </w:pPr>
            <w:r>
              <w:rPr>
                <w:rFonts w:hint="eastAsia" w:ascii="宋体" w:hAnsi="宋体" w:cs="宋体"/>
                <w:color w:val="000000"/>
                <w:szCs w:val="21"/>
              </w:rPr>
              <w:t>(三)与残疾退役士兵解除劳动关系或者人事关系的。</w:t>
            </w:r>
          </w:p>
          <w:p>
            <w:pPr>
              <w:rPr>
                <w:rFonts w:hint="eastAsia" w:ascii="宋体" w:hAnsi="宋体" w:cs="宋体"/>
                <w:color w:val="000000"/>
                <w:szCs w:val="21"/>
              </w:rPr>
            </w:pPr>
          </w:p>
        </w:tc>
        <w:tc>
          <w:tcPr>
            <w:tcW w:w="1487" w:type="dxa"/>
            <w:vMerge w:val="restart"/>
            <w:noWrap w:val="0"/>
            <w:vAlign w:val="center"/>
          </w:tcPr>
          <w:p>
            <w:pPr>
              <w:pStyle w:val="4"/>
              <w:jc w:val="both"/>
              <w:rPr>
                <w:rFonts w:hint="default" w:hAnsi="宋体" w:eastAsia="宋体"/>
                <w:bCs/>
                <w:sz w:val="21"/>
                <w:szCs w:val="21"/>
                <w:lang w:val="en-US" w:eastAsia="zh-CN"/>
              </w:rPr>
            </w:pPr>
            <w:r>
              <w:rPr>
                <w:rFonts w:hint="eastAsia" w:hAnsi="宋体"/>
                <w:bCs/>
                <w:sz w:val="21"/>
                <w:szCs w:val="21"/>
              </w:rPr>
              <w:t>《退役士兵安置条例》</w:t>
            </w:r>
            <w:r>
              <w:rPr>
                <w:rFonts w:hint="eastAsia" w:hAnsi="宋体"/>
                <w:bCs/>
                <w:sz w:val="21"/>
                <w:szCs w:val="21"/>
                <w:lang w:val="en-US" w:eastAsia="zh-CN"/>
              </w:rPr>
              <w:t>第五十条</w:t>
            </w:r>
          </w:p>
        </w:tc>
        <w:tc>
          <w:tcPr>
            <w:tcW w:w="2886" w:type="dxa"/>
            <w:vMerge w:val="restart"/>
            <w:noWrap w:val="0"/>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cs="宋体"/>
                <w:color w:val="000000"/>
                <w:szCs w:val="21"/>
              </w:rPr>
            </w:pPr>
            <w:r>
              <w:rPr>
                <w:rFonts w:hint="eastAsia" w:ascii="宋体" w:hAnsi="宋体" w:cs="宋体"/>
                <w:color w:val="000000"/>
                <w:szCs w:val="21"/>
              </w:rPr>
              <w:t>第五十条接收安置退役士兵的单位违反本条例的规定，有下列情形之一的，由当地人民政府退役士兵安置工作主管部门责令限期改正;逾期不改的，对国家机关、社会团体、事业单位主要负责人和直接责任人员依法给予处分，对企业按照涉及退役士兵人数乘以当地上年度城镇职工平均工资10倍的金额处以罚款，并对接收单位及其主要负责人予以通报批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cs="宋体"/>
                <w:color w:val="000000"/>
                <w:szCs w:val="21"/>
              </w:rPr>
            </w:pPr>
            <w:r>
              <w:rPr>
                <w:rFonts w:hint="eastAsia" w:ascii="宋体" w:hAnsi="宋体" w:cs="宋体"/>
                <w:color w:val="000000"/>
                <w:szCs w:val="21"/>
              </w:rPr>
              <w:t>(一)拒绝或者无故拖延执行人民政府下达的安排退役士兵工作任务的;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cs="宋体"/>
                <w:color w:val="000000"/>
                <w:szCs w:val="21"/>
              </w:rPr>
            </w:pPr>
            <w:r>
              <w:rPr>
                <w:rFonts w:hint="eastAsia" w:ascii="宋体" w:hAnsi="宋体" w:cs="宋体"/>
                <w:color w:val="000000"/>
                <w:szCs w:val="21"/>
              </w:rPr>
              <w:t>(二)未依法与退役士兵签订劳动合同、聘用合同的;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cs="宋体"/>
                <w:color w:val="000000"/>
                <w:szCs w:val="21"/>
              </w:rPr>
            </w:pPr>
            <w:r>
              <w:rPr>
                <w:rFonts w:hint="eastAsia" w:ascii="宋体" w:hAnsi="宋体" w:cs="宋体"/>
                <w:color w:val="000000"/>
                <w:szCs w:val="21"/>
              </w:rPr>
              <w:t>(三)与残疾退役士兵解除劳动关系或者人事关系的。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both"/>
              <w:rPr>
                <w:rFonts w:hint="eastAsia" w:ascii="宋体" w:hAnsi="宋体" w:cs="宋体"/>
                <w:color w:val="000000"/>
                <w:szCs w:val="21"/>
              </w:rPr>
            </w:pPr>
          </w:p>
        </w:tc>
        <w:tc>
          <w:tcPr>
            <w:tcW w:w="736" w:type="dxa"/>
            <w:vMerge w:val="restart"/>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行政处罚</w:t>
            </w:r>
          </w:p>
        </w:tc>
        <w:tc>
          <w:tcPr>
            <w:tcW w:w="1221" w:type="dxa"/>
            <w:noWrap w:val="0"/>
            <w:vAlign w:val="center"/>
          </w:tcPr>
          <w:p>
            <w:pPr>
              <w:jc w:val="center"/>
              <w:rPr>
                <w:rFonts w:hint="eastAsia"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一般</w:t>
            </w:r>
          </w:p>
        </w:tc>
        <w:tc>
          <w:tcPr>
            <w:tcW w:w="2016" w:type="dxa"/>
            <w:noWrap w:val="0"/>
            <w:vAlign w:val="center"/>
          </w:tcPr>
          <w:p>
            <w:pPr>
              <w:ind w:firstLine="420" w:firstLineChars="200"/>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初犯</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当地人民政府退役士兵安置工作主管部门责令限期改正</w:t>
            </w:r>
            <w:r>
              <w:rPr>
                <w:rFonts w:hint="eastAsia" w:ascii="宋体" w:hAnsi="宋体" w:cs="宋体"/>
                <w:color w:val="000000"/>
                <w:szCs w:val="21"/>
                <w:lang w:val="en-US" w:eastAsia="zh-CN"/>
              </w:rPr>
              <w:t>。</w:t>
            </w:r>
          </w:p>
        </w:tc>
        <w:tc>
          <w:tcPr>
            <w:tcW w:w="1142" w:type="dxa"/>
            <w:vMerge w:val="restart"/>
            <w:noWrap w:val="0"/>
            <w:vAlign w:val="center"/>
          </w:tcPr>
          <w:p>
            <w:pPr>
              <w:widowControl/>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5"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632" w:type="dxa"/>
            <w:vMerge w:val="continue"/>
            <w:noWrap w:val="0"/>
            <w:vAlign w:val="center"/>
          </w:tcPr>
          <w:p>
            <w:pPr>
              <w:rPr>
                <w:rFonts w:hint="eastAsia" w:ascii="宋体" w:hAnsi="宋体" w:cs="宋体"/>
                <w:color w:val="000000"/>
                <w:szCs w:val="21"/>
              </w:rPr>
            </w:pPr>
          </w:p>
        </w:tc>
        <w:tc>
          <w:tcPr>
            <w:tcW w:w="1487" w:type="dxa"/>
            <w:vMerge w:val="continue"/>
            <w:noWrap w:val="0"/>
            <w:vAlign w:val="center"/>
          </w:tcPr>
          <w:p>
            <w:pPr>
              <w:pStyle w:val="4"/>
              <w:jc w:val="both"/>
              <w:rPr>
                <w:rStyle w:val="7"/>
                <w:rFonts w:hint="eastAsia" w:hAnsi="宋体"/>
                <w:b w:val="0"/>
                <w:sz w:val="21"/>
                <w:szCs w:val="21"/>
              </w:rPr>
            </w:pPr>
          </w:p>
        </w:tc>
        <w:tc>
          <w:tcPr>
            <w:tcW w:w="2886" w:type="dxa"/>
            <w:vMerge w:val="continue"/>
            <w:noWrap w:val="0"/>
            <w:vAlign w:val="center"/>
          </w:tcPr>
          <w:p>
            <w:pPr>
              <w:rPr>
                <w:rStyle w:val="7"/>
                <w:rFonts w:hint="eastAsia" w:ascii="宋体" w:hAnsi="宋体" w:cs="宋体"/>
                <w:b w:val="0"/>
                <w:color w:val="000000"/>
                <w:szCs w:val="21"/>
              </w:rPr>
            </w:pPr>
          </w:p>
        </w:tc>
        <w:tc>
          <w:tcPr>
            <w:tcW w:w="736"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严重</w:t>
            </w:r>
          </w:p>
        </w:tc>
        <w:tc>
          <w:tcPr>
            <w:tcW w:w="2016" w:type="dxa"/>
            <w:noWrap w:val="0"/>
            <w:vAlign w:val="center"/>
          </w:tcPr>
          <w:p>
            <w:pPr>
              <w:ind w:firstLine="420" w:firstLineChars="200"/>
              <w:rPr>
                <w:rFonts w:hint="eastAsia" w:ascii="宋体" w:hAnsi="宋体" w:eastAsia="宋体" w:cs="宋体"/>
                <w:color w:val="000000"/>
                <w:kern w:val="0"/>
                <w:szCs w:val="21"/>
                <w:lang w:val="en-US" w:eastAsia="zh-CN"/>
              </w:rPr>
            </w:pPr>
            <w:r>
              <w:rPr>
                <w:rFonts w:hint="default" w:ascii="宋体" w:hAnsi="宋体" w:cs="宋体"/>
                <w:color w:val="000000"/>
                <w:szCs w:val="21"/>
                <w:lang w:val="en-US" w:eastAsia="zh-CN"/>
              </w:rPr>
              <w:t>当地人民政府退役士兵安置工作主管部门责令限期改正</w:t>
            </w:r>
            <w:r>
              <w:rPr>
                <w:rFonts w:hint="eastAsia" w:ascii="宋体" w:hAnsi="宋体" w:cs="宋体"/>
                <w:color w:val="000000"/>
                <w:szCs w:val="21"/>
                <w:lang w:val="en-US" w:eastAsia="zh-CN"/>
              </w:rPr>
              <w:t>，</w:t>
            </w:r>
            <w:r>
              <w:rPr>
                <w:rFonts w:hint="eastAsia" w:ascii="宋体" w:hAnsi="宋体" w:cs="宋体"/>
                <w:color w:val="000000"/>
                <w:szCs w:val="21"/>
              </w:rPr>
              <w:t>逾期不改的</w:t>
            </w:r>
            <w:r>
              <w:rPr>
                <w:rFonts w:hint="eastAsia" w:ascii="宋体" w:hAnsi="宋体" w:cs="宋体"/>
                <w:color w:val="000000"/>
                <w:szCs w:val="21"/>
                <w:lang w:eastAsia="zh-CN"/>
              </w:rPr>
              <w:t>。</w:t>
            </w:r>
          </w:p>
        </w:tc>
        <w:tc>
          <w:tcPr>
            <w:tcW w:w="2073" w:type="dxa"/>
            <w:noWrap w:val="0"/>
            <w:vAlign w:val="center"/>
          </w:tcPr>
          <w:p>
            <w:pPr>
              <w:widowControl/>
              <w:rPr>
                <w:rFonts w:hint="default" w:ascii="宋体" w:hAnsi="宋体" w:cs="宋体"/>
                <w:color w:val="000000"/>
                <w:szCs w:val="21"/>
                <w:lang w:val="en-US"/>
              </w:rPr>
            </w:pPr>
            <w:r>
              <w:rPr>
                <w:rFonts w:hint="default" w:ascii="宋体" w:hAnsi="宋体" w:cs="宋体"/>
                <w:color w:val="000000"/>
                <w:szCs w:val="21"/>
                <w:lang w:val="en-US"/>
              </w:rPr>
              <w:t>对国家机关、社会团体、事业单位主要负责人和直接责任人员依法给予处分，对企业按照涉及退役士兵人数乘以当地上年度城镇职工平均工资10倍的金额处以罚款，并对接收单位及其主要负责人予以通报批评</w:t>
            </w:r>
          </w:p>
        </w:tc>
        <w:tc>
          <w:tcPr>
            <w:tcW w:w="1142" w:type="dxa"/>
            <w:vMerge w:val="continue"/>
            <w:noWrap w:val="0"/>
            <w:vAlign w:val="center"/>
          </w:tcPr>
          <w:p>
            <w:pPr>
              <w:widowControl/>
              <w:jc w:val="left"/>
              <w:rPr>
                <w:rFonts w:hint="eastAsia" w:ascii="宋体" w:hAnsi="宋体" w:cs="宋体"/>
                <w:color w:val="000000"/>
                <w:szCs w:val="21"/>
              </w:rPr>
            </w:pPr>
          </w:p>
        </w:tc>
      </w:tr>
    </w:tbl>
    <w:p>
      <w:pPr>
        <w:tabs>
          <w:tab w:val="left" w:pos="612"/>
        </w:tabs>
        <w:jc w:val="center"/>
        <w:rPr>
          <w:rFonts w:hint="eastAsia" w:ascii="黑体" w:hAnsi="黑体" w:eastAsia="黑体" w:cs="黑体"/>
          <w:b/>
          <w:bCs/>
          <w:color w:val="000000"/>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黑体" w:hAnsi="黑体" w:eastAsia="黑体" w:cs="黑体"/>
          <w:b/>
          <w:bCs/>
          <w:color w:val="000000"/>
          <w:sz w:val="28"/>
          <w:szCs w:val="28"/>
        </w:rPr>
        <w:t>行政处罚自由裁量权</w:t>
      </w:r>
      <w:r>
        <w:rPr>
          <w:rFonts w:hint="eastAsia" w:ascii="黑体" w:hAnsi="黑体" w:eastAsia="黑体" w:cs="黑体"/>
          <w:b/>
          <w:bCs/>
          <w:color w:val="000000"/>
          <w:sz w:val="28"/>
          <w:szCs w:val="28"/>
          <w:lang w:val="en-US" w:eastAsia="zh-CN"/>
        </w:rPr>
        <w:t>细化量化工作表（表一）</w:t>
      </w:r>
    </w:p>
    <w:tbl>
      <w:tblPr>
        <w:tblStyle w:val="5"/>
        <w:tblpPr w:leftFromText="180" w:rightFromText="180" w:vertAnchor="page" w:horzAnchor="page" w:tblpX="1701" w:tblpY="2793"/>
        <w:tblOverlap w:val="never"/>
        <w:tblW w:w="14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32"/>
        <w:gridCol w:w="1487"/>
        <w:gridCol w:w="2250"/>
        <w:gridCol w:w="1372"/>
        <w:gridCol w:w="1221"/>
        <w:gridCol w:w="2016"/>
        <w:gridCol w:w="2073"/>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15" w:type="dxa"/>
            <w:noWrap w:val="0"/>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序号</w:t>
            </w:r>
          </w:p>
        </w:tc>
        <w:tc>
          <w:tcPr>
            <w:tcW w:w="163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违法行为</w:t>
            </w:r>
          </w:p>
        </w:tc>
        <w:tc>
          <w:tcPr>
            <w:tcW w:w="1487"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违反条款</w:t>
            </w:r>
          </w:p>
        </w:tc>
        <w:tc>
          <w:tcPr>
            <w:tcW w:w="2250"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处罚依据</w:t>
            </w:r>
          </w:p>
        </w:tc>
        <w:tc>
          <w:tcPr>
            <w:tcW w:w="1372"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处罚种类</w:t>
            </w:r>
          </w:p>
        </w:tc>
        <w:tc>
          <w:tcPr>
            <w:tcW w:w="1221" w:type="dxa"/>
            <w:noWrap w:val="0"/>
            <w:vAlign w:val="center"/>
          </w:tcPr>
          <w:p>
            <w:pPr>
              <w:widowControl/>
              <w:jc w:val="center"/>
              <w:rPr>
                <w:rFonts w:hint="eastAsia" w:ascii="黑体" w:hAnsi="黑体" w:eastAsia="黑体" w:cs="黑体"/>
                <w:b/>
                <w:bCs/>
                <w:color w:val="000000"/>
                <w:kern w:val="0"/>
                <w:szCs w:val="21"/>
              </w:rPr>
            </w:pPr>
            <w:r>
              <w:rPr>
                <w:rFonts w:hint="eastAsia" w:ascii="宋体" w:hAnsi="宋体" w:cs="宋体"/>
                <w:b/>
                <w:bCs/>
                <w:color w:val="000000"/>
                <w:kern w:val="0"/>
                <w:szCs w:val="21"/>
              </w:rPr>
              <w:t>裁量档次</w:t>
            </w:r>
          </w:p>
        </w:tc>
        <w:tc>
          <w:tcPr>
            <w:tcW w:w="2016"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违法情节和</w:t>
            </w:r>
            <w:r>
              <w:rPr>
                <w:rFonts w:hint="eastAsia" w:ascii="宋体" w:hAnsi="宋体" w:cs="宋体"/>
                <w:b/>
                <w:color w:val="000000"/>
                <w:kern w:val="0"/>
                <w:szCs w:val="21"/>
              </w:rPr>
              <w:t>后果</w:t>
            </w:r>
          </w:p>
        </w:tc>
        <w:tc>
          <w:tcPr>
            <w:tcW w:w="2073"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处罚自由裁量基准</w:t>
            </w:r>
          </w:p>
        </w:tc>
        <w:tc>
          <w:tcPr>
            <w:tcW w:w="1142"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其他措施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815" w:type="dxa"/>
            <w:vMerge w:val="restart"/>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1632" w:type="dxa"/>
            <w:vMerge w:val="restart"/>
            <w:noWrap w:val="0"/>
            <w:vAlign w:val="center"/>
          </w:tcPr>
          <w:p>
            <w:pPr>
              <w:rPr>
                <w:rFonts w:hint="eastAsia" w:ascii="宋体" w:hAnsi="宋体" w:cs="宋体"/>
                <w:color w:val="000000"/>
                <w:szCs w:val="21"/>
              </w:rPr>
            </w:pPr>
            <w:r>
              <w:rPr>
                <w:rFonts w:hint="eastAsia" w:ascii="宋体" w:hAnsi="宋体" w:cs="宋体"/>
                <w:color w:val="000000"/>
                <w:szCs w:val="21"/>
              </w:rPr>
              <w:t>负有烈士遗属优待义务的单位不履行优待义务的</w:t>
            </w:r>
          </w:p>
        </w:tc>
        <w:tc>
          <w:tcPr>
            <w:tcW w:w="1487" w:type="dxa"/>
            <w:vMerge w:val="restart"/>
            <w:noWrap w:val="0"/>
            <w:vAlign w:val="center"/>
          </w:tcPr>
          <w:p>
            <w:pPr>
              <w:pStyle w:val="4"/>
              <w:jc w:val="both"/>
              <w:rPr>
                <w:rFonts w:hint="default" w:hAnsi="宋体" w:eastAsia="宋体"/>
                <w:bCs/>
                <w:sz w:val="21"/>
                <w:szCs w:val="21"/>
                <w:lang w:val="en-US" w:eastAsia="zh-CN"/>
              </w:rPr>
            </w:pPr>
            <w:r>
              <w:rPr>
                <w:rFonts w:hint="eastAsia" w:hAnsi="宋体"/>
                <w:bCs/>
                <w:sz w:val="21"/>
                <w:szCs w:val="21"/>
              </w:rPr>
              <w:t>《烈士褒扬条例》</w:t>
            </w:r>
            <w:r>
              <w:rPr>
                <w:rFonts w:hint="eastAsia" w:hAnsi="宋体"/>
                <w:bCs/>
                <w:sz w:val="21"/>
                <w:szCs w:val="21"/>
                <w:lang w:val="en-US" w:eastAsia="zh-CN"/>
              </w:rPr>
              <w:t>第三十五</w:t>
            </w:r>
          </w:p>
        </w:tc>
        <w:tc>
          <w:tcPr>
            <w:tcW w:w="2250" w:type="dxa"/>
            <w:vMerge w:val="restart"/>
            <w:noWrap w:val="0"/>
            <w:vAlign w:val="center"/>
          </w:tcPr>
          <w:p>
            <w:pPr>
              <w:pStyle w:val="4"/>
              <w:jc w:val="both"/>
              <w:rPr>
                <w:rFonts w:hint="eastAsia" w:ascii="宋体" w:hAnsi="宋体" w:cs="宋体"/>
                <w:color w:val="000000"/>
                <w:szCs w:val="21"/>
              </w:rPr>
            </w:pPr>
            <w:r>
              <w:rPr>
                <w:rFonts w:hint="eastAsia" w:ascii="宋体" w:hAnsi="宋体" w:cs="宋体"/>
                <w:color w:val="000000"/>
                <w:szCs w:val="21"/>
              </w:rPr>
              <w:t xml:space="preserve"> </w:t>
            </w:r>
            <w:r>
              <w:rPr>
                <w:rFonts w:hint="eastAsia" w:hAnsi="宋体" w:cs="宋体"/>
                <w:color w:val="000000"/>
                <w:szCs w:val="21"/>
                <w:lang w:val="en-US" w:eastAsia="zh-CN"/>
              </w:rPr>
              <w:t>第三十五条：</w:t>
            </w:r>
            <w:r>
              <w:rPr>
                <w:rFonts w:hint="eastAsia" w:ascii="宋体" w:hAnsi="宋体" w:cs="宋体"/>
                <w:color w:val="000000"/>
                <w:szCs w:val="21"/>
              </w:rPr>
              <w:t>负有烈士遗属优待义务的单位不履行优待义务的，由县级人民政府退役军人事务部门责令限期改正；逾期不改正的，处2000元以上1万元以下的罚款；属于国有或者国有控股企业、财政拨款的事业单位的，对直接负责的主管人员和其他直接责任人员依法给予处分。</w:t>
            </w:r>
          </w:p>
        </w:tc>
        <w:tc>
          <w:tcPr>
            <w:tcW w:w="1372" w:type="dxa"/>
            <w:vMerge w:val="restart"/>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行政处罚</w:t>
            </w:r>
          </w:p>
        </w:tc>
        <w:tc>
          <w:tcPr>
            <w:tcW w:w="1221" w:type="dxa"/>
            <w:noWrap w:val="0"/>
            <w:vAlign w:val="center"/>
          </w:tcPr>
          <w:p>
            <w:pPr>
              <w:jc w:val="center"/>
              <w:rPr>
                <w:rFonts w:hint="default"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从轻</w:t>
            </w:r>
          </w:p>
        </w:tc>
        <w:tc>
          <w:tcPr>
            <w:tcW w:w="2016" w:type="dxa"/>
            <w:noWrap w:val="0"/>
            <w:vAlign w:val="center"/>
          </w:tcPr>
          <w:p>
            <w:pPr>
              <w:rPr>
                <w:rFonts w:hint="default" w:ascii="宋体" w:hAnsi="宋体" w:cs="宋体"/>
                <w:color w:val="000000"/>
                <w:szCs w:val="21"/>
                <w:lang w:val="en-US" w:eastAsia="zh-CN"/>
              </w:rPr>
            </w:pPr>
            <w:r>
              <w:rPr>
                <w:rFonts w:hint="default" w:ascii="宋体" w:hAnsi="宋体" w:cs="宋体"/>
                <w:color w:val="000000"/>
                <w:szCs w:val="21"/>
                <w:lang w:val="en-US" w:eastAsia="zh-CN"/>
              </w:rPr>
              <w:t>负有烈士遗属优待义务的单位接到当地县级人民政府民政部门责令履行优待义务的通知后，逾期</w:t>
            </w:r>
            <w:r>
              <w:rPr>
                <w:rFonts w:hint="eastAsia" w:ascii="宋体" w:hAnsi="宋体" w:cs="宋体"/>
                <w:color w:val="000000"/>
                <w:szCs w:val="21"/>
                <w:lang w:val="en-US" w:eastAsia="zh-CN"/>
              </w:rPr>
              <w:t>10</w:t>
            </w:r>
            <w:r>
              <w:rPr>
                <w:rFonts w:hint="default" w:ascii="宋体" w:hAnsi="宋体" w:cs="宋体"/>
                <w:color w:val="000000"/>
                <w:szCs w:val="21"/>
                <w:lang w:val="en-US" w:eastAsia="zh-CN"/>
              </w:rPr>
              <w:t>日未履行的</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处以2000以上5000元以下的罚款</w:t>
            </w:r>
          </w:p>
        </w:tc>
        <w:tc>
          <w:tcPr>
            <w:tcW w:w="1142" w:type="dxa"/>
            <w:vMerge w:val="restart"/>
            <w:noWrap w:val="0"/>
            <w:vAlign w:val="center"/>
          </w:tcPr>
          <w:p>
            <w:pPr>
              <w:widowControl/>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632" w:type="dxa"/>
            <w:vMerge w:val="continue"/>
            <w:noWrap w:val="0"/>
            <w:vAlign w:val="center"/>
          </w:tcPr>
          <w:p>
            <w:pPr>
              <w:rPr>
                <w:rFonts w:hint="eastAsia" w:ascii="宋体" w:hAnsi="宋体" w:cs="宋体"/>
                <w:color w:val="000000"/>
                <w:szCs w:val="21"/>
              </w:rPr>
            </w:pPr>
          </w:p>
        </w:tc>
        <w:tc>
          <w:tcPr>
            <w:tcW w:w="1487" w:type="dxa"/>
            <w:vMerge w:val="continue"/>
            <w:noWrap w:val="0"/>
            <w:vAlign w:val="center"/>
          </w:tcPr>
          <w:p>
            <w:pPr>
              <w:pStyle w:val="4"/>
              <w:jc w:val="both"/>
              <w:rPr>
                <w:rStyle w:val="7"/>
                <w:rFonts w:hint="eastAsia" w:hAnsi="宋体"/>
                <w:b w:val="0"/>
                <w:sz w:val="21"/>
                <w:szCs w:val="21"/>
              </w:rPr>
            </w:pPr>
          </w:p>
        </w:tc>
        <w:tc>
          <w:tcPr>
            <w:tcW w:w="2250" w:type="dxa"/>
            <w:vMerge w:val="continue"/>
            <w:noWrap w:val="0"/>
            <w:vAlign w:val="center"/>
          </w:tcPr>
          <w:p>
            <w:pPr>
              <w:rPr>
                <w:rStyle w:val="7"/>
                <w:rFonts w:hint="eastAsia" w:ascii="宋体" w:hAnsi="宋体" w:cs="宋体"/>
                <w:b w:val="0"/>
                <w:color w:val="000000"/>
                <w:szCs w:val="21"/>
              </w:rPr>
            </w:pPr>
          </w:p>
        </w:tc>
        <w:tc>
          <w:tcPr>
            <w:tcW w:w="1372"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黑体" w:hAnsi="黑体" w:eastAsia="黑体" w:cs="黑体"/>
                <w:color w:val="000000"/>
                <w:kern w:val="0"/>
                <w:szCs w:val="21"/>
                <w:lang w:val="en-US" w:eastAsia="zh-CN"/>
              </w:rPr>
            </w:pPr>
            <w:r>
              <w:rPr>
                <w:rFonts w:hint="eastAsia" w:ascii="黑体" w:hAnsi="黑体" w:eastAsia="黑体" w:cs="黑体"/>
                <w:color w:val="000000"/>
                <w:kern w:val="0"/>
                <w:szCs w:val="21"/>
                <w:lang w:val="en-US" w:eastAsia="zh-CN"/>
              </w:rPr>
              <w:t>一般</w:t>
            </w:r>
          </w:p>
        </w:tc>
        <w:tc>
          <w:tcPr>
            <w:tcW w:w="2016" w:type="dxa"/>
            <w:noWrap w:val="0"/>
            <w:vAlign w:val="center"/>
          </w:tcPr>
          <w:p>
            <w:pPr>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负有烈士遗属优待义务的单位接到当地县级人民政府民政部门责令履行优待义务的通知后，逾期</w:t>
            </w:r>
            <w:r>
              <w:rPr>
                <w:rFonts w:hint="eastAsia" w:ascii="宋体" w:hAnsi="宋体" w:cs="宋体"/>
                <w:color w:val="000000"/>
                <w:szCs w:val="21"/>
                <w:lang w:val="en-US" w:eastAsia="zh-CN"/>
              </w:rPr>
              <w:t>15</w:t>
            </w:r>
            <w:r>
              <w:rPr>
                <w:rFonts w:hint="default" w:ascii="宋体" w:hAnsi="宋体" w:eastAsia="宋体" w:cs="宋体"/>
                <w:color w:val="000000"/>
                <w:szCs w:val="21"/>
                <w:lang w:val="en-US" w:eastAsia="zh-CN"/>
              </w:rPr>
              <w:t>日未履行的</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处以5000以上8000元以下的罚款</w:t>
            </w:r>
          </w:p>
        </w:tc>
        <w:tc>
          <w:tcPr>
            <w:tcW w:w="1142" w:type="dxa"/>
            <w:vMerge w:val="continue"/>
            <w:noWrap w:val="0"/>
            <w:vAlign w:val="center"/>
          </w:tcPr>
          <w:p>
            <w:pPr>
              <w:widowControl/>
              <w:jc w:val="lef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5" w:hRule="atLeast"/>
        </w:trPr>
        <w:tc>
          <w:tcPr>
            <w:tcW w:w="815" w:type="dxa"/>
            <w:vMerge w:val="continue"/>
            <w:noWrap w:val="0"/>
            <w:vAlign w:val="center"/>
          </w:tcPr>
          <w:p>
            <w:pPr>
              <w:widowControl/>
              <w:jc w:val="left"/>
              <w:rPr>
                <w:rStyle w:val="7"/>
                <w:rFonts w:hint="eastAsia" w:ascii="宋体" w:hAnsi="宋体" w:cs="宋体"/>
                <w:b w:val="0"/>
                <w:color w:val="000000"/>
                <w:szCs w:val="21"/>
              </w:rPr>
            </w:pPr>
          </w:p>
        </w:tc>
        <w:tc>
          <w:tcPr>
            <w:tcW w:w="1632" w:type="dxa"/>
            <w:vMerge w:val="continue"/>
            <w:noWrap w:val="0"/>
            <w:vAlign w:val="center"/>
          </w:tcPr>
          <w:p>
            <w:pPr>
              <w:rPr>
                <w:rFonts w:hint="eastAsia" w:ascii="宋体" w:hAnsi="宋体" w:cs="宋体"/>
                <w:color w:val="000000"/>
                <w:szCs w:val="21"/>
              </w:rPr>
            </w:pPr>
          </w:p>
        </w:tc>
        <w:tc>
          <w:tcPr>
            <w:tcW w:w="1487" w:type="dxa"/>
            <w:vMerge w:val="continue"/>
            <w:noWrap w:val="0"/>
            <w:vAlign w:val="center"/>
          </w:tcPr>
          <w:p>
            <w:pPr>
              <w:pStyle w:val="4"/>
              <w:jc w:val="both"/>
              <w:rPr>
                <w:rStyle w:val="7"/>
                <w:rFonts w:hint="eastAsia" w:hAnsi="宋体"/>
                <w:b w:val="0"/>
                <w:sz w:val="21"/>
                <w:szCs w:val="21"/>
              </w:rPr>
            </w:pPr>
          </w:p>
        </w:tc>
        <w:tc>
          <w:tcPr>
            <w:tcW w:w="2250" w:type="dxa"/>
            <w:vMerge w:val="continue"/>
            <w:noWrap w:val="0"/>
            <w:vAlign w:val="center"/>
          </w:tcPr>
          <w:p>
            <w:pPr>
              <w:rPr>
                <w:rStyle w:val="7"/>
                <w:rFonts w:hint="eastAsia" w:ascii="宋体" w:hAnsi="宋体" w:cs="宋体"/>
                <w:b w:val="0"/>
                <w:color w:val="000000"/>
                <w:szCs w:val="21"/>
              </w:rPr>
            </w:pPr>
          </w:p>
        </w:tc>
        <w:tc>
          <w:tcPr>
            <w:tcW w:w="1372" w:type="dxa"/>
            <w:vMerge w:val="continue"/>
            <w:noWrap w:val="0"/>
            <w:vAlign w:val="center"/>
          </w:tcPr>
          <w:p>
            <w:pPr>
              <w:jc w:val="center"/>
              <w:rPr>
                <w:rFonts w:hint="eastAsia" w:ascii="黑体" w:hAnsi="黑体" w:eastAsia="黑体" w:cs="黑体"/>
                <w:color w:val="000000"/>
                <w:kern w:val="0"/>
                <w:szCs w:val="21"/>
              </w:rPr>
            </w:pPr>
          </w:p>
        </w:tc>
        <w:tc>
          <w:tcPr>
            <w:tcW w:w="1221" w:type="dxa"/>
            <w:noWrap w:val="0"/>
            <w:vAlign w:val="center"/>
          </w:tcPr>
          <w:p>
            <w:pPr>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严重</w:t>
            </w:r>
          </w:p>
        </w:tc>
        <w:tc>
          <w:tcPr>
            <w:tcW w:w="2016" w:type="dxa"/>
            <w:noWrap w:val="0"/>
            <w:vAlign w:val="center"/>
          </w:tcPr>
          <w:p>
            <w:pPr>
              <w:rPr>
                <w:rFonts w:hint="default" w:ascii="宋体" w:hAnsi="宋体" w:eastAsia="宋体" w:cs="宋体"/>
                <w:color w:val="000000"/>
                <w:kern w:val="0"/>
                <w:szCs w:val="21"/>
                <w:lang w:val="en-US" w:eastAsia="zh-CN"/>
              </w:rPr>
            </w:pPr>
            <w:r>
              <w:rPr>
                <w:rFonts w:hint="default" w:ascii="宋体" w:hAnsi="宋体" w:cs="宋体"/>
                <w:color w:val="000000"/>
                <w:szCs w:val="21"/>
                <w:lang w:val="en-US" w:eastAsia="zh-CN"/>
              </w:rPr>
              <w:t>负有烈士遗属优待义务的单位接到当地县级人民政府民政部门责令履行优待义务的通知后，逾期</w:t>
            </w:r>
            <w:r>
              <w:rPr>
                <w:rFonts w:hint="eastAsia" w:ascii="宋体" w:hAnsi="宋体" w:cs="宋体"/>
                <w:color w:val="000000"/>
                <w:szCs w:val="21"/>
                <w:lang w:val="en-US" w:eastAsia="zh-CN"/>
              </w:rPr>
              <w:t>20</w:t>
            </w:r>
            <w:r>
              <w:rPr>
                <w:rFonts w:hint="default" w:ascii="宋体" w:hAnsi="宋体" w:cs="宋体"/>
                <w:color w:val="000000"/>
                <w:szCs w:val="21"/>
                <w:lang w:val="en-US" w:eastAsia="zh-CN"/>
              </w:rPr>
              <w:t>日未履行的</w:t>
            </w:r>
          </w:p>
        </w:tc>
        <w:tc>
          <w:tcPr>
            <w:tcW w:w="2073" w:type="dxa"/>
            <w:noWrap w:val="0"/>
            <w:vAlign w:val="center"/>
          </w:tcPr>
          <w:p>
            <w:pPr>
              <w:widowControl/>
              <w:rPr>
                <w:rFonts w:hint="default" w:ascii="宋体" w:hAnsi="宋体" w:cs="宋体"/>
                <w:color w:val="000000"/>
                <w:szCs w:val="21"/>
                <w:lang w:val="en-US" w:eastAsia="zh-CN"/>
              </w:rPr>
            </w:pPr>
            <w:r>
              <w:rPr>
                <w:rFonts w:hint="default" w:ascii="宋体" w:hAnsi="宋体" w:cs="宋体"/>
                <w:color w:val="000000"/>
                <w:szCs w:val="21"/>
                <w:lang w:val="en-US" w:eastAsia="zh-CN"/>
              </w:rPr>
              <w:t>处以8000元以上10000元以下的罚款。</w:t>
            </w:r>
          </w:p>
        </w:tc>
        <w:tc>
          <w:tcPr>
            <w:tcW w:w="1142" w:type="dxa"/>
            <w:vMerge w:val="continue"/>
            <w:noWrap w:val="0"/>
            <w:vAlign w:val="center"/>
          </w:tcPr>
          <w:p>
            <w:pPr>
              <w:widowControl/>
              <w:jc w:val="left"/>
              <w:rPr>
                <w:rFonts w:hint="eastAsia" w:ascii="宋体" w:hAnsi="宋体" w:cs="宋体"/>
                <w:color w:val="000000"/>
                <w:szCs w:val="21"/>
              </w:rPr>
            </w:pPr>
          </w:p>
        </w:tc>
      </w:tr>
    </w:tbl>
    <w:p>
      <w:pPr>
        <w:tabs>
          <w:tab w:val="left" w:pos="612"/>
        </w:tabs>
        <w:jc w:val="center"/>
        <w:rPr>
          <w:rFonts w:hint="eastAsia" w:ascii="黑体" w:hAnsi="黑体" w:eastAsia="黑体" w:cs="黑体"/>
          <w:b/>
          <w:bCs/>
          <w:color w:val="000000"/>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黑体" w:hAnsi="黑体" w:eastAsia="黑体" w:cs="黑体"/>
          <w:b/>
          <w:bCs/>
          <w:color w:val="000000"/>
          <w:sz w:val="28"/>
          <w:szCs w:val="28"/>
        </w:rPr>
        <w:t>行政处罚自由裁量权</w:t>
      </w:r>
      <w:r>
        <w:rPr>
          <w:rFonts w:hint="eastAsia" w:ascii="黑体" w:hAnsi="黑体" w:eastAsia="黑体" w:cs="黑体"/>
          <w:b/>
          <w:bCs/>
          <w:color w:val="000000"/>
          <w:sz w:val="28"/>
          <w:szCs w:val="28"/>
          <w:lang w:val="en-US" w:eastAsia="zh-CN"/>
        </w:rPr>
        <w:t>细化量化工作表（表一）</w:t>
      </w:r>
    </w:p>
    <w:p>
      <w:pPr>
        <w:tabs>
          <w:tab w:val="left" w:pos="612"/>
        </w:tabs>
        <w:jc w:val="both"/>
        <w:rPr>
          <w:rFonts w:hint="default" w:ascii="黑体" w:hAnsi="黑体" w:eastAsia="黑体" w:cs="黑体"/>
          <w:b/>
          <w:bCs/>
          <w:color w:val="000000"/>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E431D"/>
    <w:rsid w:val="004A3E0B"/>
    <w:rsid w:val="02422497"/>
    <w:rsid w:val="04C016B5"/>
    <w:rsid w:val="066E16B1"/>
    <w:rsid w:val="0711567B"/>
    <w:rsid w:val="08FA1B3D"/>
    <w:rsid w:val="090E4203"/>
    <w:rsid w:val="0B680F49"/>
    <w:rsid w:val="0D5E244B"/>
    <w:rsid w:val="0D8E431D"/>
    <w:rsid w:val="10FA6D3D"/>
    <w:rsid w:val="125C0CEC"/>
    <w:rsid w:val="14765A47"/>
    <w:rsid w:val="190F64AE"/>
    <w:rsid w:val="19137A62"/>
    <w:rsid w:val="19F51553"/>
    <w:rsid w:val="1EC14209"/>
    <w:rsid w:val="228C4A80"/>
    <w:rsid w:val="296D1A81"/>
    <w:rsid w:val="2D80161B"/>
    <w:rsid w:val="332B7DF4"/>
    <w:rsid w:val="33690614"/>
    <w:rsid w:val="34EA3443"/>
    <w:rsid w:val="38C775DB"/>
    <w:rsid w:val="3D166218"/>
    <w:rsid w:val="40B348F3"/>
    <w:rsid w:val="41F932DB"/>
    <w:rsid w:val="429B22ED"/>
    <w:rsid w:val="42B2325C"/>
    <w:rsid w:val="4CCB1DF3"/>
    <w:rsid w:val="4D647E3E"/>
    <w:rsid w:val="4D8D6E2E"/>
    <w:rsid w:val="4E7F7313"/>
    <w:rsid w:val="51E50C8E"/>
    <w:rsid w:val="539A373B"/>
    <w:rsid w:val="53E7507A"/>
    <w:rsid w:val="617A30A5"/>
    <w:rsid w:val="688D614B"/>
    <w:rsid w:val="69155FA7"/>
    <w:rsid w:val="6D2F31D5"/>
    <w:rsid w:val="6E606413"/>
    <w:rsid w:val="76A44F7D"/>
    <w:rsid w:val="76E11A49"/>
    <w:rsid w:val="77566AEB"/>
    <w:rsid w:val="79B16CFD"/>
    <w:rsid w:val="79C35861"/>
    <w:rsid w:val="7A970864"/>
    <w:rsid w:val="7A986359"/>
    <w:rsid w:val="7D875BE7"/>
    <w:rsid w:val="7DF94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Lines="0" w:beforeAutospacing="1" w:after="100" w:afterLines="0" w:afterAutospacing="1"/>
      <w:jc w:val="left"/>
    </w:pPr>
    <w:rPr>
      <w:rFonts w:ascii="宋体" w:cs="宋体"/>
      <w:color w:val="000000"/>
      <w:kern w:val="0"/>
      <w:sz w:val="24"/>
      <w:szCs w:val="24"/>
    </w:rPr>
  </w:style>
  <w:style w:type="character" w:styleId="7">
    <w:name w:val="Strong"/>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2022-03-11T05:29:00Z</dcterms:created>
  <dc:creator>Admin</dc:creator>
  <cp:lastModifiedBy>Zoe</cp:lastModifiedBy>
  <cp:lastPrinted>2022-04-26T06:29:00Z</cp:lastPrinted>
  <dcterms:modified xsi:type="dcterms:W3CDTF">2022-08-10T01:58:39Z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2C7E2468D59844B98E7019A7ADFC8D0A</vt:lpwstr>
  </property>
</Properties>
</file>