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hint="eastAsia" w:ascii="方正小标宋_GBK" w:eastAsia="方正小标宋_GBK"/>
          <w:b/>
          <w:bCs/>
          <w:spacing w:val="20"/>
          <w:sz w:val="44"/>
          <w:szCs w:val="44"/>
        </w:rPr>
      </w:pPr>
      <w:r>
        <w:rPr>
          <w:rFonts w:hint="eastAsia" w:ascii="方正小标宋_GBK" w:eastAsia="方正小标宋_GBK"/>
          <w:b/>
          <w:bCs/>
          <w:spacing w:val="20"/>
          <w:sz w:val="44"/>
          <w:szCs w:val="44"/>
        </w:rPr>
        <w:t>博罗县集体土地征收与补偿实施细则</w:t>
      </w:r>
    </w:p>
    <w:p>
      <w:pPr>
        <w:spacing w:before="312" w:beforeLines="100" w:after="312" w:afterLines="100"/>
        <w:jc w:val="center"/>
        <w:rPr>
          <w:rFonts w:hint="eastAsia" w:ascii="方正小标宋_GBK" w:eastAsia="方正小标宋_GBK"/>
          <w:b/>
          <w:bCs/>
          <w:spacing w:val="20"/>
          <w:sz w:val="44"/>
          <w:szCs w:val="44"/>
          <w:lang w:eastAsia="zh-CN"/>
        </w:rPr>
      </w:pPr>
      <w:r>
        <w:rPr>
          <w:rFonts w:hint="eastAsia" w:ascii="方正小标宋_GBK" w:eastAsia="方正小标宋_GBK"/>
          <w:b/>
          <w:bCs/>
          <w:spacing w:val="20"/>
          <w:sz w:val="44"/>
          <w:szCs w:val="44"/>
          <w:lang w:eastAsia="zh-CN"/>
        </w:rPr>
        <w:t>（征求意见稿）</w:t>
      </w:r>
    </w:p>
    <w:p>
      <w:pPr>
        <w:pStyle w:val="31"/>
        <w:numPr>
          <w:ilvl w:val="0"/>
          <w:numId w:val="1"/>
        </w:numPr>
        <w:shd w:val="clear" w:color="auto" w:fill="FFFFFF"/>
        <w:ind w:left="0" w:firstLine="640"/>
        <w:rPr>
          <w:rFonts w:eastAsia="仿宋"/>
          <w:kern w:val="0"/>
          <w:sz w:val="32"/>
          <w:szCs w:val="32"/>
        </w:rPr>
      </w:pPr>
      <w:bookmarkStart w:id="0" w:name="_Hlk48550205"/>
      <w:r>
        <w:rPr>
          <w:rFonts w:hint="eastAsia" w:eastAsia="仿宋"/>
          <w:kern w:val="0"/>
          <w:sz w:val="32"/>
          <w:szCs w:val="32"/>
        </w:rPr>
        <w:t>【制定依据和目的】为进一步规范本县集体土地征收与补偿工作，维护被征地农村集体经济组织、农民及其他权利人的合法权益，促进经济社会和谐发展，根据《惠州市集体土地</w:t>
      </w:r>
      <w:bookmarkStart w:id="1" w:name="_Hlk71723280"/>
      <w:r>
        <w:rPr>
          <w:rFonts w:hint="eastAsia" w:eastAsia="仿宋"/>
          <w:kern w:val="0"/>
          <w:sz w:val="32"/>
          <w:szCs w:val="32"/>
        </w:rPr>
        <w:t>征收与补偿办法</w:t>
      </w:r>
      <w:bookmarkEnd w:id="1"/>
      <w:r>
        <w:rPr>
          <w:rFonts w:hint="eastAsia" w:eastAsia="仿宋"/>
          <w:kern w:val="0"/>
          <w:sz w:val="32"/>
          <w:szCs w:val="32"/>
        </w:rPr>
        <w:t>》（惠府〔2</w:t>
      </w:r>
      <w:r>
        <w:rPr>
          <w:rFonts w:eastAsia="仿宋"/>
          <w:kern w:val="0"/>
          <w:sz w:val="32"/>
          <w:szCs w:val="32"/>
        </w:rPr>
        <w:t>021</w:t>
      </w:r>
      <w:r>
        <w:rPr>
          <w:rFonts w:hint="eastAsia" w:eastAsia="仿宋"/>
          <w:kern w:val="0"/>
          <w:sz w:val="32"/>
          <w:szCs w:val="32"/>
        </w:rPr>
        <w:t>〕</w:t>
      </w:r>
      <w:r>
        <w:rPr>
          <w:rFonts w:eastAsia="仿宋"/>
          <w:kern w:val="0"/>
          <w:sz w:val="32"/>
          <w:szCs w:val="32"/>
        </w:rPr>
        <w:t>27</w:t>
      </w:r>
      <w:r>
        <w:rPr>
          <w:rFonts w:hint="eastAsia" w:eastAsia="仿宋"/>
          <w:kern w:val="0"/>
          <w:sz w:val="32"/>
          <w:szCs w:val="32"/>
        </w:rPr>
        <w:t>号，以下简称</w:t>
      </w:r>
      <w:bookmarkStart w:id="2" w:name="_Hlk71723380"/>
      <w:r>
        <w:rPr>
          <w:rFonts w:hint="eastAsia" w:eastAsia="仿宋"/>
          <w:kern w:val="0"/>
          <w:sz w:val="32"/>
          <w:szCs w:val="32"/>
        </w:rPr>
        <w:t>《</w:t>
      </w:r>
      <w:bookmarkStart w:id="3" w:name="_Hlk72588366"/>
      <w:r>
        <w:rPr>
          <w:rFonts w:hint="eastAsia" w:eastAsia="仿宋"/>
          <w:kern w:val="0"/>
          <w:sz w:val="32"/>
          <w:szCs w:val="32"/>
        </w:rPr>
        <w:t>补偿</w:t>
      </w:r>
      <w:bookmarkEnd w:id="3"/>
      <w:r>
        <w:rPr>
          <w:rFonts w:hint="eastAsia" w:eastAsia="仿宋"/>
          <w:kern w:val="0"/>
          <w:sz w:val="32"/>
          <w:szCs w:val="32"/>
        </w:rPr>
        <w:t>办法》</w:t>
      </w:r>
      <w:bookmarkEnd w:id="2"/>
      <w:r>
        <w:rPr>
          <w:rFonts w:hint="eastAsia" w:eastAsia="仿宋"/>
          <w:kern w:val="0"/>
          <w:sz w:val="32"/>
          <w:szCs w:val="32"/>
        </w:rPr>
        <w:t>），结合本县实际，制定本实施细则。</w:t>
      </w:r>
    </w:p>
    <w:p>
      <w:pPr>
        <w:pStyle w:val="31"/>
        <w:numPr>
          <w:ilvl w:val="0"/>
          <w:numId w:val="1"/>
        </w:numPr>
        <w:shd w:val="clear" w:color="auto" w:fill="FFFFFF"/>
        <w:ind w:left="0" w:firstLine="640"/>
        <w:rPr>
          <w:rFonts w:eastAsia="仿宋"/>
          <w:b/>
          <w:bCs/>
          <w:kern w:val="0"/>
          <w:sz w:val="32"/>
          <w:szCs w:val="32"/>
        </w:rPr>
      </w:pPr>
      <w:r>
        <w:rPr>
          <w:rFonts w:hint="eastAsia" w:ascii="Times New Roman" w:hAnsi="Times New Roman" w:eastAsia="仿宋"/>
          <w:kern w:val="0"/>
          <w:sz w:val="32"/>
          <w:szCs w:val="32"/>
        </w:rPr>
        <w:t>【适用范围】</w:t>
      </w:r>
      <w:r>
        <w:rPr>
          <w:rFonts w:hint="eastAsia" w:eastAsia="仿宋"/>
          <w:kern w:val="0"/>
          <w:sz w:val="32"/>
          <w:szCs w:val="32"/>
        </w:rPr>
        <w:t>本县行政区域范围内集体土地的征收与补偿适用《补偿办法》和本实施细则。</w:t>
      </w:r>
    </w:p>
    <w:p>
      <w:pPr>
        <w:pStyle w:val="31"/>
        <w:numPr>
          <w:ilvl w:val="0"/>
          <w:numId w:val="1"/>
        </w:numPr>
        <w:shd w:val="clear" w:color="auto" w:fill="FFFFFF"/>
        <w:ind w:left="0" w:firstLine="640"/>
        <w:rPr>
          <w:rFonts w:eastAsia="仿宋"/>
          <w:kern w:val="0"/>
          <w:sz w:val="32"/>
          <w:szCs w:val="32"/>
        </w:rPr>
      </w:pPr>
      <w:r>
        <w:rPr>
          <w:rFonts w:hint="eastAsia" w:eastAsia="仿宋"/>
          <w:kern w:val="0"/>
          <w:sz w:val="32"/>
          <w:szCs w:val="32"/>
        </w:rPr>
        <w:t>【工作职责】</w:t>
      </w:r>
      <w:r>
        <w:rPr>
          <w:rFonts w:eastAsia="仿宋"/>
          <w:kern w:val="0"/>
          <w:sz w:val="32"/>
          <w:szCs w:val="32"/>
        </w:rPr>
        <w:t>本县行政区域</w:t>
      </w:r>
      <w:r>
        <w:rPr>
          <w:rFonts w:hint="eastAsia" w:eastAsia="仿宋"/>
          <w:kern w:val="0"/>
          <w:sz w:val="32"/>
          <w:szCs w:val="32"/>
        </w:rPr>
        <w:t>内</w:t>
      </w:r>
      <w:r>
        <w:rPr>
          <w:rFonts w:eastAsia="仿宋"/>
          <w:kern w:val="0"/>
          <w:sz w:val="32"/>
          <w:szCs w:val="32"/>
        </w:rPr>
        <w:t>依法征收集体土地的</w:t>
      </w:r>
      <w:r>
        <w:rPr>
          <w:rFonts w:hint="eastAsia" w:eastAsia="仿宋"/>
          <w:kern w:val="0"/>
          <w:sz w:val="32"/>
          <w:szCs w:val="32"/>
        </w:rPr>
        <w:t>，由</w:t>
      </w:r>
      <w:r>
        <w:rPr>
          <w:rFonts w:eastAsia="仿宋"/>
          <w:kern w:val="0"/>
          <w:sz w:val="32"/>
          <w:szCs w:val="32"/>
        </w:rPr>
        <w:t>县人民政府</w:t>
      </w:r>
      <w:r>
        <w:rPr>
          <w:rFonts w:hint="eastAsia" w:eastAsia="仿宋"/>
          <w:kern w:val="0"/>
          <w:sz w:val="32"/>
          <w:szCs w:val="32"/>
        </w:rPr>
        <w:t>予以公告并</w:t>
      </w:r>
      <w:r>
        <w:rPr>
          <w:rFonts w:eastAsia="仿宋"/>
          <w:kern w:val="0"/>
          <w:sz w:val="32"/>
          <w:szCs w:val="32"/>
        </w:rPr>
        <w:t>组织实施</w:t>
      </w:r>
      <w:r>
        <w:rPr>
          <w:rFonts w:hint="eastAsia" w:eastAsia="仿宋"/>
          <w:kern w:val="0"/>
          <w:sz w:val="32"/>
          <w:szCs w:val="32"/>
        </w:rPr>
        <w:t>。各有关单位和部门应当明确职责、密切配合，共同推进</w:t>
      </w:r>
      <w:r>
        <w:rPr>
          <w:rFonts w:hint="eastAsia" w:eastAsia="仿宋"/>
          <w:color w:val="000000" w:themeColor="text1"/>
          <w:kern w:val="0"/>
          <w:sz w:val="32"/>
          <w:szCs w:val="32"/>
          <w14:textFill>
            <w14:solidFill>
              <w14:schemeClr w14:val="tx1"/>
            </w14:solidFill>
          </w14:textFill>
        </w:rPr>
        <w:t>土地征收</w:t>
      </w:r>
      <w:r>
        <w:rPr>
          <w:rFonts w:hint="eastAsia" w:eastAsia="仿宋"/>
          <w:kern w:val="0"/>
          <w:sz w:val="32"/>
          <w:szCs w:val="32"/>
        </w:rPr>
        <w:t>工作，各有关单位和部门的征地工作职责如下：</w:t>
      </w:r>
    </w:p>
    <w:bookmarkEnd w:id="0"/>
    <w:p>
      <w:pPr>
        <w:pStyle w:val="26"/>
        <w:widowControl w:val="0"/>
        <w:numPr>
          <w:ilvl w:val="2"/>
          <w:numId w:val="2"/>
        </w:numPr>
        <w:tabs>
          <w:tab w:val="left" w:pos="1418"/>
          <w:tab w:val="left" w:pos="2127"/>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县自然资源局职责</w:t>
      </w:r>
    </w:p>
    <w:p>
      <w:pPr>
        <w:pStyle w:val="26"/>
        <w:widowControl w:val="0"/>
        <w:numPr>
          <w:ilvl w:val="0"/>
          <w:numId w:val="3"/>
        </w:numPr>
        <w:tabs>
          <w:tab w:val="left" w:pos="993"/>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负责拟定征收土地预公告，报</w:t>
      </w:r>
      <w:r>
        <w:rPr>
          <w:rFonts w:eastAsia="仿宋"/>
          <w:sz w:val="32"/>
          <w:szCs w:val="32"/>
        </w:rPr>
        <w:t>县</w:t>
      </w:r>
      <w:r>
        <w:rPr>
          <w:rFonts w:hint="eastAsia" w:ascii="Calibri" w:hAnsi="Calibri" w:eastAsia="仿宋" w:cs="Times New Roman"/>
          <w:kern w:val="2"/>
          <w:sz w:val="32"/>
          <w:szCs w:val="32"/>
        </w:rPr>
        <w:t>人民政府审定发布；</w:t>
      </w:r>
    </w:p>
    <w:p>
      <w:pPr>
        <w:pStyle w:val="26"/>
        <w:widowControl w:val="0"/>
        <w:numPr>
          <w:ilvl w:val="0"/>
          <w:numId w:val="3"/>
        </w:numPr>
        <w:tabs>
          <w:tab w:val="left" w:pos="993"/>
        </w:tabs>
        <w:spacing w:before="0" w:beforeAutospacing="0" w:after="0" w:afterAutospacing="0"/>
        <w:ind w:left="0" w:firstLine="640" w:firstLineChars="200"/>
        <w:jc w:val="both"/>
        <w:rPr>
          <w:rFonts w:ascii="Calibri" w:hAnsi="Calibri" w:eastAsia="仿宋" w:cs="Times New Roman"/>
          <w:kern w:val="2"/>
          <w:sz w:val="32"/>
          <w:szCs w:val="32"/>
        </w:rPr>
      </w:pPr>
      <w:r>
        <w:rPr>
          <w:rFonts w:ascii="Times New Roman" w:hAnsi="Times New Roman" w:eastAsia="仿宋" w:cs="Times New Roman"/>
          <w:kern w:val="2"/>
          <w:sz w:val="32"/>
          <w:szCs w:val="32"/>
          <w:shd w:val="clear" w:color="auto" w:fill="FFFFFF"/>
        </w:rPr>
        <w:t>负责对拟征收土地进行勘测、定界，制作征地红线图；应用“国土调查云”等新技术为征地补偿提供技术支持</w:t>
      </w:r>
      <w:r>
        <w:rPr>
          <w:rFonts w:hint="eastAsia" w:ascii="Times New Roman" w:hAnsi="Times New Roman" w:eastAsia="仿宋" w:cs="Times New Roman"/>
          <w:kern w:val="2"/>
          <w:sz w:val="32"/>
          <w:szCs w:val="32"/>
          <w:shd w:val="clear" w:color="auto" w:fill="FFFFFF"/>
        </w:rPr>
        <w:t>；</w:t>
      </w:r>
      <w:r>
        <w:rPr>
          <w:rFonts w:ascii="Times New Roman" w:hAnsi="Times New Roman" w:eastAsia="仿宋" w:cs="Times New Roman"/>
          <w:kern w:val="2"/>
          <w:sz w:val="32"/>
          <w:szCs w:val="32"/>
          <w:shd w:val="clear" w:color="auto" w:fill="FFFFFF"/>
        </w:rPr>
        <w:t>负责对镇政府报送的征地登记表中的补偿标准是否符合规定进行审核；</w:t>
      </w:r>
    </w:p>
    <w:p>
      <w:pPr>
        <w:pStyle w:val="26"/>
        <w:widowControl w:val="0"/>
        <w:numPr>
          <w:ilvl w:val="0"/>
          <w:numId w:val="3"/>
        </w:numPr>
        <w:tabs>
          <w:tab w:val="left" w:pos="993"/>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负责社会稳定风险评估的具体工作，</w:t>
      </w:r>
      <w:r>
        <w:rPr>
          <w:rFonts w:ascii="Times New Roman" w:hAnsi="Times New Roman" w:eastAsia="仿宋"/>
          <w:sz w:val="32"/>
          <w:szCs w:val="32"/>
          <w:shd w:val="clear" w:color="auto" w:fill="FFFFFF"/>
        </w:rPr>
        <w:t>委托具备相应评估能力的第三方机构开展</w:t>
      </w:r>
      <w:r>
        <w:rPr>
          <w:rFonts w:hint="eastAsia" w:ascii="Times New Roman" w:hAnsi="Times New Roman" w:eastAsia="仿宋"/>
          <w:sz w:val="32"/>
          <w:szCs w:val="32"/>
          <w:shd w:val="clear" w:color="auto" w:fill="FFFFFF"/>
        </w:rPr>
        <w:t>；</w:t>
      </w:r>
      <w:r>
        <w:rPr>
          <w:rFonts w:ascii="Times New Roman" w:hAnsi="Times New Roman" w:eastAsia="仿宋"/>
          <w:sz w:val="32"/>
          <w:szCs w:val="32"/>
          <w:shd w:val="clear" w:color="auto" w:fill="FFFFFF"/>
        </w:rPr>
        <w:t>开展社会稳定风险评估的费用列入征地成本</w:t>
      </w:r>
      <w:r>
        <w:rPr>
          <w:rFonts w:hint="eastAsia" w:ascii="Times New Roman" w:hAnsi="Times New Roman" w:eastAsia="仿宋"/>
          <w:sz w:val="32"/>
          <w:szCs w:val="32"/>
          <w:shd w:val="clear" w:color="auto" w:fill="FFFFFF"/>
        </w:rPr>
        <w:t>；</w:t>
      </w:r>
      <w:r>
        <w:rPr>
          <w:rFonts w:ascii="Times New Roman" w:hAnsi="Times New Roman" w:eastAsia="仿宋" w:cs="Times New Roman"/>
          <w:sz w:val="32"/>
          <w:szCs w:val="32"/>
          <w:shd w:val="clear" w:color="auto" w:fill="FFFFFF"/>
        </w:rPr>
        <w:t>按规定将《社会稳定风险评估报告</w:t>
      </w:r>
      <w:r>
        <w:rPr>
          <w:rFonts w:hint="eastAsia" w:ascii="Times New Roman" w:hAnsi="Times New Roman" w:eastAsia="仿宋" w:cs="Times New Roman"/>
          <w:sz w:val="32"/>
          <w:szCs w:val="32"/>
          <w:shd w:val="clear" w:color="auto" w:fill="FFFFFF"/>
        </w:rPr>
        <w:t>》</w:t>
      </w:r>
      <w:r>
        <w:rPr>
          <w:rFonts w:ascii="Times New Roman" w:hAnsi="Times New Roman" w:eastAsia="仿宋" w:cs="Times New Roman"/>
          <w:sz w:val="32"/>
          <w:szCs w:val="32"/>
          <w:shd w:val="clear" w:color="auto" w:fill="FFFFFF"/>
        </w:rPr>
        <w:t>报送县人民政府审定。</w:t>
      </w:r>
    </w:p>
    <w:p>
      <w:pPr>
        <w:pStyle w:val="26"/>
        <w:widowControl w:val="0"/>
        <w:numPr>
          <w:ilvl w:val="0"/>
          <w:numId w:val="3"/>
        </w:numPr>
        <w:tabs>
          <w:tab w:val="left" w:pos="993"/>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会同县财政局、县农业农村局、县人力资源和社会保障局等有关部门，</w:t>
      </w:r>
      <w:bookmarkStart w:id="4" w:name="_Hlk73450728"/>
      <w:r>
        <w:rPr>
          <w:rFonts w:hint="eastAsia" w:ascii="Calibri" w:hAnsi="Calibri" w:eastAsia="仿宋" w:cs="Times New Roman"/>
          <w:kern w:val="2"/>
          <w:sz w:val="32"/>
          <w:szCs w:val="32"/>
        </w:rPr>
        <w:t>拟定征地补偿安置方案，报县人民政府审批；</w:t>
      </w:r>
      <w:bookmarkEnd w:id="4"/>
    </w:p>
    <w:p>
      <w:pPr>
        <w:pStyle w:val="26"/>
        <w:widowControl w:val="0"/>
        <w:numPr>
          <w:ilvl w:val="0"/>
          <w:numId w:val="3"/>
        </w:numPr>
        <w:tabs>
          <w:tab w:val="left" w:pos="993"/>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推行征地补偿安置信息公开，负责组织征地补偿安置方案听证工作；</w:t>
      </w:r>
    </w:p>
    <w:p>
      <w:pPr>
        <w:pStyle w:val="26"/>
        <w:widowControl w:val="0"/>
        <w:numPr>
          <w:ilvl w:val="0"/>
          <w:numId w:val="3"/>
        </w:numPr>
        <w:tabs>
          <w:tab w:val="left" w:pos="993"/>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受县人民政府委托，与被征收土地的所有权人直接签订征地补偿协议；</w:t>
      </w:r>
    </w:p>
    <w:p>
      <w:pPr>
        <w:pStyle w:val="26"/>
        <w:widowControl w:val="0"/>
        <w:numPr>
          <w:ilvl w:val="0"/>
          <w:numId w:val="3"/>
        </w:numPr>
        <w:tabs>
          <w:tab w:val="left" w:pos="993"/>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按照《惠州市人民政府办公室关于加强土地征收征用盘整补偿及出让项目评审管理工作的实施意见》（惠府办〔2020〕1号，以下简称《评审实施意见》）的规定对镇人民政府报送的初步评估结果报告进行审核；</w:t>
      </w:r>
    </w:p>
    <w:p>
      <w:pPr>
        <w:pStyle w:val="26"/>
        <w:widowControl w:val="0"/>
        <w:numPr>
          <w:ilvl w:val="0"/>
          <w:numId w:val="3"/>
        </w:numPr>
        <w:tabs>
          <w:tab w:val="left" w:pos="993"/>
        </w:tabs>
        <w:spacing w:before="0" w:beforeAutospacing="0" w:after="0" w:afterAutospacing="0"/>
        <w:ind w:left="0" w:firstLine="640" w:firstLineChars="200"/>
        <w:jc w:val="both"/>
        <w:rPr>
          <w:rFonts w:ascii="Calibri" w:hAnsi="Calibri" w:eastAsia="仿宋" w:cs="Times New Roman"/>
          <w:kern w:val="2"/>
          <w:sz w:val="32"/>
          <w:szCs w:val="32"/>
        </w:rPr>
      </w:pPr>
      <w:bookmarkStart w:id="5" w:name="_Hlk72350235"/>
      <w:r>
        <w:rPr>
          <w:rFonts w:hint="eastAsia" w:ascii="Calibri" w:hAnsi="Calibri" w:eastAsia="仿宋" w:cs="Times New Roman"/>
          <w:kern w:val="2"/>
          <w:sz w:val="32"/>
          <w:szCs w:val="32"/>
        </w:rPr>
        <w:t>负责按规定审核征地补偿预估费用并报县人民政府审定后落实征地补偿所需资金，征地补偿所需资金应当预存到县自然资源局指定的专用账户</w:t>
      </w:r>
      <w:bookmarkEnd w:id="5"/>
      <w:r>
        <w:rPr>
          <w:rFonts w:hint="eastAsia" w:ascii="Calibri" w:hAnsi="Calibri" w:eastAsia="仿宋" w:cs="Times New Roman"/>
          <w:kern w:val="2"/>
          <w:sz w:val="32"/>
          <w:szCs w:val="32"/>
        </w:rPr>
        <w:t>；</w:t>
      </w:r>
    </w:p>
    <w:p>
      <w:pPr>
        <w:pStyle w:val="26"/>
        <w:widowControl w:val="0"/>
        <w:numPr>
          <w:ilvl w:val="2"/>
          <w:numId w:val="2"/>
        </w:numPr>
        <w:tabs>
          <w:tab w:val="left" w:pos="1418"/>
          <w:tab w:val="left" w:pos="2127"/>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县财政局职责</w:t>
      </w:r>
    </w:p>
    <w:p>
      <w:pPr>
        <w:pStyle w:val="26"/>
        <w:widowControl w:val="0"/>
        <w:numPr>
          <w:ilvl w:val="0"/>
          <w:numId w:val="4"/>
        </w:numPr>
        <w:tabs>
          <w:tab w:val="left" w:pos="993"/>
          <w:tab w:val="left" w:pos="1134"/>
        </w:tabs>
        <w:spacing w:before="0" w:beforeAutospacing="0" w:after="0" w:afterAutospacing="0"/>
        <w:jc w:val="both"/>
        <w:rPr>
          <w:rFonts w:ascii="Calibri" w:hAnsi="Calibri" w:eastAsia="仿宋" w:cs="Times New Roman"/>
          <w:kern w:val="2"/>
          <w:sz w:val="32"/>
          <w:szCs w:val="32"/>
        </w:rPr>
      </w:pPr>
      <w:r>
        <w:rPr>
          <w:rFonts w:hint="eastAsia" w:ascii="Calibri" w:hAnsi="Calibri" w:eastAsia="仿宋" w:cs="Times New Roman"/>
          <w:kern w:val="2"/>
          <w:sz w:val="32"/>
          <w:szCs w:val="32"/>
        </w:rPr>
        <w:t>协助编制征地补偿安置方案；</w:t>
      </w:r>
    </w:p>
    <w:p>
      <w:pPr>
        <w:pStyle w:val="26"/>
        <w:widowControl w:val="0"/>
        <w:numPr>
          <w:ilvl w:val="0"/>
          <w:numId w:val="4"/>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负责政府项目征地资金的筹集；对宗地的征地补偿预决算在县自然资源局初审后进行审核，资金的拨付及监督管理；</w:t>
      </w:r>
    </w:p>
    <w:p>
      <w:pPr>
        <w:pStyle w:val="26"/>
        <w:widowControl w:val="0"/>
        <w:numPr>
          <w:ilvl w:val="2"/>
          <w:numId w:val="2"/>
        </w:numPr>
        <w:tabs>
          <w:tab w:val="left" w:pos="1418"/>
          <w:tab w:val="left" w:pos="2127"/>
        </w:tabs>
        <w:spacing w:before="0" w:beforeAutospacing="0" w:after="0" w:afterAutospacing="0"/>
        <w:ind w:left="0" w:firstLine="640" w:firstLineChars="200"/>
        <w:jc w:val="both"/>
        <w:rPr>
          <w:rFonts w:ascii="Calibri" w:hAnsi="Calibri" w:eastAsia="仿宋" w:cs="Times New Roman"/>
          <w:kern w:val="2"/>
          <w:sz w:val="32"/>
          <w:szCs w:val="32"/>
        </w:rPr>
      </w:pPr>
      <w:r>
        <w:rPr>
          <w:rFonts w:ascii="Times New Roman" w:hAnsi="Times New Roman" w:eastAsia="仿宋" w:cs="Times New Roman"/>
          <w:kern w:val="2"/>
          <w:sz w:val="32"/>
          <w:szCs w:val="32"/>
          <w:shd w:val="clear" w:color="auto" w:fill="FFFFFF"/>
        </w:rPr>
        <w:t>镇人民政府</w:t>
      </w:r>
      <w:r>
        <w:rPr>
          <w:rFonts w:hint="eastAsia" w:ascii="Calibri" w:hAnsi="Calibri" w:eastAsia="仿宋" w:cs="Times New Roman"/>
          <w:kern w:val="2"/>
          <w:sz w:val="32"/>
          <w:szCs w:val="32"/>
        </w:rPr>
        <w:t>职责</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负责土地征收预公告、征地补偿安置方案公告、征地公告、补偿登记表、听证告知书、现状调查表等有关资料的张贴、公示、送达；</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eastAsia="仿宋"/>
          <w:sz w:val="32"/>
          <w:szCs w:val="32"/>
        </w:rPr>
        <w:t>负责宣传、动员被征地农村集体经济组织、农民及其他权利人配合开展征地相关工作；</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对拟征收土地权属、地类及土地上的村民住宅、村民住宅以外的房屋、其他地上附着物和青苗的权属、种类、数量等进行现状调查，调查时应当进行录像及拍照；调查结果确认表应当由权利人、农村集体经济组织及镇人民政府确认，确认方式包括签字、盖章及法律允许的其他方式，在拟征收土地上的镇和村、村民小组范围内张贴公示，公示时间不少3天；</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召开村民会议，听取被征地的农村集体经济组织及其成员、村民委员会和其他利害关系人对征地补偿安置方案的意见，做好会议纪要、意见收集整理和保存，并综合报县人民政府；</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ascii="Times New Roman" w:hAnsi="Times New Roman" w:eastAsia="仿宋" w:cs="Times New Roman"/>
          <w:kern w:val="2"/>
          <w:sz w:val="32"/>
          <w:szCs w:val="32"/>
          <w:shd w:val="clear" w:color="auto" w:fill="FFFFFF"/>
        </w:rPr>
        <w:t>镇人民政府</w:t>
      </w:r>
      <w:r>
        <w:rPr>
          <w:rFonts w:hint="eastAsia" w:ascii="Calibri" w:hAnsi="Calibri" w:eastAsia="仿宋" w:cs="Times New Roman"/>
          <w:kern w:val="2"/>
          <w:sz w:val="32"/>
          <w:szCs w:val="32"/>
        </w:rPr>
        <w:t>根据拟征收土地涉及需补偿的村民住宅、村民住宅以外的房屋、其他地上附着物和青苗情况，向权利人明确需要提供的具体资料（包括但不限于户口簿、身份证、结婚证、土地使用证、房产证、用地许可，建房许可、承包经营合同、租赁合同、资产的购置发票等）；</w:t>
      </w:r>
      <w:r>
        <w:rPr>
          <w:rFonts w:hint="eastAsia" w:eastAsia="仿宋"/>
          <w:sz w:val="32"/>
          <w:szCs w:val="32"/>
        </w:rPr>
        <w:t>资料提供人对资料的真实性、完整性、合法性负责，</w:t>
      </w:r>
      <w:r>
        <w:rPr>
          <w:rFonts w:ascii="Times New Roman" w:hAnsi="Times New Roman" w:eastAsia="仿宋" w:cs="Times New Roman"/>
          <w:kern w:val="2"/>
          <w:sz w:val="32"/>
          <w:szCs w:val="32"/>
          <w:shd w:val="clear" w:color="auto" w:fill="FFFFFF"/>
        </w:rPr>
        <w:t>镇人民政府</w:t>
      </w:r>
      <w:r>
        <w:rPr>
          <w:rFonts w:hint="eastAsia" w:eastAsia="仿宋"/>
          <w:sz w:val="32"/>
          <w:szCs w:val="32"/>
        </w:rPr>
        <w:t>核对人在资料复印件上写明“与原件核对一致”，并由资料提交人和核对人共同签名确认后留存；</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为第三方服务机构开展工作提供必要的条件，包括与相关当事人商定现场工作时间、收集并提交相关资料、协助配合第三方工作等；</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根据征地面积、已登记的村民住宅、村民住宅以外的房屋、其他地上附着物和青苗情况、被征地农民社会保障对象情况，按照有关标准测算项目征地补偿费用，并报</w:t>
      </w:r>
      <w:r>
        <w:rPr>
          <w:rFonts w:ascii="Times New Roman" w:hAnsi="Times New Roman" w:eastAsia="仿宋" w:cs="Times New Roman"/>
          <w:sz w:val="32"/>
          <w:szCs w:val="32"/>
        </w:rPr>
        <w:t>县自然资源局</w:t>
      </w:r>
      <w:r>
        <w:rPr>
          <w:rFonts w:hint="eastAsia" w:ascii="Times New Roman" w:hAnsi="Times New Roman" w:eastAsia="仿宋" w:cs="Times New Roman"/>
          <w:sz w:val="32"/>
          <w:szCs w:val="32"/>
        </w:rPr>
        <w:t>、县财政局审核</w:t>
      </w:r>
      <w:r>
        <w:rPr>
          <w:rFonts w:hint="eastAsia" w:ascii="Calibri" w:hAnsi="Calibri" w:eastAsia="仿宋" w:cs="Times New Roman"/>
          <w:kern w:val="2"/>
          <w:sz w:val="32"/>
          <w:szCs w:val="32"/>
        </w:rPr>
        <w:t>；</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依法对征地范围内的房屋进行调查、认定；做好</w:t>
      </w:r>
      <w:r>
        <w:rPr>
          <w:rFonts w:hint="eastAsia" w:ascii="Calibri" w:hAnsi="Calibri" w:eastAsia="仿宋" w:cs="Times New Roman"/>
          <w:color w:val="000000" w:themeColor="text1"/>
          <w:kern w:val="2"/>
          <w:sz w:val="32"/>
          <w:szCs w:val="32"/>
          <w14:textFill>
            <w14:solidFill>
              <w14:schemeClr w14:val="tx1"/>
            </w14:solidFill>
          </w14:textFill>
        </w:rPr>
        <w:t>房屋、地上附着物和青苗</w:t>
      </w:r>
      <w:r>
        <w:rPr>
          <w:rFonts w:hint="eastAsia" w:ascii="Calibri" w:hAnsi="Calibri" w:eastAsia="仿宋" w:cs="Times New Roman"/>
          <w:kern w:val="2"/>
          <w:sz w:val="32"/>
          <w:szCs w:val="32"/>
        </w:rPr>
        <w:t>补偿登记工作；</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负责组织辖区内被征地农村集体经济组织与县自然资源局签订征地协议；</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与被征收集体土地的使用权人签订村民住宅补偿安置协议、村民住宅以外的房屋及其他地上附着物和青苗补偿协议；对个别确实难以达成补偿、安置等协议的具体情况进行说明，依据补偿登记结果和补偿安置方案提出补偿安置的意见，并做好化解风险预案，报县人民政府；</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负责预防和打击拟征收土地上违法抢种、抢建等行为；</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负责清场、围挡和管理；</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监管被征地农村集体经济组织依法分配、使用征地补偿款；　</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负责做好被征地农民养老保障对象的审核工作；</w:t>
      </w:r>
    </w:p>
    <w:p>
      <w:pPr>
        <w:pStyle w:val="26"/>
        <w:widowControl w:val="0"/>
        <w:numPr>
          <w:ilvl w:val="0"/>
          <w:numId w:val="5"/>
        </w:numPr>
        <w:tabs>
          <w:tab w:val="left" w:pos="993"/>
          <w:tab w:val="left" w:pos="1134"/>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办理不动产权证及其他相关产权资料注销登记等手续，建立“一户一宅”宅基地使用权和</w:t>
      </w:r>
      <w:bookmarkStart w:id="6" w:name="_Hlk80277632"/>
      <w:r>
        <w:rPr>
          <w:rFonts w:hint="eastAsia" w:ascii="Calibri" w:hAnsi="Calibri" w:eastAsia="仿宋" w:cs="Times New Roman"/>
          <w:kern w:val="2"/>
          <w:sz w:val="32"/>
          <w:szCs w:val="32"/>
        </w:rPr>
        <w:t>村民住宅以外的住宅土地使用权</w:t>
      </w:r>
      <w:bookmarkEnd w:id="6"/>
      <w:r>
        <w:rPr>
          <w:rFonts w:hint="eastAsia" w:ascii="Calibri" w:hAnsi="Calibri" w:eastAsia="仿宋" w:cs="Times New Roman"/>
          <w:kern w:val="2"/>
          <w:sz w:val="32"/>
          <w:szCs w:val="32"/>
        </w:rPr>
        <w:t>补偿档案和台账，严格执行“一户一宅”的宅基地和村民住宅以外的住宅土地使用权补偿政策；</w:t>
      </w:r>
    </w:p>
    <w:p>
      <w:pPr>
        <w:pStyle w:val="26"/>
        <w:widowControl w:val="0"/>
        <w:numPr>
          <w:ilvl w:val="2"/>
          <w:numId w:val="2"/>
        </w:numPr>
        <w:tabs>
          <w:tab w:val="left" w:pos="1418"/>
          <w:tab w:val="left" w:pos="2127"/>
        </w:tabs>
        <w:spacing w:before="0" w:beforeAutospacing="0" w:after="0" w:afterAutospacing="0"/>
        <w:ind w:left="0" w:firstLine="640" w:firstLineChars="200"/>
        <w:jc w:val="both"/>
        <w:rPr>
          <w:rFonts w:ascii="Calibri" w:hAnsi="Calibri" w:eastAsia="仿宋" w:cs="Times New Roman"/>
          <w:color w:val="000000" w:themeColor="text1"/>
          <w:kern w:val="2"/>
          <w:sz w:val="32"/>
          <w:szCs w:val="32"/>
          <w14:textFill>
            <w14:solidFill>
              <w14:schemeClr w14:val="tx1"/>
            </w14:solidFill>
          </w14:textFill>
        </w:rPr>
      </w:pPr>
      <w:r>
        <w:rPr>
          <w:rFonts w:hint="eastAsia" w:ascii="Calibri" w:hAnsi="Calibri" w:eastAsia="仿宋" w:cs="Times New Roman"/>
          <w:color w:val="000000" w:themeColor="text1"/>
          <w:kern w:val="2"/>
          <w:sz w:val="32"/>
          <w:szCs w:val="32"/>
          <w14:textFill>
            <w14:solidFill>
              <w14:schemeClr w14:val="tx1"/>
            </w14:solidFill>
          </w14:textFill>
        </w:rPr>
        <w:t>县人力资源和社会保障局职责</w:t>
      </w:r>
    </w:p>
    <w:p>
      <w:pPr>
        <w:pStyle w:val="26"/>
        <w:widowControl w:val="0"/>
        <w:numPr>
          <w:ilvl w:val="0"/>
          <w:numId w:val="6"/>
        </w:numPr>
        <w:tabs>
          <w:tab w:val="left" w:pos="993"/>
          <w:tab w:val="left" w:pos="1134"/>
        </w:tabs>
        <w:spacing w:before="0" w:beforeAutospacing="0" w:after="0" w:afterAutospacing="0"/>
        <w:ind w:left="0" w:firstLine="640" w:firstLineChars="200"/>
        <w:jc w:val="both"/>
        <w:rPr>
          <w:rFonts w:ascii="Calibri" w:hAnsi="Calibri" w:eastAsia="仿宋" w:cs="Times New Roman"/>
          <w:color w:val="000000" w:themeColor="text1"/>
          <w:kern w:val="2"/>
          <w:sz w:val="32"/>
          <w:szCs w:val="32"/>
          <w14:textFill>
            <w14:solidFill>
              <w14:schemeClr w14:val="tx1"/>
            </w14:solidFill>
          </w14:textFill>
        </w:rPr>
      </w:pPr>
      <w:r>
        <w:rPr>
          <w:rFonts w:hint="eastAsia" w:ascii="Calibri" w:hAnsi="Calibri" w:eastAsia="仿宋" w:cs="Times New Roman"/>
          <w:color w:val="000000" w:themeColor="text1"/>
          <w:kern w:val="2"/>
          <w:sz w:val="32"/>
          <w:szCs w:val="32"/>
          <w14:textFill>
            <w14:solidFill>
              <w14:schemeClr w14:val="tx1"/>
            </w14:solidFill>
          </w14:textFill>
        </w:rPr>
        <w:t>负责收集、制作被征地农民养老保险方案的基础材料；</w:t>
      </w:r>
    </w:p>
    <w:p>
      <w:pPr>
        <w:pStyle w:val="26"/>
        <w:widowControl w:val="0"/>
        <w:numPr>
          <w:ilvl w:val="0"/>
          <w:numId w:val="6"/>
        </w:numPr>
        <w:tabs>
          <w:tab w:val="left" w:pos="993"/>
          <w:tab w:val="left" w:pos="1134"/>
        </w:tabs>
        <w:spacing w:before="0" w:beforeAutospacing="0" w:after="0" w:afterAutospacing="0"/>
        <w:ind w:left="0" w:firstLine="640" w:firstLineChars="200"/>
        <w:jc w:val="both"/>
        <w:rPr>
          <w:rFonts w:ascii="Calibri" w:hAnsi="Calibri" w:eastAsia="仿宋" w:cs="Times New Roman"/>
          <w:color w:val="000000" w:themeColor="text1"/>
          <w:kern w:val="2"/>
          <w:sz w:val="32"/>
          <w:szCs w:val="32"/>
          <w14:textFill>
            <w14:solidFill>
              <w14:schemeClr w14:val="tx1"/>
            </w14:solidFill>
          </w14:textFill>
        </w:rPr>
      </w:pPr>
      <w:r>
        <w:rPr>
          <w:rFonts w:hint="eastAsia" w:ascii="Calibri" w:hAnsi="Calibri" w:eastAsia="仿宋" w:cs="Times New Roman"/>
          <w:color w:val="000000" w:themeColor="text1"/>
          <w:kern w:val="2"/>
          <w:sz w:val="32"/>
          <w:szCs w:val="32"/>
          <w14:textFill>
            <w14:solidFill>
              <w14:schemeClr w14:val="tx1"/>
            </w14:solidFill>
          </w14:textFill>
        </w:rPr>
        <w:t>负责编辑被征地农民养老保险方案；</w:t>
      </w:r>
    </w:p>
    <w:p>
      <w:pPr>
        <w:pStyle w:val="26"/>
        <w:widowControl w:val="0"/>
        <w:numPr>
          <w:ilvl w:val="0"/>
          <w:numId w:val="6"/>
        </w:numPr>
        <w:tabs>
          <w:tab w:val="left" w:pos="993"/>
          <w:tab w:val="left" w:pos="1134"/>
        </w:tabs>
        <w:spacing w:before="0" w:beforeAutospacing="0" w:after="0" w:afterAutospacing="0"/>
        <w:ind w:left="0" w:firstLine="640" w:firstLineChars="200"/>
        <w:jc w:val="both"/>
        <w:rPr>
          <w:rFonts w:ascii="Calibri" w:hAnsi="Calibri" w:eastAsia="仿宋" w:cs="Times New Roman"/>
          <w:color w:val="000000" w:themeColor="text1"/>
          <w:kern w:val="2"/>
          <w:sz w:val="32"/>
          <w:szCs w:val="32"/>
          <w14:textFill>
            <w14:solidFill>
              <w14:schemeClr w14:val="tx1"/>
            </w14:solidFill>
          </w14:textFill>
        </w:rPr>
      </w:pPr>
      <w:r>
        <w:rPr>
          <w:rFonts w:hint="eastAsia" w:ascii="Calibri" w:hAnsi="Calibri" w:eastAsia="仿宋" w:cs="Times New Roman"/>
          <w:color w:val="000000" w:themeColor="text1"/>
          <w:kern w:val="2"/>
          <w:sz w:val="32"/>
          <w:szCs w:val="32"/>
          <w14:textFill>
            <w14:solidFill>
              <w14:schemeClr w14:val="tx1"/>
            </w14:solidFill>
          </w14:textFill>
        </w:rPr>
        <w:t>负责对接惠州市人力资源和社会保障局，协助惠州市人力资源和社会保障局出具征地的社会保障审核意见书；</w:t>
      </w:r>
    </w:p>
    <w:p>
      <w:pPr>
        <w:pStyle w:val="26"/>
        <w:widowControl w:val="0"/>
        <w:numPr>
          <w:ilvl w:val="0"/>
          <w:numId w:val="6"/>
        </w:numPr>
        <w:tabs>
          <w:tab w:val="left" w:pos="993"/>
          <w:tab w:val="left" w:pos="1134"/>
        </w:tabs>
        <w:spacing w:before="0" w:beforeAutospacing="0" w:after="0" w:afterAutospacing="0"/>
        <w:ind w:left="0" w:firstLine="640" w:firstLineChars="200"/>
        <w:jc w:val="both"/>
        <w:rPr>
          <w:rFonts w:ascii="Calibri" w:hAnsi="Calibri" w:eastAsia="仿宋" w:cs="Times New Roman"/>
          <w:color w:val="000000" w:themeColor="text1"/>
          <w:kern w:val="2"/>
          <w:sz w:val="32"/>
          <w:szCs w:val="32"/>
          <w14:textFill>
            <w14:solidFill>
              <w14:schemeClr w14:val="tx1"/>
            </w14:solidFill>
          </w14:textFill>
        </w:rPr>
      </w:pPr>
      <w:r>
        <w:rPr>
          <w:rFonts w:hint="eastAsia" w:ascii="Calibri" w:hAnsi="Calibri" w:eastAsia="仿宋" w:cs="Times New Roman"/>
          <w:color w:val="000000" w:themeColor="text1"/>
          <w:kern w:val="2"/>
          <w:sz w:val="32"/>
          <w:szCs w:val="32"/>
          <w14:textFill>
            <w14:solidFill>
              <w14:schemeClr w14:val="tx1"/>
            </w14:solidFill>
          </w14:textFill>
        </w:rPr>
        <w:t>落实被征地农民的养老保障资金的分配工作。</w:t>
      </w:r>
    </w:p>
    <w:p>
      <w:pPr>
        <w:pStyle w:val="26"/>
        <w:widowControl w:val="0"/>
        <w:numPr>
          <w:ilvl w:val="2"/>
          <w:numId w:val="2"/>
        </w:numPr>
        <w:tabs>
          <w:tab w:val="left" w:pos="1418"/>
          <w:tab w:val="left" w:pos="2127"/>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发展改革、教育、公安、民政、生态环境、林业、审计、市场监督管理、国资、税务等有关部门应当按照各自职责协同实施《补偿办法》及本实施细则。</w:t>
      </w:r>
    </w:p>
    <w:p>
      <w:pPr>
        <w:pStyle w:val="31"/>
        <w:numPr>
          <w:ilvl w:val="0"/>
          <w:numId w:val="1"/>
        </w:numPr>
        <w:shd w:val="clear" w:color="auto" w:fill="FFFFFF"/>
        <w:ind w:left="0" w:firstLine="944" w:firstLineChars="295"/>
        <w:rPr>
          <w:rFonts w:eastAsia="仿宋"/>
          <w:b/>
          <w:bCs/>
          <w:shd w:val="pct10" w:color="auto" w:fill="FFFFFF"/>
        </w:rPr>
      </w:pPr>
      <w:r>
        <w:rPr>
          <w:rFonts w:hint="eastAsia" w:eastAsia="仿宋"/>
          <w:sz w:val="32"/>
          <w:szCs w:val="32"/>
        </w:rPr>
        <w:t>【调解机构】县人民政府建立由自然资源、综治信访、民政、财政、</w:t>
      </w:r>
      <w:bookmarkStart w:id="7" w:name="_Hlk72588725"/>
      <w:r>
        <w:rPr>
          <w:rFonts w:hint="eastAsia" w:eastAsia="仿宋"/>
          <w:sz w:val="32"/>
          <w:szCs w:val="32"/>
        </w:rPr>
        <w:t>司法、</w:t>
      </w:r>
      <w:bookmarkEnd w:id="7"/>
      <w:r>
        <w:rPr>
          <w:rFonts w:hint="eastAsia" w:eastAsia="仿宋"/>
          <w:sz w:val="32"/>
          <w:szCs w:val="32"/>
        </w:rPr>
        <w:t>人力资源和社会保障、住房和城乡建设、农业农村等部门组成的征地补偿争议调解机构。县征地补偿争议调解机构应当及时调处征地补偿过程中的矛盾和纠纷，切实维护社会稳定，维护</w:t>
      </w:r>
      <w:bookmarkStart w:id="8" w:name="_Hlk73451862"/>
      <w:r>
        <w:rPr>
          <w:rFonts w:hint="eastAsia" w:eastAsia="仿宋"/>
          <w:sz w:val="32"/>
          <w:szCs w:val="32"/>
        </w:rPr>
        <w:t>被征地农村集体经济组织、农民及其他权利人</w:t>
      </w:r>
      <w:bookmarkEnd w:id="8"/>
      <w:r>
        <w:rPr>
          <w:rFonts w:hint="eastAsia" w:eastAsia="仿宋"/>
          <w:sz w:val="32"/>
          <w:szCs w:val="32"/>
        </w:rPr>
        <w:t>的合法权益，确保征地补偿行为合法、公平、公正。</w:t>
      </w:r>
    </w:p>
    <w:p>
      <w:pPr>
        <w:pStyle w:val="31"/>
        <w:numPr>
          <w:ilvl w:val="0"/>
          <w:numId w:val="1"/>
        </w:numPr>
        <w:shd w:val="clear" w:color="auto" w:fill="FFFFFF"/>
        <w:ind w:left="0" w:firstLine="640"/>
        <w:rPr>
          <w:rFonts w:eastAsia="仿宋"/>
          <w:sz w:val="32"/>
          <w:szCs w:val="32"/>
        </w:rPr>
      </w:pPr>
      <w:r>
        <w:rPr>
          <w:rFonts w:hint="eastAsia" w:eastAsia="仿宋"/>
          <w:sz w:val="32"/>
          <w:szCs w:val="32"/>
        </w:rPr>
        <w:t>【征地监管机构】县人民政府设立由县自然资源局、民政、财政、司法行政、人力资源和社会保障、农业农村、审计、纪检等部门组成的征地监管机构。负责对征地范围、程序、补偿与安置标准、补偿费用的分配、有关部门落实被征地农民社会保障等情况进行监督检查，及时纠正和查处征地工作中损害被征地农民利益的行为，保障被征地农民的合法权益。</w:t>
      </w:r>
    </w:p>
    <w:p>
      <w:pPr>
        <w:pStyle w:val="31"/>
        <w:numPr>
          <w:ilvl w:val="0"/>
          <w:numId w:val="1"/>
        </w:numPr>
        <w:shd w:val="clear" w:color="auto" w:fill="FFFFFF"/>
        <w:ind w:left="0" w:firstLine="640"/>
        <w:rPr>
          <w:rFonts w:eastAsia="仿宋"/>
          <w:sz w:val="32"/>
          <w:szCs w:val="32"/>
        </w:rPr>
      </w:pPr>
      <w:r>
        <w:rPr>
          <w:rFonts w:hint="eastAsia" w:eastAsia="仿宋"/>
          <w:sz w:val="32"/>
          <w:szCs w:val="32"/>
        </w:rPr>
        <w:t>【公证手续】被征地的农村集体经济组织、农民及其他权利人不配合</w:t>
      </w:r>
      <w:r>
        <w:rPr>
          <w:rFonts w:ascii="Times New Roman" w:hAnsi="Times New Roman" w:eastAsia="仿宋"/>
          <w:sz w:val="32"/>
          <w:szCs w:val="32"/>
          <w:shd w:val="clear" w:color="auto" w:fill="FFFFFF"/>
        </w:rPr>
        <w:t>镇人民政府</w:t>
      </w:r>
      <w:r>
        <w:rPr>
          <w:rFonts w:hint="eastAsia" w:eastAsia="仿宋"/>
          <w:sz w:val="32"/>
          <w:szCs w:val="32"/>
        </w:rPr>
        <w:t>对地上附着物和青苗进行调查、登记等工作的，</w:t>
      </w:r>
      <w:r>
        <w:rPr>
          <w:rFonts w:ascii="Times New Roman" w:hAnsi="Times New Roman" w:eastAsia="仿宋"/>
          <w:sz w:val="32"/>
          <w:szCs w:val="32"/>
          <w:shd w:val="clear" w:color="auto" w:fill="FFFFFF"/>
        </w:rPr>
        <w:t>镇人民政府</w:t>
      </w:r>
      <w:r>
        <w:rPr>
          <w:rFonts w:hint="eastAsia" w:eastAsia="仿宋"/>
          <w:sz w:val="32"/>
          <w:szCs w:val="32"/>
        </w:rPr>
        <w:t>根据《中华人民共和国公证法》及其他有关法律法规的规定办理公证手续。</w:t>
      </w:r>
    </w:p>
    <w:p>
      <w:pPr>
        <w:pStyle w:val="26"/>
        <w:spacing w:before="0" w:beforeAutospacing="0" w:after="0" w:afterAutospacing="0"/>
        <w:ind w:firstLine="640" w:firstLineChars="200"/>
        <w:rPr>
          <w:rFonts w:ascii="Calibri" w:hAnsi="Calibri" w:eastAsia="仿宋" w:cs="Times New Roman"/>
          <w:kern w:val="2"/>
          <w:sz w:val="32"/>
          <w:szCs w:val="32"/>
        </w:rPr>
      </w:pPr>
      <w:r>
        <w:rPr>
          <w:rFonts w:hint="eastAsia" w:ascii="Calibri" w:hAnsi="Calibri" w:eastAsia="仿宋" w:cs="Times New Roman"/>
          <w:kern w:val="2"/>
          <w:sz w:val="32"/>
          <w:szCs w:val="32"/>
        </w:rPr>
        <w:t>有下列情况之一，导致</w:t>
      </w:r>
      <w:r>
        <w:rPr>
          <w:rFonts w:ascii="Times New Roman" w:hAnsi="Times New Roman" w:eastAsia="仿宋" w:cs="Times New Roman"/>
          <w:kern w:val="2"/>
          <w:sz w:val="32"/>
          <w:szCs w:val="32"/>
          <w:shd w:val="clear" w:color="auto" w:fill="FFFFFF"/>
        </w:rPr>
        <w:t>镇人民政府</w:t>
      </w:r>
      <w:r>
        <w:rPr>
          <w:rFonts w:hint="eastAsia" w:ascii="Calibri" w:hAnsi="Calibri" w:eastAsia="仿宋" w:cs="Times New Roman"/>
          <w:kern w:val="2"/>
          <w:sz w:val="32"/>
          <w:szCs w:val="32"/>
        </w:rPr>
        <w:t>无法按时拨付补偿款的，</w:t>
      </w:r>
      <w:r>
        <w:rPr>
          <w:rFonts w:ascii="Times New Roman" w:hAnsi="Times New Roman" w:eastAsia="仿宋" w:cs="Times New Roman"/>
          <w:kern w:val="2"/>
          <w:sz w:val="32"/>
          <w:szCs w:val="32"/>
          <w:shd w:val="clear" w:color="auto" w:fill="FFFFFF"/>
        </w:rPr>
        <w:t>镇人民政府</w:t>
      </w:r>
      <w:r>
        <w:rPr>
          <w:rFonts w:hint="eastAsia" w:ascii="Calibri" w:hAnsi="Calibri" w:eastAsia="仿宋" w:cs="Times New Roman"/>
          <w:kern w:val="2"/>
          <w:sz w:val="32"/>
          <w:szCs w:val="32"/>
        </w:rPr>
        <w:t>应当根据《提存公证规则》等有关法律法规的规定，向公证处申请办理提存公证：</w:t>
      </w:r>
    </w:p>
    <w:p>
      <w:pPr>
        <w:pStyle w:val="26"/>
        <w:widowControl w:val="0"/>
        <w:numPr>
          <w:ilvl w:val="3"/>
          <w:numId w:val="7"/>
        </w:numPr>
        <w:tabs>
          <w:tab w:val="left" w:pos="1418"/>
          <w:tab w:val="left" w:pos="2552"/>
        </w:tabs>
        <w:spacing w:before="0" w:beforeAutospacing="0" w:after="0" w:afterAutospacing="0"/>
        <w:ind w:left="0" w:firstLine="640" w:firstLineChars="200"/>
        <w:rPr>
          <w:rFonts w:ascii="Calibri" w:hAnsi="Calibri" w:eastAsia="仿宋" w:cs="Times New Roman"/>
          <w:kern w:val="2"/>
          <w:sz w:val="32"/>
          <w:szCs w:val="32"/>
        </w:rPr>
      </w:pPr>
      <w:r>
        <w:rPr>
          <w:rFonts w:hint="eastAsia" w:ascii="Calibri" w:hAnsi="Calibri" w:eastAsia="仿宋" w:cs="Times New Roman"/>
          <w:kern w:val="2"/>
          <w:sz w:val="32"/>
          <w:szCs w:val="32"/>
        </w:rPr>
        <w:t>被征地的农村集体经济组织、农民及其他权利人无正当理由拒绝或延迟受领补偿款的；</w:t>
      </w:r>
    </w:p>
    <w:p>
      <w:pPr>
        <w:pStyle w:val="26"/>
        <w:numPr>
          <w:ilvl w:val="3"/>
          <w:numId w:val="7"/>
        </w:numPr>
        <w:tabs>
          <w:tab w:val="left" w:pos="1418"/>
          <w:tab w:val="left" w:pos="2552"/>
        </w:tabs>
        <w:spacing w:before="0" w:beforeAutospacing="0" w:after="0" w:afterAutospacing="0"/>
        <w:ind w:left="0" w:firstLine="640" w:firstLineChars="200"/>
        <w:rPr>
          <w:rFonts w:ascii="Calibri" w:hAnsi="Calibri" w:eastAsia="仿宋" w:cs="Times New Roman"/>
          <w:kern w:val="2"/>
          <w:sz w:val="32"/>
          <w:szCs w:val="32"/>
        </w:rPr>
      </w:pPr>
      <w:r>
        <w:rPr>
          <w:rFonts w:hint="eastAsia" w:ascii="Calibri" w:hAnsi="Calibri" w:eastAsia="仿宋" w:cs="Times New Roman"/>
          <w:kern w:val="2"/>
          <w:sz w:val="32"/>
          <w:szCs w:val="32"/>
        </w:rPr>
        <w:t>地上附着物或青苗的权利人不清、地址不详，或失踪、死亡其继承人不清，或无行为能力其法定代理人不清的；</w:t>
      </w:r>
    </w:p>
    <w:p>
      <w:pPr>
        <w:pStyle w:val="26"/>
        <w:numPr>
          <w:ilvl w:val="3"/>
          <w:numId w:val="7"/>
        </w:numPr>
        <w:tabs>
          <w:tab w:val="left" w:pos="1418"/>
          <w:tab w:val="left" w:pos="2552"/>
        </w:tabs>
        <w:spacing w:before="0" w:beforeAutospacing="0" w:after="0" w:afterAutospacing="0"/>
        <w:ind w:left="0" w:firstLine="640" w:firstLineChars="200"/>
        <w:rPr>
          <w:rFonts w:ascii="Calibri" w:hAnsi="Calibri" w:eastAsia="仿宋" w:cs="Times New Roman"/>
          <w:kern w:val="2"/>
          <w:sz w:val="32"/>
          <w:szCs w:val="32"/>
        </w:rPr>
      </w:pPr>
      <w:r>
        <w:rPr>
          <w:rFonts w:hint="eastAsia" w:ascii="Calibri" w:hAnsi="Calibri" w:eastAsia="仿宋" w:cs="Times New Roman"/>
          <w:kern w:val="2"/>
          <w:sz w:val="32"/>
          <w:szCs w:val="32"/>
        </w:rPr>
        <w:t>拒签补偿协议的、已签协议不领补偿款的。</w:t>
      </w:r>
    </w:p>
    <w:p>
      <w:pPr>
        <w:pStyle w:val="31"/>
        <w:numPr>
          <w:ilvl w:val="0"/>
          <w:numId w:val="1"/>
        </w:numPr>
        <w:ind w:left="0" w:firstLine="640"/>
        <w:rPr>
          <w:rFonts w:eastAsia="仿宋"/>
          <w:sz w:val="32"/>
          <w:szCs w:val="32"/>
        </w:rPr>
      </w:pPr>
      <w:r>
        <w:rPr>
          <w:rFonts w:hint="eastAsia" w:eastAsia="仿宋"/>
          <w:sz w:val="32"/>
          <w:szCs w:val="32"/>
        </w:rPr>
        <w:t>【地类认定】农村集体经济组织对土地现状调查所标注的地类有异议，应当由农村集体经济组织提出地类认定申请，</w:t>
      </w:r>
      <w:r>
        <w:rPr>
          <w:rFonts w:ascii="Times New Roman" w:hAnsi="Times New Roman" w:eastAsia="仿宋"/>
          <w:sz w:val="32"/>
          <w:szCs w:val="32"/>
          <w:shd w:val="clear" w:color="auto" w:fill="FFFFFF"/>
        </w:rPr>
        <w:t>镇人民政府</w:t>
      </w:r>
      <w:r>
        <w:rPr>
          <w:rFonts w:hint="eastAsia" w:eastAsia="仿宋"/>
          <w:sz w:val="32"/>
          <w:szCs w:val="32"/>
        </w:rPr>
        <w:t>收到地类认定申请后10天内，对拟认定地类的土地进行现场调查、收集相关地类变更的证明材料、提出地类认定意见，县自然资源局认定后报县人民政府审定。</w:t>
      </w:r>
    </w:p>
    <w:p>
      <w:pPr>
        <w:pStyle w:val="31"/>
        <w:numPr>
          <w:ilvl w:val="0"/>
          <w:numId w:val="1"/>
        </w:numPr>
        <w:shd w:val="clear" w:color="auto" w:fill="FFFFFF"/>
        <w:ind w:left="0" w:firstLine="640"/>
        <w:rPr>
          <w:rFonts w:eastAsia="仿宋"/>
          <w:color w:val="000000" w:themeColor="text1"/>
          <w:sz w:val="32"/>
          <w:szCs w:val="32"/>
          <w14:textFill>
            <w14:solidFill>
              <w14:schemeClr w14:val="tx1"/>
            </w14:solidFill>
          </w14:textFill>
        </w:rPr>
      </w:pPr>
      <w:r>
        <w:rPr>
          <w:rFonts w:hint="eastAsia" w:eastAsia="仿宋"/>
          <w:sz w:val="32"/>
          <w:szCs w:val="32"/>
        </w:rPr>
        <w:t>【边角地、夹心地】对征地过程中形成的不具备独立种养条件，形状不规则，确实难以利用或无法利用的边角地、夹心地，由涉及的农村集体经济组织向</w:t>
      </w:r>
      <w:r>
        <w:rPr>
          <w:rFonts w:eastAsia="仿宋"/>
          <w:sz w:val="32"/>
          <w:szCs w:val="32"/>
        </w:rPr>
        <w:t>镇人民政府</w:t>
      </w:r>
      <w:r>
        <w:rPr>
          <w:rFonts w:hint="eastAsia" w:eastAsia="仿宋"/>
          <w:sz w:val="32"/>
          <w:szCs w:val="32"/>
        </w:rPr>
        <w:t>提出申请，经</w:t>
      </w:r>
      <w:r>
        <w:rPr>
          <w:rFonts w:eastAsia="仿宋"/>
          <w:sz w:val="32"/>
          <w:szCs w:val="32"/>
        </w:rPr>
        <w:t>镇人民政府</w:t>
      </w:r>
      <w:r>
        <w:rPr>
          <w:rFonts w:hint="eastAsia" w:eastAsia="仿宋"/>
          <w:sz w:val="32"/>
          <w:szCs w:val="32"/>
        </w:rPr>
        <w:t>调查核实并报县人民政府同意后，可以按照《补偿办法》和本实施细则补偿地上附着物，</w:t>
      </w:r>
      <w:r>
        <w:rPr>
          <w:rFonts w:hint="eastAsia" w:eastAsia="仿宋"/>
          <w:color w:val="000000" w:themeColor="text1"/>
          <w:sz w:val="32"/>
          <w:szCs w:val="32"/>
          <w14:textFill>
            <w14:solidFill>
              <w14:schemeClr w14:val="tx1"/>
            </w14:solidFill>
          </w14:textFill>
        </w:rPr>
        <w:t>每个征地项目边角地、夹心地面积原则上不得超过征地总面积的5</w:t>
      </w:r>
      <w:r>
        <w:rPr>
          <w:rFonts w:eastAsia="仿宋"/>
          <w:color w:val="000000" w:themeColor="text1"/>
          <w:sz w:val="32"/>
          <w:szCs w:val="32"/>
          <w14:textFill>
            <w14:solidFill>
              <w14:schemeClr w14:val="tx1"/>
            </w14:solidFill>
          </w14:textFill>
        </w:rPr>
        <w:t>%</w:t>
      </w:r>
      <w:r>
        <w:rPr>
          <w:rFonts w:hint="eastAsia" w:eastAsia="仿宋"/>
          <w:color w:val="000000" w:themeColor="text1"/>
          <w:sz w:val="32"/>
          <w:szCs w:val="32"/>
          <w14:textFill>
            <w14:solidFill>
              <w14:schemeClr w14:val="tx1"/>
            </w14:solidFill>
          </w14:textFill>
        </w:rPr>
        <w:t>，且只补不征。</w:t>
      </w:r>
    </w:p>
    <w:p>
      <w:pPr>
        <w:pStyle w:val="31"/>
        <w:numPr>
          <w:ilvl w:val="0"/>
          <w:numId w:val="1"/>
        </w:numPr>
        <w:shd w:val="clear" w:color="auto" w:fill="FFFFFF"/>
        <w:ind w:left="0" w:firstLine="640"/>
        <w:rPr>
          <w:rFonts w:eastAsia="仿宋"/>
          <w:sz w:val="32"/>
          <w:szCs w:val="32"/>
        </w:rPr>
      </w:pPr>
      <w:r>
        <w:rPr>
          <w:rFonts w:hint="eastAsia" w:eastAsia="仿宋"/>
          <w:sz w:val="32"/>
          <w:szCs w:val="32"/>
        </w:rPr>
        <w:t>【土地清场、围挡、管理】被征地农村集体经济组织及其成员交付土地后，</w:t>
      </w:r>
      <w:r>
        <w:rPr>
          <w:rFonts w:ascii="Times New Roman" w:hAnsi="Times New Roman" w:eastAsia="仿宋"/>
          <w:sz w:val="32"/>
          <w:szCs w:val="32"/>
          <w:shd w:val="clear" w:color="auto" w:fill="FFFFFF"/>
        </w:rPr>
        <w:t>镇人民政府</w:t>
      </w:r>
      <w:r>
        <w:rPr>
          <w:rFonts w:hint="eastAsia" w:eastAsia="仿宋"/>
          <w:sz w:val="32"/>
          <w:szCs w:val="32"/>
        </w:rPr>
        <w:t>应当根据用地时间要求完成清场，没有明确用地时间要求的，应当在付清补偿款后30天内完成清场。土地清场后需要围挡管理的，由</w:t>
      </w:r>
      <w:r>
        <w:rPr>
          <w:rFonts w:eastAsia="仿宋"/>
          <w:sz w:val="32"/>
          <w:szCs w:val="32"/>
        </w:rPr>
        <w:t>镇人民政府</w:t>
      </w:r>
      <w:r>
        <w:rPr>
          <w:rFonts w:hint="eastAsia" w:eastAsia="仿宋"/>
          <w:sz w:val="32"/>
          <w:szCs w:val="32"/>
        </w:rPr>
        <w:t>实施，围挡费用由</w:t>
      </w:r>
      <w:r>
        <w:rPr>
          <w:rFonts w:eastAsia="仿宋"/>
          <w:sz w:val="32"/>
          <w:szCs w:val="32"/>
        </w:rPr>
        <w:t>镇人民政府</w:t>
      </w:r>
      <w:r>
        <w:rPr>
          <w:rFonts w:hint="eastAsia" w:eastAsia="仿宋"/>
          <w:sz w:val="32"/>
          <w:szCs w:val="32"/>
        </w:rPr>
        <w:t>根据实际需要制定资金预算方案，围挡所需资金由财政部门拨付</w:t>
      </w:r>
      <w:r>
        <w:rPr>
          <w:rFonts w:ascii="Times New Roman" w:hAnsi="Times New Roman" w:eastAsia="仿宋"/>
          <w:sz w:val="32"/>
          <w:szCs w:val="32"/>
          <w:shd w:val="clear" w:color="auto" w:fill="FFFFFF"/>
        </w:rPr>
        <w:t>镇人民政府</w:t>
      </w:r>
      <w:r>
        <w:rPr>
          <w:rFonts w:hint="eastAsia" w:eastAsia="仿宋"/>
          <w:sz w:val="32"/>
          <w:szCs w:val="32"/>
        </w:rPr>
        <w:t>，纳入供地成本。单独选址项目或非政府公建项目由项目单位自行围蔽。土地清场（不含房屋的清拆费）、管理费用（保证不让人在已征地范围内抢种、抢建及挖土、倒放垃圾等行为发生）为每亩5000元，列入征地成本，不计提工作经费。</w:t>
      </w:r>
    </w:p>
    <w:p>
      <w:pPr>
        <w:pStyle w:val="31"/>
        <w:numPr>
          <w:ilvl w:val="0"/>
          <w:numId w:val="1"/>
        </w:numPr>
        <w:shd w:val="clear" w:color="auto" w:fill="FFFFFF"/>
        <w:ind w:left="0" w:firstLine="640"/>
        <w:rPr>
          <w:rFonts w:eastAsia="仿宋"/>
          <w:sz w:val="32"/>
          <w:szCs w:val="32"/>
        </w:rPr>
      </w:pPr>
      <w:r>
        <w:rPr>
          <w:rFonts w:hint="eastAsia" w:eastAsia="仿宋"/>
          <w:sz w:val="32"/>
          <w:szCs w:val="32"/>
        </w:rPr>
        <w:t>【地上附着物和青苗】地上附着物和青苗补偿由镇人民政府组织实施，其程序如下：</w:t>
      </w:r>
    </w:p>
    <w:p>
      <w:pPr>
        <w:pStyle w:val="26"/>
        <w:widowControl w:val="0"/>
        <w:numPr>
          <w:ilvl w:val="0"/>
          <w:numId w:val="8"/>
        </w:numPr>
        <w:tabs>
          <w:tab w:val="left" w:pos="1134"/>
          <w:tab w:val="left" w:pos="1418"/>
        </w:tabs>
        <w:spacing w:before="0" w:beforeAutospacing="0" w:after="0" w:afterAutospacing="0" w:line="560" w:lineRule="exact"/>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确定地上附着物和青苗补偿范围，并上图标注及现场录像；</w:t>
      </w:r>
    </w:p>
    <w:p>
      <w:pPr>
        <w:pStyle w:val="26"/>
        <w:widowControl w:val="0"/>
        <w:numPr>
          <w:ilvl w:val="0"/>
          <w:numId w:val="8"/>
        </w:numPr>
        <w:tabs>
          <w:tab w:val="left" w:pos="1134"/>
          <w:tab w:val="left" w:pos="1418"/>
        </w:tabs>
        <w:spacing w:before="0" w:beforeAutospacing="0" w:after="0" w:afterAutospacing="0" w:line="560" w:lineRule="exact"/>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对地上附着物和青苗的权属、种类、数量等进行调查；</w:t>
      </w:r>
    </w:p>
    <w:p>
      <w:pPr>
        <w:pStyle w:val="26"/>
        <w:widowControl w:val="0"/>
        <w:numPr>
          <w:ilvl w:val="0"/>
          <w:numId w:val="8"/>
        </w:numPr>
        <w:tabs>
          <w:tab w:val="left" w:pos="1134"/>
          <w:tab w:val="left" w:pos="1418"/>
        </w:tabs>
        <w:spacing w:before="0" w:beforeAutospacing="0" w:after="0" w:afterAutospacing="0" w:line="560" w:lineRule="exact"/>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审核权利人提交资料，制作调查结果确认表，调查结果确认表需经权利人、农村集体经济组织及</w:t>
      </w:r>
      <w:r>
        <w:rPr>
          <w:rFonts w:ascii="Times New Roman" w:hAnsi="Times New Roman" w:eastAsia="仿宋" w:cs="Times New Roman"/>
          <w:kern w:val="2"/>
          <w:sz w:val="32"/>
          <w:szCs w:val="32"/>
          <w:shd w:val="clear" w:color="auto" w:fill="FFFFFF"/>
        </w:rPr>
        <w:t>镇人民政府</w:t>
      </w:r>
      <w:r>
        <w:rPr>
          <w:rFonts w:hint="eastAsia" w:ascii="Calibri" w:hAnsi="Calibri" w:eastAsia="仿宋" w:cs="Times New Roman"/>
          <w:kern w:val="2"/>
          <w:sz w:val="32"/>
          <w:szCs w:val="32"/>
        </w:rPr>
        <w:t>确认；</w:t>
      </w:r>
    </w:p>
    <w:p>
      <w:pPr>
        <w:pStyle w:val="26"/>
        <w:widowControl w:val="0"/>
        <w:numPr>
          <w:ilvl w:val="0"/>
          <w:numId w:val="8"/>
        </w:numPr>
        <w:tabs>
          <w:tab w:val="left" w:pos="1134"/>
          <w:tab w:val="left" w:pos="1418"/>
        </w:tabs>
        <w:spacing w:before="0" w:beforeAutospacing="0" w:after="0" w:afterAutospacing="0" w:line="560" w:lineRule="exact"/>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将调查结果确认表在</w:t>
      </w:r>
      <w:r>
        <w:rPr>
          <w:rFonts w:ascii="Times New Roman" w:hAnsi="Times New Roman" w:eastAsia="仿宋" w:cs="Times New Roman"/>
          <w:kern w:val="2"/>
          <w:sz w:val="32"/>
          <w:szCs w:val="32"/>
          <w:shd w:val="clear" w:color="auto" w:fill="FFFFFF"/>
        </w:rPr>
        <w:t>镇</w:t>
      </w:r>
      <w:r>
        <w:rPr>
          <w:rFonts w:hint="eastAsia" w:ascii="Calibri" w:hAnsi="Calibri" w:eastAsia="仿宋" w:cs="Times New Roman"/>
          <w:kern w:val="2"/>
          <w:sz w:val="32"/>
          <w:szCs w:val="32"/>
        </w:rPr>
        <w:t>和村、村民小组范围内张贴公示，公示时间不少于3天；</w:t>
      </w:r>
    </w:p>
    <w:p>
      <w:pPr>
        <w:pStyle w:val="26"/>
        <w:widowControl w:val="0"/>
        <w:numPr>
          <w:ilvl w:val="0"/>
          <w:numId w:val="8"/>
        </w:numPr>
        <w:tabs>
          <w:tab w:val="left" w:pos="1134"/>
          <w:tab w:val="left" w:pos="1418"/>
        </w:tabs>
        <w:spacing w:before="0" w:beforeAutospacing="0" w:after="0" w:afterAutospacing="0" w:line="560" w:lineRule="exact"/>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办理补偿登记并进行公示，公示时间不少于3天；</w:t>
      </w:r>
    </w:p>
    <w:p>
      <w:pPr>
        <w:pStyle w:val="26"/>
        <w:widowControl w:val="0"/>
        <w:numPr>
          <w:ilvl w:val="0"/>
          <w:numId w:val="8"/>
        </w:numPr>
        <w:tabs>
          <w:tab w:val="left" w:pos="1134"/>
          <w:tab w:val="left" w:pos="1418"/>
        </w:tabs>
        <w:spacing w:before="0" w:beforeAutospacing="0" w:after="0" w:afterAutospacing="0" w:line="560" w:lineRule="exact"/>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与权利人签订地上附着物和青苗补偿协议；</w:t>
      </w:r>
    </w:p>
    <w:p>
      <w:pPr>
        <w:pStyle w:val="26"/>
        <w:widowControl w:val="0"/>
        <w:numPr>
          <w:ilvl w:val="0"/>
          <w:numId w:val="8"/>
        </w:numPr>
        <w:tabs>
          <w:tab w:val="left" w:pos="1134"/>
          <w:tab w:val="left" w:pos="1418"/>
        </w:tabs>
        <w:spacing w:before="0" w:beforeAutospacing="0" w:after="0" w:afterAutospacing="0" w:line="560" w:lineRule="exact"/>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土地征收申请依法批准后，</w:t>
      </w:r>
      <w:r>
        <w:rPr>
          <w:rFonts w:ascii="Times New Roman" w:hAnsi="Times New Roman" w:eastAsia="仿宋" w:cs="Times New Roman"/>
          <w:kern w:val="2"/>
          <w:sz w:val="32"/>
          <w:szCs w:val="32"/>
          <w:shd w:val="clear" w:color="auto" w:fill="FFFFFF"/>
        </w:rPr>
        <w:t>镇人民政府</w:t>
      </w:r>
      <w:r>
        <w:rPr>
          <w:rFonts w:hint="eastAsia" w:ascii="Calibri" w:hAnsi="Calibri" w:eastAsia="仿宋" w:cs="Times New Roman"/>
          <w:kern w:val="2"/>
          <w:sz w:val="32"/>
          <w:szCs w:val="32"/>
        </w:rPr>
        <w:t>履行审核、审批等程序，支付地上附着物及青苗补偿款。</w:t>
      </w:r>
    </w:p>
    <w:p>
      <w:pPr>
        <w:pStyle w:val="31"/>
        <w:numPr>
          <w:ilvl w:val="0"/>
          <w:numId w:val="1"/>
        </w:numPr>
        <w:shd w:val="clear" w:color="auto" w:fill="FFFFFF"/>
        <w:tabs>
          <w:tab w:val="left" w:pos="1985"/>
        </w:tabs>
        <w:ind w:left="0" w:firstLine="640"/>
        <w:rPr>
          <w:rFonts w:eastAsia="仿宋"/>
          <w:sz w:val="32"/>
          <w:szCs w:val="32"/>
        </w:rPr>
      </w:pPr>
      <w:r>
        <w:rPr>
          <w:rFonts w:hint="eastAsia" w:eastAsia="仿宋"/>
          <w:sz w:val="32"/>
          <w:szCs w:val="32"/>
        </w:rPr>
        <w:t>【工作经费】征收工作经费按照以下比例分配：</w:t>
      </w:r>
    </w:p>
    <w:p>
      <w:pPr>
        <w:pStyle w:val="26"/>
        <w:spacing w:before="0" w:beforeAutospacing="0" w:after="0" w:afterAutospacing="0"/>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县自然资源局3</w:t>
      </w:r>
      <w:r>
        <w:rPr>
          <w:rFonts w:ascii="仿宋" w:hAnsi="仿宋" w:eastAsia="仿宋" w:cs="Times New Roman"/>
          <w:kern w:val="2"/>
          <w:sz w:val="32"/>
          <w:szCs w:val="32"/>
        </w:rPr>
        <w:t>0</w:t>
      </w:r>
      <w:r>
        <w:rPr>
          <w:rFonts w:hint="eastAsia" w:ascii="仿宋" w:hAnsi="仿宋" w:eastAsia="仿宋" w:cs="Times New Roman"/>
          <w:kern w:val="2"/>
          <w:sz w:val="32"/>
          <w:szCs w:val="32"/>
        </w:rPr>
        <w:t>%；</w:t>
      </w:r>
      <w:r>
        <w:rPr>
          <w:rFonts w:ascii="Times New Roman" w:hAnsi="Times New Roman" w:eastAsia="仿宋" w:cs="Times New Roman"/>
          <w:kern w:val="2"/>
          <w:sz w:val="32"/>
          <w:szCs w:val="32"/>
          <w:shd w:val="clear" w:color="auto" w:fill="FFFFFF"/>
        </w:rPr>
        <w:t>镇人民政府</w:t>
      </w:r>
      <w:r>
        <w:rPr>
          <w:rFonts w:hint="eastAsia" w:ascii="仿宋" w:hAnsi="仿宋" w:eastAsia="仿宋" w:cs="Times New Roman"/>
          <w:kern w:val="2"/>
          <w:sz w:val="32"/>
          <w:szCs w:val="32"/>
        </w:rPr>
        <w:t>[含村（居）委会、村（居）民小组</w:t>
      </w:r>
      <w:r>
        <w:rPr>
          <w:rFonts w:ascii="仿宋" w:hAnsi="仿宋" w:eastAsia="仿宋" w:cs="Times New Roman"/>
          <w:kern w:val="2"/>
          <w:sz w:val="32"/>
          <w:szCs w:val="32"/>
        </w:rPr>
        <w:t>]</w:t>
      </w:r>
      <w:r>
        <w:rPr>
          <w:rFonts w:hint="eastAsia" w:ascii="仿宋" w:hAnsi="仿宋" w:eastAsia="仿宋" w:cs="Times New Roman"/>
          <w:kern w:val="2"/>
          <w:sz w:val="32"/>
          <w:szCs w:val="32"/>
        </w:rPr>
        <w:t>7</w:t>
      </w:r>
      <w:r>
        <w:rPr>
          <w:rFonts w:ascii="仿宋" w:hAnsi="仿宋" w:eastAsia="仿宋" w:cs="Times New Roman"/>
          <w:kern w:val="2"/>
          <w:sz w:val="32"/>
          <w:szCs w:val="32"/>
        </w:rPr>
        <w:t>0</w:t>
      </w:r>
      <w:r>
        <w:rPr>
          <w:rFonts w:hint="eastAsia" w:ascii="仿宋" w:hAnsi="仿宋" w:eastAsia="仿宋" w:cs="Times New Roman"/>
          <w:kern w:val="2"/>
          <w:sz w:val="32"/>
          <w:szCs w:val="32"/>
        </w:rPr>
        <w:t>%。</w:t>
      </w:r>
    </w:p>
    <w:p>
      <w:pPr>
        <w:pStyle w:val="26"/>
        <w:widowControl w:val="0"/>
        <w:spacing w:before="0" w:beforeAutospacing="0" w:after="0" w:afterAutospacing="0"/>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征地工作经费由县自然资源局根据征地工作进度向使用单位支付，由各单位根据有关规定合理安排使用。县自然资源局30%的工作经费可根据实际需要用于解决</w:t>
      </w:r>
      <w:r>
        <w:rPr>
          <w:rFonts w:ascii="Times New Roman" w:hAnsi="Times New Roman" w:eastAsia="仿宋" w:cs="Times New Roman"/>
          <w:kern w:val="2"/>
          <w:sz w:val="32"/>
          <w:szCs w:val="32"/>
          <w:shd w:val="clear" w:color="auto" w:fill="FFFFFF"/>
        </w:rPr>
        <w:t>镇人民政府</w:t>
      </w:r>
      <w:r>
        <w:rPr>
          <w:rFonts w:hint="eastAsia" w:ascii="仿宋" w:hAnsi="仿宋" w:eastAsia="仿宋" w:cs="Times New Roman"/>
          <w:kern w:val="2"/>
          <w:sz w:val="32"/>
          <w:szCs w:val="32"/>
        </w:rPr>
        <w:t>工作经费不足。</w:t>
      </w:r>
    </w:p>
    <w:p>
      <w:pPr>
        <w:pStyle w:val="26"/>
        <w:spacing w:before="0" w:beforeAutospacing="0" w:after="0" w:afterAutospacing="0"/>
        <w:ind w:firstLine="640" w:firstLineChars="200"/>
        <w:rPr>
          <w:rFonts w:ascii="Calibri" w:hAnsi="Calibri" w:eastAsia="仿宋" w:cs="Times New Roman"/>
          <w:kern w:val="2"/>
          <w:sz w:val="32"/>
          <w:szCs w:val="32"/>
        </w:rPr>
      </w:pPr>
      <w:r>
        <w:rPr>
          <w:rFonts w:hint="eastAsia" w:ascii="Calibri" w:hAnsi="Calibri" w:eastAsia="仿宋" w:cs="Times New Roman"/>
          <w:kern w:val="2"/>
          <w:sz w:val="32"/>
          <w:szCs w:val="32"/>
        </w:rPr>
        <w:t>征收工作经费的使用范围包括：</w:t>
      </w:r>
    </w:p>
    <w:p>
      <w:pPr>
        <w:pStyle w:val="26"/>
        <w:widowControl w:val="0"/>
        <w:numPr>
          <w:ilvl w:val="0"/>
          <w:numId w:val="9"/>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用于进村入户进行土地征收相关法律法规、政策宣传和思想动员等群众工作的费用开支；</w:t>
      </w:r>
    </w:p>
    <w:p>
      <w:pPr>
        <w:pStyle w:val="26"/>
        <w:widowControl w:val="0"/>
        <w:numPr>
          <w:ilvl w:val="0"/>
          <w:numId w:val="9"/>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用于征地工作需聘请临时工作人员的工资、加班补贴，及其他单位抽调人员，原单位未发放部分的出勤补贴、生活补贴等；</w:t>
      </w:r>
    </w:p>
    <w:p>
      <w:pPr>
        <w:pStyle w:val="26"/>
        <w:widowControl w:val="0"/>
        <w:numPr>
          <w:ilvl w:val="0"/>
          <w:numId w:val="9"/>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用于征地期间，征地工作人员的误餐等费用支出；</w:t>
      </w:r>
    </w:p>
    <w:p>
      <w:pPr>
        <w:pStyle w:val="26"/>
        <w:widowControl w:val="0"/>
        <w:numPr>
          <w:ilvl w:val="0"/>
          <w:numId w:val="9"/>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征地工作中的日常办公支出、办公设备购置、交通设备购置及交通补贴费用；</w:t>
      </w:r>
    </w:p>
    <w:p>
      <w:pPr>
        <w:pStyle w:val="26"/>
        <w:widowControl w:val="0"/>
        <w:numPr>
          <w:ilvl w:val="0"/>
          <w:numId w:val="9"/>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征地工作中的治安巡逻经费及治安设备购置经费；</w:t>
      </w:r>
    </w:p>
    <w:p>
      <w:pPr>
        <w:pStyle w:val="26"/>
        <w:widowControl w:val="0"/>
        <w:numPr>
          <w:ilvl w:val="0"/>
          <w:numId w:val="9"/>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协调与征地工作有关的经费支出；</w:t>
      </w:r>
    </w:p>
    <w:p>
      <w:pPr>
        <w:pStyle w:val="26"/>
        <w:widowControl w:val="0"/>
        <w:numPr>
          <w:ilvl w:val="0"/>
          <w:numId w:val="9"/>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地上附着物和青苗的清点费用支出、编制补偿费用预算；</w:t>
      </w:r>
    </w:p>
    <w:p>
      <w:pPr>
        <w:pStyle w:val="26"/>
        <w:widowControl w:val="0"/>
        <w:numPr>
          <w:ilvl w:val="0"/>
          <w:numId w:val="9"/>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与征地有关的其他业务费用支出。</w:t>
      </w:r>
    </w:p>
    <w:p>
      <w:pPr>
        <w:pStyle w:val="31"/>
        <w:numPr>
          <w:ilvl w:val="0"/>
          <w:numId w:val="1"/>
        </w:numPr>
        <w:shd w:val="clear" w:color="auto" w:fill="FFFFFF"/>
        <w:tabs>
          <w:tab w:val="left" w:pos="1985"/>
        </w:tabs>
        <w:ind w:left="0" w:firstLine="640"/>
        <w:rPr>
          <w:rFonts w:eastAsia="仿宋"/>
          <w:sz w:val="32"/>
          <w:szCs w:val="32"/>
        </w:rPr>
      </w:pPr>
      <w:r>
        <w:rPr>
          <w:rFonts w:hint="eastAsia" w:eastAsia="仿宋"/>
          <w:sz w:val="32"/>
          <w:szCs w:val="32"/>
        </w:rPr>
        <w:t>【村民住宅认定】村民住宅的认定程序：</w:t>
      </w:r>
    </w:p>
    <w:p>
      <w:pPr>
        <w:pStyle w:val="26"/>
        <w:widowControl w:val="0"/>
        <w:numPr>
          <w:ilvl w:val="0"/>
          <w:numId w:val="10"/>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由权利人提交身份证、户口簿及权属证明等材料并提出申请；</w:t>
      </w:r>
    </w:p>
    <w:p>
      <w:pPr>
        <w:pStyle w:val="26"/>
        <w:widowControl w:val="0"/>
        <w:tabs>
          <w:tab w:val="left" w:pos="1134"/>
          <w:tab w:val="left" w:pos="1418"/>
        </w:tabs>
        <w:spacing w:before="0" w:beforeAutospacing="0" w:after="0" w:afterAutospacing="0"/>
        <w:ind w:left="640"/>
        <w:jc w:val="both"/>
        <w:rPr>
          <w:rFonts w:ascii="Calibri" w:hAnsi="Calibri" w:eastAsia="仿宋" w:cs="Times New Roman"/>
          <w:kern w:val="2"/>
          <w:sz w:val="32"/>
          <w:szCs w:val="32"/>
        </w:rPr>
      </w:pPr>
      <w:r>
        <w:rPr>
          <w:rFonts w:hint="eastAsia" w:ascii="Calibri" w:hAnsi="Calibri" w:eastAsia="仿宋" w:cs="Times New Roman"/>
          <w:kern w:val="2"/>
          <w:sz w:val="32"/>
          <w:szCs w:val="32"/>
        </w:rPr>
        <w:t>上述材料不齐全的，权利人应当提交书面情况说明；</w:t>
      </w:r>
    </w:p>
    <w:p>
      <w:pPr>
        <w:pStyle w:val="26"/>
        <w:widowControl w:val="0"/>
        <w:numPr>
          <w:ilvl w:val="0"/>
          <w:numId w:val="10"/>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经村、村民小组调查核实，并将调查结果经村民代表会议审议通过后，在村、村民小组范围内张贴公示7日以上；</w:t>
      </w:r>
    </w:p>
    <w:p>
      <w:pPr>
        <w:pStyle w:val="26"/>
        <w:widowControl w:val="0"/>
        <w:numPr>
          <w:ilvl w:val="0"/>
          <w:numId w:val="10"/>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如公示期满无异议或异议不成立的，报</w:t>
      </w:r>
      <w:r>
        <w:rPr>
          <w:rFonts w:ascii="Times New Roman" w:hAnsi="Times New Roman" w:eastAsia="仿宋" w:cs="Times New Roman"/>
          <w:kern w:val="2"/>
          <w:sz w:val="32"/>
          <w:szCs w:val="32"/>
          <w:shd w:val="clear" w:color="auto" w:fill="FFFFFF"/>
        </w:rPr>
        <w:t>镇人民政府</w:t>
      </w:r>
      <w:r>
        <w:rPr>
          <w:rFonts w:hint="eastAsia" w:ascii="Calibri" w:hAnsi="Calibri" w:eastAsia="仿宋" w:cs="Times New Roman"/>
          <w:kern w:val="2"/>
          <w:sz w:val="32"/>
          <w:szCs w:val="32"/>
        </w:rPr>
        <w:t>组织</w:t>
      </w:r>
      <w:r>
        <w:rPr>
          <w:rFonts w:ascii="Times New Roman" w:hAnsi="Times New Roman" w:eastAsia="仿宋" w:cs="Times New Roman"/>
          <w:kern w:val="2"/>
          <w:sz w:val="32"/>
          <w:szCs w:val="32"/>
          <w:shd w:val="clear" w:color="auto" w:fill="FFFFFF"/>
        </w:rPr>
        <w:t>镇</w:t>
      </w:r>
      <w:r>
        <w:rPr>
          <w:rFonts w:hint="eastAsia" w:ascii="Times New Roman" w:hAnsi="Times New Roman" w:eastAsia="仿宋" w:cs="Times New Roman"/>
          <w:kern w:val="2"/>
          <w:sz w:val="32"/>
          <w:szCs w:val="32"/>
          <w:shd w:val="clear" w:color="auto" w:fill="FFFFFF"/>
        </w:rPr>
        <w:t>内</w:t>
      </w:r>
      <w:r>
        <w:rPr>
          <w:rFonts w:hint="eastAsia" w:ascii="Calibri" w:hAnsi="Calibri" w:eastAsia="仿宋" w:cs="Times New Roman"/>
          <w:kern w:val="2"/>
          <w:sz w:val="32"/>
          <w:szCs w:val="32"/>
        </w:rPr>
        <w:t>农业农村、乡村建设、</w:t>
      </w:r>
      <w:bookmarkStart w:id="9" w:name="_Hlk73462678"/>
      <w:r>
        <w:rPr>
          <w:rFonts w:hint="eastAsia" w:ascii="Calibri" w:hAnsi="Calibri" w:eastAsia="仿宋" w:cs="Times New Roman"/>
          <w:kern w:val="2"/>
          <w:sz w:val="32"/>
          <w:szCs w:val="32"/>
        </w:rPr>
        <w:t>城乡管理综合执法等部门</w:t>
      </w:r>
      <w:bookmarkEnd w:id="9"/>
      <w:r>
        <w:rPr>
          <w:rFonts w:hint="eastAsia" w:ascii="Calibri" w:hAnsi="Calibri" w:eastAsia="仿宋" w:cs="Times New Roman"/>
          <w:kern w:val="2"/>
          <w:sz w:val="32"/>
          <w:szCs w:val="32"/>
        </w:rPr>
        <w:t>及镇所在自然资源所，对房屋是否属于村民住宅以及村民住宅是否属于一户一宅等进行调查、认定；</w:t>
      </w:r>
    </w:p>
    <w:p>
      <w:pPr>
        <w:pStyle w:val="26"/>
        <w:widowControl w:val="0"/>
        <w:numPr>
          <w:ilvl w:val="0"/>
          <w:numId w:val="10"/>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认定为村民住宅，按照《补偿办法》村民住宅补偿规定予以补偿。</w:t>
      </w:r>
    </w:p>
    <w:p>
      <w:pPr>
        <w:pStyle w:val="31"/>
        <w:numPr>
          <w:ilvl w:val="0"/>
          <w:numId w:val="1"/>
        </w:numPr>
        <w:shd w:val="clear" w:color="auto" w:fill="FFFFFF"/>
        <w:tabs>
          <w:tab w:val="left" w:pos="1985"/>
        </w:tabs>
        <w:ind w:left="0" w:firstLine="640"/>
        <w:rPr>
          <w:rFonts w:eastAsia="仿宋"/>
          <w:sz w:val="32"/>
          <w:szCs w:val="32"/>
        </w:rPr>
      </w:pPr>
      <w:r>
        <w:rPr>
          <w:rFonts w:hint="eastAsia" w:eastAsia="仿宋"/>
          <w:sz w:val="32"/>
          <w:szCs w:val="32"/>
        </w:rPr>
        <w:t>【村民住宅补偿面积】土地征收预公告发布前未取得《房屋所有权证》《房地产权证》及房地一体《不动产权证》等产权证的村民住宅按照《补偿办法》第三十五条规定评估补偿的，占地面积不得超过1</w:t>
      </w:r>
      <w:r>
        <w:rPr>
          <w:rFonts w:eastAsia="仿宋"/>
          <w:sz w:val="32"/>
          <w:szCs w:val="32"/>
        </w:rPr>
        <w:t>20</w:t>
      </w:r>
      <w:r>
        <w:rPr>
          <w:rFonts w:hint="eastAsia" w:eastAsia="仿宋"/>
          <w:sz w:val="32"/>
          <w:szCs w:val="32"/>
        </w:rPr>
        <w:t>平方米以及总建筑面积不得超过</w:t>
      </w:r>
      <w:r>
        <w:rPr>
          <w:rFonts w:eastAsia="仿宋"/>
          <w:sz w:val="32"/>
          <w:szCs w:val="32"/>
        </w:rPr>
        <w:t>480</w:t>
      </w:r>
      <w:r>
        <w:rPr>
          <w:rFonts w:hint="eastAsia" w:eastAsia="仿宋"/>
          <w:sz w:val="32"/>
          <w:szCs w:val="32"/>
        </w:rPr>
        <w:t>米，超过部分按照《补偿办法》附件1标准予以补偿。</w:t>
      </w:r>
    </w:p>
    <w:p>
      <w:pPr>
        <w:pStyle w:val="31"/>
        <w:numPr>
          <w:ilvl w:val="0"/>
          <w:numId w:val="1"/>
        </w:numPr>
        <w:shd w:val="clear" w:color="auto" w:fill="FFFFFF"/>
        <w:tabs>
          <w:tab w:val="left" w:pos="1985"/>
        </w:tabs>
        <w:ind w:left="640" w:firstLine="0" w:firstLineChars="0"/>
        <w:rPr>
          <w:rFonts w:eastAsia="仿宋"/>
          <w:sz w:val="32"/>
          <w:szCs w:val="32"/>
        </w:rPr>
      </w:pPr>
      <w:r>
        <w:rPr>
          <w:rFonts w:hint="eastAsia" w:eastAsia="仿宋"/>
          <w:sz w:val="32"/>
          <w:szCs w:val="32"/>
        </w:rPr>
        <w:t>【一次性签约补助】</w:t>
      </w:r>
    </w:p>
    <w:p>
      <w:pPr>
        <w:pStyle w:val="31"/>
        <w:shd w:val="clear" w:color="auto" w:fill="FFFFFF"/>
        <w:tabs>
          <w:tab w:val="left" w:pos="1985"/>
        </w:tabs>
        <w:ind w:firstLine="640"/>
        <w:rPr>
          <w:rFonts w:eastAsia="仿宋"/>
          <w:sz w:val="32"/>
          <w:szCs w:val="32"/>
        </w:rPr>
      </w:pPr>
      <w:r>
        <w:rPr>
          <w:rFonts w:hint="eastAsia" w:eastAsia="仿宋"/>
          <w:sz w:val="32"/>
          <w:szCs w:val="32"/>
        </w:rPr>
        <w:t>村民住宅权属人签订村民住宅补偿安置协议的，给予一次性签约补助。一次性签约补助按照有产权证或经认定符合“一户一宅”村民住宅建筑面积计算，每平方补助金额为本征地项目安置房评估单价的2</w:t>
      </w:r>
      <w:r>
        <w:rPr>
          <w:rFonts w:eastAsia="仿宋"/>
          <w:sz w:val="32"/>
          <w:szCs w:val="32"/>
        </w:rPr>
        <w:t>0</w:t>
      </w:r>
      <w:r>
        <w:rPr>
          <w:rFonts w:hint="eastAsia" w:eastAsia="仿宋"/>
          <w:sz w:val="32"/>
          <w:szCs w:val="32"/>
        </w:rPr>
        <w:t>%；本征地项目没有安置房的，每平方补助金额为征地项目周边普通商品住宅公告日备案平均价的1</w:t>
      </w:r>
      <w:r>
        <w:rPr>
          <w:rFonts w:eastAsia="仿宋"/>
          <w:sz w:val="32"/>
          <w:szCs w:val="32"/>
        </w:rPr>
        <w:t>0</w:t>
      </w:r>
      <w:r>
        <w:rPr>
          <w:rFonts w:hint="eastAsia" w:eastAsia="仿宋"/>
          <w:sz w:val="32"/>
          <w:szCs w:val="32"/>
        </w:rPr>
        <w:t>%，征地项目周边普通商品住宅备案平均价由县自然资源局根据市住房和城乡建设局公布的经物价部门监制的价格报县人民政府同意后确定。</w:t>
      </w:r>
    </w:p>
    <w:p>
      <w:pPr>
        <w:pStyle w:val="31"/>
        <w:numPr>
          <w:ilvl w:val="0"/>
          <w:numId w:val="1"/>
        </w:numPr>
        <w:shd w:val="clear" w:color="auto" w:fill="FFFFFF"/>
        <w:tabs>
          <w:tab w:val="left" w:pos="1985"/>
        </w:tabs>
        <w:ind w:left="0" w:firstLine="640"/>
        <w:rPr>
          <w:rFonts w:eastAsia="仿宋"/>
          <w:sz w:val="32"/>
          <w:szCs w:val="32"/>
        </w:rPr>
      </w:pPr>
      <w:r>
        <w:rPr>
          <w:rFonts w:hint="eastAsia" w:eastAsia="仿宋"/>
          <w:sz w:val="32"/>
          <w:szCs w:val="32"/>
        </w:rPr>
        <w:t>【安置房建设】安置房应当在博罗县规划区内建设，并符合土地利用总体规划和城乡规划的要求；坚持相对集中、就近安置、统一规划、统一设计、统一建设、质量优良、经济适用的原则。</w:t>
      </w:r>
    </w:p>
    <w:p>
      <w:pPr>
        <w:pStyle w:val="26"/>
        <w:widowControl w:val="0"/>
        <w:tabs>
          <w:tab w:val="left" w:pos="1134"/>
          <w:tab w:val="left" w:pos="1418"/>
        </w:tabs>
        <w:spacing w:before="0" w:beforeAutospacing="0" w:after="0" w:afterAutospacing="0"/>
        <w:ind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县住房和城乡建设局会同县自然资源局、镇人民政府落实安置房建设用地选址。安置房建设由县人民政府负责组织实施，建设资金纳入建设项目资金预算。</w:t>
      </w:r>
    </w:p>
    <w:p>
      <w:pPr>
        <w:pStyle w:val="26"/>
        <w:widowControl w:val="0"/>
        <w:tabs>
          <w:tab w:val="left" w:pos="1134"/>
          <w:tab w:val="left" w:pos="1418"/>
        </w:tabs>
        <w:spacing w:before="0" w:beforeAutospacing="0" w:after="0" w:afterAutospacing="0"/>
        <w:ind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安置房交付时间在签订补偿安置协议时约定，由镇人民政府与村民住宅权属人办理交付手续。</w:t>
      </w:r>
    </w:p>
    <w:p>
      <w:pPr>
        <w:pStyle w:val="26"/>
        <w:widowControl w:val="0"/>
        <w:tabs>
          <w:tab w:val="left" w:pos="1134"/>
          <w:tab w:val="left" w:pos="1418"/>
        </w:tabs>
        <w:spacing w:before="0" w:beforeAutospacing="0" w:after="0" w:afterAutospacing="0"/>
        <w:ind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安置房的住宅专项维修资金由县自然资源局按照确定安置房选址时的有关标准支付，资金支出纳入征地成本。</w:t>
      </w:r>
    </w:p>
    <w:p>
      <w:pPr>
        <w:pStyle w:val="31"/>
        <w:numPr>
          <w:ilvl w:val="0"/>
          <w:numId w:val="1"/>
        </w:numPr>
        <w:shd w:val="clear" w:color="auto" w:fill="FFFFFF"/>
        <w:tabs>
          <w:tab w:val="left" w:pos="1985"/>
        </w:tabs>
        <w:ind w:left="0" w:firstLine="640"/>
        <w:rPr>
          <w:rFonts w:eastAsia="仿宋"/>
          <w:sz w:val="32"/>
          <w:szCs w:val="32"/>
        </w:rPr>
      </w:pPr>
      <w:r>
        <w:rPr>
          <w:rFonts w:hint="eastAsia" w:eastAsia="仿宋"/>
          <w:sz w:val="32"/>
          <w:szCs w:val="32"/>
        </w:rPr>
        <w:t>【</w:t>
      </w:r>
      <w:bookmarkStart w:id="10" w:name="_Hlk73461833"/>
      <w:r>
        <w:rPr>
          <w:rFonts w:hint="eastAsia" w:eastAsia="仿宋"/>
          <w:sz w:val="32"/>
          <w:szCs w:val="32"/>
        </w:rPr>
        <w:t>安置房置换</w:t>
      </w:r>
      <w:bookmarkEnd w:id="10"/>
      <w:r>
        <w:rPr>
          <w:rFonts w:hint="eastAsia" w:eastAsia="仿宋"/>
          <w:sz w:val="32"/>
          <w:szCs w:val="32"/>
        </w:rPr>
        <w:t>】</w:t>
      </w:r>
      <w:bookmarkStart w:id="11" w:name="_Hlk73461920"/>
      <w:bookmarkStart w:id="12" w:name="_Hlk73461842"/>
      <w:r>
        <w:rPr>
          <w:rFonts w:hint="eastAsia" w:eastAsia="仿宋"/>
          <w:sz w:val="32"/>
          <w:szCs w:val="32"/>
        </w:rPr>
        <w:t>村民住宅</w:t>
      </w:r>
      <w:bookmarkEnd w:id="11"/>
      <w:r>
        <w:rPr>
          <w:rFonts w:hint="eastAsia" w:eastAsia="仿宋"/>
          <w:sz w:val="32"/>
          <w:szCs w:val="32"/>
        </w:rPr>
        <w:t>安置房置换办法如下：</w:t>
      </w:r>
      <w:bookmarkEnd w:id="12"/>
    </w:p>
    <w:p>
      <w:pPr>
        <w:pStyle w:val="26"/>
        <w:widowControl w:val="0"/>
        <w:numPr>
          <w:ilvl w:val="0"/>
          <w:numId w:val="11"/>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以村民住宅房屋价值（含宅基地使用权价值）和一次性签约补助之和，与所选择安置房的评估价值等值置换。</w:t>
      </w:r>
    </w:p>
    <w:p>
      <w:pPr>
        <w:pStyle w:val="26"/>
        <w:widowControl w:val="0"/>
        <w:numPr>
          <w:ilvl w:val="0"/>
          <w:numId w:val="11"/>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村民住宅权属人应当按等值置换计算出的安置房建筑面积，选择建筑面积最接近的安置房，并且应当符合以下条件：</w:t>
      </w:r>
    </w:p>
    <w:p>
      <w:pPr>
        <w:pStyle w:val="26"/>
        <w:widowControl w:val="0"/>
        <w:numPr>
          <w:ilvl w:val="0"/>
          <w:numId w:val="12"/>
        </w:numPr>
        <w:tabs>
          <w:tab w:val="left" w:pos="993"/>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实际选择安置房的建筑面积，不得大于村民住宅房屋证载建筑面积或</w:t>
      </w:r>
      <w:r>
        <w:rPr>
          <w:rFonts w:hint="eastAsia" w:eastAsia="仿宋"/>
          <w:sz w:val="32"/>
          <w:szCs w:val="32"/>
        </w:rPr>
        <w:t>经认定符合“一户一宅”</w:t>
      </w:r>
      <w:r>
        <w:rPr>
          <w:rFonts w:hint="eastAsia" w:ascii="Calibri" w:hAnsi="Calibri" w:eastAsia="仿宋" w:cs="Times New Roman"/>
          <w:kern w:val="2"/>
          <w:sz w:val="32"/>
          <w:szCs w:val="32"/>
        </w:rPr>
        <w:t>建筑面积10平方米以上；</w:t>
      </w:r>
    </w:p>
    <w:p>
      <w:pPr>
        <w:pStyle w:val="26"/>
        <w:widowControl w:val="0"/>
        <w:numPr>
          <w:ilvl w:val="0"/>
          <w:numId w:val="12"/>
        </w:numPr>
        <w:tabs>
          <w:tab w:val="left" w:pos="993"/>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实际选择安置房的建筑面积，不得大于等值置换计算出的安置房建筑面积10平方米以上；</w:t>
      </w:r>
    </w:p>
    <w:p>
      <w:pPr>
        <w:pStyle w:val="26"/>
        <w:widowControl w:val="0"/>
        <w:numPr>
          <w:ilvl w:val="0"/>
          <w:numId w:val="12"/>
        </w:numPr>
        <w:tabs>
          <w:tab w:val="left" w:pos="993"/>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每户村民住宅最多可置换建筑面积360平方米的安置房;</w:t>
      </w:r>
    </w:p>
    <w:p>
      <w:pPr>
        <w:pStyle w:val="26"/>
        <w:widowControl w:val="0"/>
        <w:numPr>
          <w:ilvl w:val="0"/>
          <w:numId w:val="12"/>
        </w:numPr>
        <w:tabs>
          <w:tab w:val="left" w:pos="993"/>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安置房选择的先后顺序与房屋补偿安置协议的签约顺序挂钩，先签订房屋补偿安置协议的，优先选择安置房。不同项目同时签约的，按照征收土地预公告的发布时间确定安置房选择的先后顺序。</w:t>
      </w:r>
    </w:p>
    <w:p>
      <w:pPr>
        <w:pStyle w:val="31"/>
        <w:numPr>
          <w:ilvl w:val="0"/>
          <w:numId w:val="1"/>
        </w:numPr>
        <w:shd w:val="clear" w:color="auto" w:fill="FFFFFF"/>
        <w:ind w:left="0" w:firstLine="640"/>
        <w:rPr>
          <w:rFonts w:eastAsia="仿宋"/>
          <w:sz w:val="32"/>
          <w:szCs w:val="32"/>
        </w:rPr>
      </w:pPr>
      <w:r>
        <w:rPr>
          <w:rFonts w:hint="eastAsia" w:eastAsia="仿宋"/>
          <w:sz w:val="32"/>
          <w:szCs w:val="32"/>
        </w:rPr>
        <w:t>【安置房差价】征地实施单位应当与村民住宅权属人计算、结清村民住宅房屋与安置房屋的差价。以同一评估时点的村民住宅房屋补偿总额与所选择安置房屋评估价值计算，当村民住宅房屋补偿总额少于安置房屋的评估价值时，村民住宅权属人应当向征地单位补足差价；当村民住宅房屋补偿总额高于安置房屋的评估价值时，高出部分由征地单位以货币方式补偿村民住宅权属人。</w:t>
      </w:r>
    </w:p>
    <w:p>
      <w:pPr>
        <w:pStyle w:val="31"/>
        <w:numPr>
          <w:ilvl w:val="0"/>
          <w:numId w:val="1"/>
        </w:numPr>
        <w:shd w:val="clear" w:color="auto" w:fill="FFFFFF"/>
        <w:ind w:left="0" w:firstLine="640"/>
        <w:rPr>
          <w:rFonts w:eastAsia="仿宋"/>
          <w:sz w:val="32"/>
          <w:szCs w:val="32"/>
        </w:rPr>
      </w:pPr>
      <w:r>
        <w:rPr>
          <w:rFonts w:hint="eastAsia" w:eastAsia="仿宋"/>
          <w:sz w:val="32"/>
          <w:szCs w:val="32"/>
        </w:rPr>
        <w:t>【临时安置补助】根据《补偿办法》第四十条规定执行，选择房屋置换的，临时安置补助每6个月支付一次，安置房建成后通知交付使用时，</w:t>
      </w:r>
      <w:r>
        <w:rPr>
          <w:rFonts w:ascii="Times New Roman" w:hAnsi="Times New Roman" w:eastAsia="仿宋"/>
          <w:sz w:val="32"/>
          <w:szCs w:val="32"/>
          <w:shd w:val="clear" w:color="auto" w:fill="FFFFFF"/>
        </w:rPr>
        <w:t>镇人民政府</w:t>
      </w:r>
      <w:r>
        <w:rPr>
          <w:rFonts w:hint="eastAsia" w:eastAsia="仿宋"/>
          <w:sz w:val="32"/>
          <w:szCs w:val="32"/>
        </w:rPr>
        <w:t>应当根据安置房实际建筑面积与被征收人据实结算临时安置补助。</w:t>
      </w:r>
    </w:p>
    <w:p>
      <w:pPr>
        <w:pStyle w:val="31"/>
        <w:numPr>
          <w:ilvl w:val="0"/>
          <w:numId w:val="1"/>
        </w:numPr>
        <w:shd w:val="clear" w:color="auto" w:fill="FFFFFF"/>
        <w:ind w:left="0" w:firstLine="640"/>
        <w:rPr>
          <w:rFonts w:eastAsia="仿宋"/>
          <w:sz w:val="32"/>
          <w:szCs w:val="32"/>
        </w:rPr>
      </w:pPr>
      <w:r>
        <w:rPr>
          <w:rFonts w:hint="eastAsia" w:eastAsia="仿宋"/>
          <w:sz w:val="32"/>
          <w:szCs w:val="32"/>
        </w:rPr>
        <w:t>【二次搬迁】</w:t>
      </w:r>
      <w:bookmarkStart w:id="13" w:name="_Hlk73604536"/>
      <w:r>
        <w:rPr>
          <w:rFonts w:hint="eastAsia" w:eastAsia="仿宋"/>
          <w:sz w:val="32"/>
          <w:szCs w:val="32"/>
        </w:rPr>
        <w:t>根据《补偿办法》第四十一条规定</w:t>
      </w:r>
      <w:bookmarkEnd w:id="13"/>
      <w:r>
        <w:rPr>
          <w:rFonts w:hint="eastAsia" w:eastAsia="仿宋"/>
          <w:sz w:val="32"/>
          <w:szCs w:val="32"/>
        </w:rPr>
        <w:t>，按照相同标准给予二次搬迁补助费，按所选择安置房的建筑面积计算，标准为1</w:t>
      </w:r>
      <w:r>
        <w:rPr>
          <w:rFonts w:eastAsia="仿宋"/>
          <w:sz w:val="32"/>
          <w:szCs w:val="32"/>
        </w:rPr>
        <w:t>5</w:t>
      </w:r>
      <w:r>
        <w:rPr>
          <w:rFonts w:hint="eastAsia" w:eastAsia="仿宋"/>
          <w:sz w:val="32"/>
          <w:szCs w:val="32"/>
        </w:rPr>
        <w:t>元/平方米，不足1</w:t>
      </w:r>
      <w:r>
        <w:rPr>
          <w:rFonts w:eastAsia="仿宋"/>
          <w:sz w:val="32"/>
          <w:szCs w:val="32"/>
        </w:rPr>
        <w:t>000</w:t>
      </w:r>
      <w:r>
        <w:rPr>
          <w:rFonts w:hint="eastAsia" w:eastAsia="仿宋"/>
          <w:sz w:val="32"/>
          <w:szCs w:val="32"/>
        </w:rPr>
        <w:t>元的按1</w:t>
      </w:r>
      <w:r>
        <w:rPr>
          <w:rFonts w:eastAsia="仿宋"/>
          <w:sz w:val="32"/>
          <w:szCs w:val="32"/>
        </w:rPr>
        <w:t>000</w:t>
      </w:r>
      <w:r>
        <w:rPr>
          <w:rFonts w:hint="eastAsia" w:eastAsia="仿宋"/>
          <w:sz w:val="32"/>
          <w:szCs w:val="32"/>
        </w:rPr>
        <w:t>元补助。二次搬迁补助费在安置房建成后通知交付使用时由镇人民政府向村民住宅权属人支付。</w:t>
      </w:r>
    </w:p>
    <w:p>
      <w:pPr>
        <w:ind w:firstLine="640" w:firstLineChars="200"/>
        <w:rPr>
          <w:rFonts w:eastAsia="仿宋"/>
          <w:sz w:val="32"/>
          <w:szCs w:val="32"/>
          <w:u w:val="single"/>
        </w:rPr>
      </w:pPr>
      <w:r>
        <w:rPr>
          <w:rFonts w:hint="eastAsia" w:eastAsia="仿宋"/>
          <w:sz w:val="32"/>
          <w:szCs w:val="32"/>
          <w:u w:val="single"/>
        </w:rPr>
        <w:t>因征收造成村、村小组办公场所变更需要进行临时过渡的，按照附件1同区位、同类办公房屋平均市场租金单价标准计算，一次性补助1</w:t>
      </w:r>
      <w:r>
        <w:rPr>
          <w:rFonts w:eastAsia="仿宋"/>
          <w:sz w:val="32"/>
          <w:szCs w:val="32"/>
          <w:u w:val="single"/>
        </w:rPr>
        <w:t>2</w:t>
      </w:r>
      <w:r>
        <w:rPr>
          <w:rFonts w:hint="eastAsia" w:eastAsia="仿宋"/>
          <w:sz w:val="32"/>
          <w:szCs w:val="32"/>
          <w:u w:val="single"/>
        </w:rPr>
        <w:t>个月。</w:t>
      </w:r>
    </w:p>
    <w:p>
      <w:pPr>
        <w:pStyle w:val="26"/>
        <w:spacing w:before="0" w:beforeAutospacing="0" w:after="0" w:afterAutospacing="0"/>
        <w:ind w:firstLine="711" w:firstLineChars="295"/>
        <w:rPr>
          <w:rFonts w:eastAsia="仿宋"/>
          <w:b/>
          <w:bCs/>
          <w:shd w:val="pct10" w:color="auto" w:fill="FFFFFF"/>
        </w:rPr>
      </w:pPr>
      <w:bookmarkStart w:id="14" w:name="_Hlk73604707"/>
      <w:r>
        <w:rPr>
          <w:rFonts w:hint="eastAsia" w:eastAsia="仿宋"/>
          <w:b/>
          <w:bCs/>
          <w:shd w:val="pct10" w:color="auto" w:fill="FFFFFF"/>
        </w:rPr>
        <w:t>注：《补偿办法》第四十一条搬迁补助费标准如下：搬迁补助费按村民住宅建筑面积计算，每平方米补助15元，每户不足1000元的按1000元补助；需要二次搬迁的，按照相同标准给予二次搬迁补助费。</w:t>
      </w:r>
    </w:p>
    <w:bookmarkEnd w:id="14"/>
    <w:p>
      <w:pPr>
        <w:pStyle w:val="31"/>
        <w:numPr>
          <w:ilvl w:val="0"/>
          <w:numId w:val="1"/>
        </w:numPr>
        <w:shd w:val="clear" w:color="auto" w:fill="FFFFFF"/>
        <w:ind w:left="0" w:firstLine="640"/>
        <w:rPr>
          <w:rFonts w:eastAsia="仿宋"/>
          <w:sz w:val="32"/>
          <w:szCs w:val="32"/>
        </w:rPr>
      </w:pPr>
      <w:r>
        <w:rPr>
          <w:rFonts w:hint="eastAsia" w:eastAsia="仿宋"/>
          <w:sz w:val="32"/>
          <w:szCs w:val="32"/>
        </w:rPr>
        <w:t>【村民住宅以外的住宅认定】村民住宅以外的住宅认定程序：</w:t>
      </w:r>
    </w:p>
    <w:p>
      <w:pPr>
        <w:pStyle w:val="26"/>
        <w:widowControl w:val="0"/>
        <w:numPr>
          <w:ilvl w:val="0"/>
          <w:numId w:val="13"/>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 xml:space="preserve">权利人提出申请（至少应提交以下权属证件中的一种）； </w:t>
      </w:r>
      <w:r>
        <w:rPr>
          <w:rFonts w:ascii="Calibri" w:hAnsi="Calibri" w:eastAsia="仿宋" w:cs="Times New Roman"/>
          <w:kern w:val="2"/>
          <w:sz w:val="32"/>
          <w:szCs w:val="32"/>
        </w:rPr>
        <w:t xml:space="preserve">        </w:t>
      </w:r>
      <w:r>
        <w:rPr>
          <w:rFonts w:hint="eastAsia" w:ascii="Calibri" w:hAnsi="Calibri" w:eastAsia="仿宋" w:cs="Times New Roman"/>
          <w:kern w:val="2"/>
          <w:sz w:val="32"/>
          <w:szCs w:val="32"/>
        </w:rPr>
        <w:t>1.《集体土地使用证》2.《不动产权证》；3.《建设用地规划许可证》或县（区）、镇人民政府依法核发的批准文件以及土地使用权合法来源的相关材料、凭证等。</w:t>
      </w:r>
    </w:p>
    <w:p>
      <w:pPr>
        <w:pStyle w:val="26"/>
        <w:widowControl w:val="0"/>
        <w:numPr>
          <w:ilvl w:val="0"/>
          <w:numId w:val="13"/>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村小组、村委会调查核实；</w:t>
      </w:r>
    </w:p>
    <w:p>
      <w:pPr>
        <w:pStyle w:val="26"/>
        <w:widowControl w:val="0"/>
        <w:numPr>
          <w:ilvl w:val="0"/>
          <w:numId w:val="13"/>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ascii="Times New Roman" w:hAnsi="Times New Roman" w:eastAsia="仿宋" w:cs="Times New Roman"/>
          <w:kern w:val="2"/>
          <w:sz w:val="32"/>
          <w:szCs w:val="32"/>
          <w:shd w:val="clear" w:color="auto" w:fill="FFFFFF"/>
        </w:rPr>
        <w:t>镇人民政府</w:t>
      </w:r>
      <w:r>
        <w:rPr>
          <w:rFonts w:hint="eastAsia" w:ascii="Calibri" w:hAnsi="Calibri" w:eastAsia="仿宋" w:cs="Times New Roman"/>
          <w:kern w:val="2"/>
          <w:sz w:val="32"/>
          <w:szCs w:val="32"/>
        </w:rPr>
        <w:t>组织</w:t>
      </w:r>
      <w:r>
        <w:rPr>
          <w:rFonts w:ascii="Times New Roman" w:hAnsi="Times New Roman" w:eastAsia="仿宋" w:cs="Times New Roman"/>
          <w:kern w:val="2"/>
          <w:sz w:val="32"/>
          <w:szCs w:val="32"/>
          <w:shd w:val="clear" w:color="auto" w:fill="FFFFFF"/>
        </w:rPr>
        <w:t>镇</w:t>
      </w:r>
      <w:r>
        <w:rPr>
          <w:rFonts w:hint="eastAsia" w:ascii="Times New Roman" w:hAnsi="Times New Roman" w:eastAsia="仿宋" w:cs="Times New Roman"/>
          <w:kern w:val="2"/>
          <w:sz w:val="32"/>
          <w:szCs w:val="32"/>
          <w:shd w:val="clear" w:color="auto" w:fill="FFFFFF"/>
        </w:rPr>
        <w:t>内</w:t>
      </w:r>
      <w:r>
        <w:rPr>
          <w:rFonts w:hint="eastAsia" w:ascii="Calibri" w:hAnsi="Calibri" w:eastAsia="仿宋" w:cs="Times New Roman"/>
          <w:kern w:val="2"/>
          <w:sz w:val="32"/>
          <w:szCs w:val="32"/>
        </w:rPr>
        <w:t>农业农村、乡村建设、城乡管理综合执法等部门及镇所在自然资源所，对房屋进行调查、认定；</w:t>
      </w:r>
    </w:p>
    <w:p>
      <w:pPr>
        <w:pStyle w:val="26"/>
        <w:widowControl w:val="0"/>
        <w:numPr>
          <w:ilvl w:val="0"/>
          <w:numId w:val="13"/>
        </w:numPr>
        <w:tabs>
          <w:tab w:val="left" w:pos="1134"/>
          <w:tab w:val="left" w:pos="1418"/>
        </w:tabs>
        <w:spacing w:before="0" w:beforeAutospacing="0" w:after="0" w:afterAutospacing="0"/>
        <w:ind w:left="0" w:firstLine="640" w:firstLineChars="200"/>
        <w:jc w:val="both"/>
        <w:rPr>
          <w:rFonts w:ascii="Calibri" w:hAnsi="Calibri" w:eastAsia="仿宋" w:cs="Times New Roman"/>
          <w:kern w:val="2"/>
          <w:sz w:val="32"/>
          <w:szCs w:val="32"/>
        </w:rPr>
      </w:pPr>
      <w:r>
        <w:rPr>
          <w:rFonts w:hint="eastAsia" w:ascii="Calibri" w:hAnsi="Calibri" w:eastAsia="仿宋" w:cs="Times New Roman"/>
          <w:kern w:val="2"/>
          <w:sz w:val="32"/>
          <w:szCs w:val="32"/>
        </w:rPr>
        <w:t>认定为不属于违法用地、违法建筑，可以参照合法建筑补偿，按照《补偿办法》村民住宅以外的住宅补偿规定予以补偿。</w:t>
      </w:r>
    </w:p>
    <w:p>
      <w:pPr>
        <w:pStyle w:val="31"/>
        <w:numPr>
          <w:ilvl w:val="0"/>
          <w:numId w:val="1"/>
        </w:numPr>
        <w:shd w:val="clear" w:color="auto" w:fill="FFFFFF"/>
        <w:ind w:left="0" w:firstLine="640"/>
        <w:rPr>
          <w:rFonts w:eastAsia="仿宋"/>
          <w:sz w:val="32"/>
          <w:szCs w:val="32"/>
        </w:rPr>
      </w:pPr>
      <w:r>
        <w:rPr>
          <w:rFonts w:hint="eastAsia" w:eastAsia="仿宋"/>
          <w:sz w:val="32"/>
          <w:szCs w:val="32"/>
        </w:rPr>
        <w:t>【村民住宅以外住宅补偿面积】土地征收预公告发布前未取得《房屋所有权证》《房地产权证》及房地一体《不动产权证》等产权证的村民住宅以外的住宅参照《补偿办法》第三十五条规定评估补偿的，土地面积不得超过120平方米以及总建筑面积不得超过480米，超过部分按照《补偿办法》附件1标准予以补偿，且不给予一次签约补助。</w:t>
      </w:r>
    </w:p>
    <w:p>
      <w:pPr>
        <w:pStyle w:val="31"/>
        <w:numPr>
          <w:ilvl w:val="0"/>
          <w:numId w:val="1"/>
        </w:numPr>
        <w:shd w:val="clear" w:color="auto" w:fill="FFFFFF"/>
        <w:ind w:left="0" w:firstLine="640"/>
        <w:rPr>
          <w:rFonts w:eastAsia="仿宋"/>
          <w:sz w:val="32"/>
          <w:szCs w:val="32"/>
        </w:rPr>
      </w:pPr>
      <w:r>
        <w:rPr>
          <w:rFonts w:hint="eastAsia" w:eastAsia="仿宋"/>
          <w:sz w:val="32"/>
          <w:szCs w:val="32"/>
        </w:rPr>
        <w:t>【补偿台账】《补偿办法》第四十六条和第五十三条所规定的档案和台账，应该是纸质文档及电子文档，</w:t>
      </w:r>
      <w:r>
        <w:rPr>
          <w:rFonts w:ascii="Times New Roman" w:hAnsi="Times New Roman" w:eastAsia="仿宋"/>
          <w:sz w:val="32"/>
          <w:szCs w:val="32"/>
          <w:shd w:val="clear" w:color="auto" w:fill="FFFFFF"/>
        </w:rPr>
        <w:t>镇人民政府</w:t>
      </w:r>
      <w:r>
        <w:rPr>
          <w:rFonts w:hint="eastAsia" w:eastAsia="仿宋"/>
          <w:sz w:val="32"/>
          <w:szCs w:val="32"/>
        </w:rPr>
        <w:t>需定期向县自然资源局、县农业农村局备案，确保不发生土地使用权（含宅基地）重复补偿。</w:t>
      </w:r>
    </w:p>
    <w:p>
      <w:pPr>
        <w:pStyle w:val="31"/>
        <w:numPr>
          <w:ilvl w:val="0"/>
          <w:numId w:val="1"/>
        </w:numPr>
        <w:ind w:left="0" w:firstLine="640"/>
        <w:rPr>
          <w:rFonts w:eastAsia="仿宋"/>
          <w:sz w:val="32"/>
          <w:szCs w:val="32"/>
        </w:rPr>
      </w:pPr>
      <w:bookmarkStart w:id="15" w:name="_Hlk82094310"/>
      <w:r>
        <w:rPr>
          <w:rFonts w:hint="eastAsia" w:eastAsia="仿宋"/>
          <w:sz w:val="32"/>
          <w:szCs w:val="32"/>
        </w:rPr>
        <w:t>【在建住宅房屋】征收土地预公告发布之前主体工程已完工但尚未全面建成的框架、混合结构的住宅房屋，经认定符合一户一宅的，可以按照村民住宅</w:t>
      </w:r>
      <w:r>
        <w:rPr>
          <w:rFonts w:hint="eastAsia" w:eastAsia="仿宋"/>
          <w:color w:val="000000" w:themeColor="text1"/>
          <w:sz w:val="32"/>
          <w:szCs w:val="32"/>
          <w14:textFill>
            <w14:solidFill>
              <w14:schemeClr w14:val="tx1"/>
            </w14:solidFill>
          </w14:textFill>
        </w:rPr>
        <w:t>进行补偿</w:t>
      </w:r>
      <w:r>
        <w:rPr>
          <w:rFonts w:hint="eastAsia" w:eastAsia="仿宋"/>
          <w:sz w:val="32"/>
          <w:szCs w:val="32"/>
        </w:rPr>
        <w:t>，但不给予临时安置</w:t>
      </w:r>
      <w:r>
        <w:rPr>
          <w:rFonts w:eastAsia="仿宋"/>
          <w:sz w:val="32"/>
          <w:szCs w:val="32"/>
        </w:rPr>
        <w:t>补助</w:t>
      </w:r>
      <w:r>
        <w:rPr>
          <w:rFonts w:hint="eastAsia" w:eastAsia="仿宋"/>
          <w:sz w:val="32"/>
          <w:szCs w:val="32"/>
        </w:rPr>
        <w:t>、搬迁补助</w:t>
      </w:r>
      <w:r>
        <w:rPr>
          <w:rFonts w:eastAsia="仿宋"/>
          <w:sz w:val="32"/>
          <w:szCs w:val="32"/>
        </w:rPr>
        <w:t>和限时搬迁奖励</w:t>
      </w:r>
      <w:r>
        <w:rPr>
          <w:rFonts w:hint="eastAsia" w:eastAsia="仿宋"/>
          <w:sz w:val="32"/>
          <w:szCs w:val="32"/>
        </w:rPr>
        <w:t>。</w:t>
      </w:r>
      <w:bookmarkEnd w:id="15"/>
    </w:p>
    <w:p>
      <w:pPr>
        <w:pStyle w:val="31"/>
        <w:numPr>
          <w:ilvl w:val="0"/>
          <w:numId w:val="1"/>
        </w:numPr>
        <w:shd w:val="clear" w:color="auto" w:fill="FFFFFF"/>
        <w:ind w:left="0" w:firstLine="640"/>
        <w:rPr>
          <w:rFonts w:eastAsia="仿宋"/>
          <w:sz w:val="32"/>
          <w:szCs w:val="32"/>
        </w:rPr>
      </w:pPr>
      <w:r>
        <w:rPr>
          <w:rFonts w:hint="eastAsia" w:eastAsia="仿宋"/>
          <w:sz w:val="32"/>
          <w:szCs w:val="32"/>
        </w:rPr>
        <w:t>【未建宅基地】《补偿办法》第四十五条未建住宅的宅基地使用权补偿，应当由权利人申请并提交相关证明材料，经村、村民小组调查核实，并将调查结果经村民代表会议审议通过后，在村、村民小组范围内张贴公示7日以上，公示期满无异议或者异议不成立的，报镇人民政府。</w:t>
      </w:r>
    </w:p>
    <w:p>
      <w:pPr>
        <w:shd w:val="clear" w:color="auto" w:fill="FFFFFF"/>
        <w:ind w:firstLine="640" w:firstLineChars="200"/>
        <w:rPr>
          <w:rFonts w:eastAsia="仿宋"/>
          <w:sz w:val="32"/>
          <w:szCs w:val="32"/>
        </w:rPr>
      </w:pPr>
      <w:r>
        <w:rPr>
          <w:rFonts w:ascii="Times New Roman" w:hAnsi="Times New Roman" w:eastAsia="仿宋" w:cs="Times New Roman"/>
          <w:sz w:val="32"/>
          <w:szCs w:val="32"/>
          <w:shd w:val="clear" w:color="auto" w:fill="FFFFFF"/>
        </w:rPr>
        <w:t>镇人民政府</w:t>
      </w:r>
      <w:r>
        <w:rPr>
          <w:rFonts w:hint="eastAsia" w:eastAsia="仿宋"/>
          <w:sz w:val="32"/>
          <w:szCs w:val="32"/>
        </w:rPr>
        <w:t>组织农业农村、自然资源、住房和城乡建设对宅基地符合一户一宅、符合</w:t>
      </w:r>
      <w:r>
        <w:rPr>
          <w:rFonts w:ascii="Times New Roman" w:hAnsi="Times New Roman" w:eastAsia="仿宋"/>
          <w:sz w:val="32"/>
          <w:szCs w:val="32"/>
          <w:shd w:val="clear" w:color="auto" w:fill="FFFFFF"/>
        </w:rPr>
        <w:t>镇</w:t>
      </w:r>
      <w:r>
        <w:rPr>
          <w:rFonts w:hint="eastAsia" w:eastAsia="仿宋"/>
          <w:sz w:val="32"/>
          <w:szCs w:val="32"/>
        </w:rPr>
        <w:t>土地利用规划、村庄规划、不属于违法用地等进行调查、认定，经认定可以给予补偿的，按照《补偿办法》规定执行。</w:t>
      </w:r>
    </w:p>
    <w:p>
      <w:pPr>
        <w:pStyle w:val="31"/>
        <w:numPr>
          <w:ilvl w:val="0"/>
          <w:numId w:val="1"/>
        </w:numPr>
        <w:shd w:val="clear" w:color="auto" w:fill="FFFFFF"/>
        <w:ind w:left="0" w:firstLine="640"/>
        <w:rPr>
          <w:rFonts w:eastAsia="仿宋"/>
          <w:sz w:val="32"/>
          <w:szCs w:val="32"/>
        </w:rPr>
      </w:pPr>
      <w:r>
        <w:rPr>
          <w:rFonts w:hint="eastAsia" w:eastAsia="仿宋"/>
          <w:sz w:val="32"/>
          <w:szCs w:val="32"/>
        </w:rPr>
        <w:t>【个人住宅建设用地】有土地使用证等合法产权的未建房屋的个人住宅建设用地使用权补偿，应当由权利人申请并提交相关证明材料，</w:t>
      </w:r>
      <w:r>
        <w:rPr>
          <w:rFonts w:ascii="Times New Roman" w:hAnsi="Times New Roman" w:eastAsia="仿宋"/>
          <w:sz w:val="32"/>
          <w:szCs w:val="32"/>
          <w:shd w:val="clear" w:color="auto" w:fill="FFFFFF"/>
        </w:rPr>
        <w:t>镇人民政府</w:t>
      </w:r>
      <w:r>
        <w:rPr>
          <w:rFonts w:hint="eastAsia" w:eastAsia="仿宋"/>
          <w:sz w:val="32"/>
          <w:szCs w:val="32"/>
        </w:rPr>
        <w:t>组织农业农村、自然资源、住房和城乡建设对个人住宅建设用地依法进行调查、认定，经认定不属于违法用地的按照《补偿办法》第三十五条的规定给予补偿土地使用权价值，无其他奖励及补助。</w:t>
      </w:r>
    </w:p>
    <w:p>
      <w:pPr>
        <w:shd w:val="clear" w:color="auto" w:fill="FFFFFF"/>
        <w:ind w:firstLine="640" w:firstLineChars="200"/>
        <w:rPr>
          <w:rFonts w:eastAsia="仿宋"/>
          <w:sz w:val="32"/>
          <w:szCs w:val="32"/>
        </w:rPr>
      </w:pPr>
      <w:r>
        <w:rPr>
          <w:rFonts w:hint="eastAsia" w:eastAsia="仿宋"/>
          <w:sz w:val="32"/>
          <w:szCs w:val="32"/>
        </w:rPr>
        <w:t>申请人应当提交以下资料：</w:t>
      </w:r>
    </w:p>
    <w:p>
      <w:pPr>
        <w:pStyle w:val="31"/>
        <w:numPr>
          <w:ilvl w:val="0"/>
          <w:numId w:val="14"/>
        </w:numPr>
        <w:shd w:val="clear" w:color="auto" w:fill="FFFFFF"/>
        <w:tabs>
          <w:tab w:val="left" w:pos="1418"/>
        </w:tabs>
        <w:ind w:left="0" w:firstLine="640"/>
        <w:rPr>
          <w:rFonts w:eastAsia="仿宋"/>
          <w:sz w:val="32"/>
          <w:szCs w:val="32"/>
        </w:rPr>
      </w:pPr>
      <w:r>
        <w:rPr>
          <w:rFonts w:hint="eastAsia" w:eastAsia="仿宋"/>
          <w:sz w:val="32"/>
          <w:szCs w:val="32"/>
        </w:rPr>
        <w:t>身份证、户口簿；</w:t>
      </w:r>
    </w:p>
    <w:p>
      <w:pPr>
        <w:pStyle w:val="31"/>
        <w:numPr>
          <w:ilvl w:val="0"/>
          <w:numId w:val="14"/>
        </w:numPr>
        <w:shd w:val="clear" w:color="auto" w:fill="FFFFFF"/>
        <w:tabs>
          <w:tab w:val="left" w:pos="1418"/>
        </w:tabs>
        <w:ind w:left="0" w:firstLine="640"/>
        <w:rPr>
          <w:rFonts w:eastAsia="仿宋"/>
          <w:sz w:val="32"/>
          <w:szCs w:val="32"/>
        </w:rPr>
      </w:pPr>
      <w:r>
        <w:rPr>
          <w:rFonts w:hint="eastAsia" w:eastAsia="仿宋"/>
          <w:sz w:val="32"/>
          <w:szCs w:val="32"/>
        </w:rPr>
        <w:t>《集体土地使用证》或《不动产权证》；</w:t>
      </w:r>
    </w:p>
    <w:p>
      <w:pPr>
        <w:pStyle w:val="31"/>
        <w:numPr>
          <w:ilvl w:val="0"/>
          <w:numId w:val="1"/>
        </w:numPr>
        <w:shd w:val="clear" w:color="auto" w:fill="FFFFFF"/>
        <w:ind w:left="0" w:firstLine="640"/>
        <w:rPr>
          <w:rFonts w:eastAsia="仿宋"/>
          <w:sz w:val="32"/>
          <w:szCs w:val="32"/>
        </w:rPr>
      </w:pPr>
      <w:r>
        <w:rPr>
          <w:rFonts w:hint="eastAsia" w:eastAsia="仿宋"/>
          <w:sz w:val="32"/>
          <w:szCs w:val="32"/>
        </w:rPr>
        <w:t>【管线及附属设施】</w:t>
      </w:r>
      <w:r>
        <w:rPr>
          <w:rFonts w:ascii="Times New Roman" w:hAnsi="Times New Roman" w:eastAsia="仿宋"/>
          <w:sz w:val="32"/>
          <w:szCs w:val="32"/>
        </w:rPr>
        <w:t>被征收集体土地范围内涉及供水、排水、油气、供电、通讯、有线电视、铁塔等管线及其附属设施迁移的，按下列办法处理：</w:t>
      </w:r>
    </w:p>
    <w:p>
      <w:pPr>
        <w:shd w:val="clear" w:color="auto" w:fill="FFFFFF"/>
        <w:ind w:firstLine="480" w:firstLineChars="150"/>
        <w:rPr>
          <w:rFonts w:ascii="Times New Roman" w:hAnsi="Times New Roman" w:eastAsia="仿宋"/>
          <w:sz w:val="32"/>
          <w:szCs w:val="32"/>
        </w:rPr>
      </w:pPr>
      <w:r>
        <w:rPr>
          <w:rFonts w:hint="eastAsia" w:ascii="Times New Roman" w:hAnsi="Times New Roman" w:eastAsia="仿宋"/>
          <w:sz w:val="32"/>
          <w:szCs w:val="32"/>
        </w:rPr>
        <w:t>（一）</w:t>
      </w:r>
      <w:r>
        <w:rPr>
          <w:rFonts w:ascii="Times New Roman" w:hAnsi="Times New Roman" w:eastAsia="仿宋"/>
          <w:sz w:val="32"/>
          <w:szCs w:val="32"/>
        </w:rPr>
        <w:t>属于收储土地的（包括商服用地、工矿仓储用地、住宅用地、公共管理与公共服务用地等），管线迁移工作列入征地补偿工作范围。县自然资源主管部门和镇人民政府应当与管线业主单位（或管线业主单位委托的单位）协商管线迁移事宜。管线迁移补偿应当按照原规模、标准和功能的管线重置价格补偿，对因改造、扩容、超过原标准等所增加的费用，由管线业主单位承担；管线迁移由管线业主单位组织实施，管线业主单位不接受货币补偿或者不能确定管线业主单位的，管线迁移由镇人民政府组织实施，管线补偿和迁移费用列入征地成本</w:t>
      </w:r>
    </w:p>
    <w:p>
      <w:pPr>
        <w:shd w:val="clear" w:color="auto" w:fill="FFFFFF"/>
        <w:ind w:firstLine="640" w:firstLineChars="200"/>
        <w:rPr>
          <w:rFonts w:ascii="Times New Roman" w:hAnsi="Times New Roman" w:eastAsia="仿宋" w:cs="Times New Roman"/>
          <w:sz w:val="32"/>
          <w:szCs w:val="32"/>
          <w:shd w:val="clear" w:color="auto" w:fill="FFFFFF"/>
        </w:rPr>
      </w:pPr>
      <w:r>
        <w:rPr>
          <w:rFonts w:hint="eastAsia" w:ascii="Times New Roman" w:hAnsi="Times New Roman" w:eastAsia="仿宋" w:cs="Times New Roman"/>
          <w:sz w:val="32"/>
          <w:szCs w:val="32"/>
        </w:rPr>
        <w:t>（二）</w:t>
      </w:r>
      <w:r>
        <w:rPr>
          <w:rFonts w:ascii="Times New Roman" w:hAnsi="Times New Roman" w:eastAsia="仿宋" w:cs="Times New Roman"/>
          <w:sz w:val="32"/>
          <w:szCs w:val="32"/>
        </w:rPr>
        <w:t>不属于收储土地的（包括交通运输用地、特殊用地等），由用地单位或项目建设单位与管线业主单位（或管线业主单位委托的单位）协商管线迁移事宜。管线补偿和迁移费用由用地单位承担</w:t>
      </w:r>
      <w:r>
        <w:rPr>
          <w:rFonts w:ascii="Times New Roman" w:hAnsi="Times New Roman" w:eastAsia="仿宋" w:cs="Times New Roman"/>
          <w:sz w:val="32"/>
          <w:szCs w:val="32"/>
          <w:shd w:val="clear" w:color="auto" w:fill="FFFFFF"/>
        </w:rPr>
        <w:t>。</w:t>
      </w:r>
    </w:p>
    <w:p>
      <w:pPr>
        <w:pStyle w:val="31"/>
        <w:numPr>
          <w:ilvl w:val="0"/>
          <w:numId w:val="1"/>
        </w:numPr>
        <w:shd w:val="clear" w:color="auto" w:fill="FFFFFF"/>
        <w:ind w:left="0" w:firstLine="640"/>
        <w:rPr>
          <w:rFonts w:eastAsia="仿宋"/>
          <w:sz w:val="32"/>
          <w:szCs w:val="32"/>
        </w:rPr>
      </w:pPr>
      <w:r>
        <w:rPr>
          <w:rFonts w:hint="eastAsia" w:eastAsia="仿宋"/>
          <w:color w:val="000000" w:themeColor="text1"/>
          <w:sz w:val="32"/>
          <w:szCs w:val="32"/>
          <w14:textFill>
            <w14:solidFill>
              <w14:schemeClr w14:val="tx1"/>
            </w14:solidFill>
          </w14:textFill>
        </w:rPr>
        <w:t>【附件补偿情形】采用《补偿办法》附件1补偿标准进行补偿的住宅房屋，应当按照附件1所列明的调整项目进行调整，除附件2第56项列明的砖砌灶外，不得另行增加其他调整项目。</w:t>
      </w:r>
    </w:p>
    <w:p>
      <w:pPr>
        <w:pStyle w:val="31"/>
        <w:numPr>
          <w:ilvl w:val="0"/>
          <w:numId w:val="1"/>
        </w:numPr>
        <w:shd w:val="clear" w:color="auto" w:fill="FFFFFF"/>
        <w:ind w:left="0" w:firstLine="640"/>
        <w:rPr>
          <w:rFonts w:eastAsia="仿宋"/>
          <w:sz w:val="32"/>
          <w:szCs w:val="32"/>
        </w:rPr>
      </w:pPr>
      <w:r>
        <w:rPr>
          <w:rFonts w:hint="eastAsia" w:eastAsia="仿宋"/>
          <w:sz w:val="32"/>
          <w:szCs w:val="32"/>
        </w:rPr>
        <w:t>【新旧政策衔接】本实施细则施行前已发布征地预公告并已部分实施征地的项目，由县自然资源主管部门根据有利于征地工作的原则，提出按原规定实施或者按《</w:t>
      </w:r>
      <w:bookmarkStart w:id="16" w:name="_Hlk71723614"/>
      <w:r>
        <w:rPr>
          <w:rFonts w:hint="eastAsia" w:eastAsia="仿宋"/>
          <w:sz w:val="32"/>
          <w:szCs w:val="32"/>
        </w:rPr>
        <w:t>补偿办法</w:t>
      </w:r>
      <w:bookmarkEnd w:id="16"/>
      <w:r>
        <w:rPr>
          <w:rFonts w:hint="eastAsia" w:eastAsia="仿宋"/>
          <w:sz w:val="32"/>
          <w:szCs w:val="32"/>
        </w:rPr>
        <w:t>》实施的意见，报县人民政府批准后实施。</w:t>
      </w:r>
    </w:p>
    <w:p>
      <w:pPr>
        <w:pStyle w:val="31"/>
        <w:numPr>
          <w:ilvl w:val="0"/>
          <w:numId w:val="1"/>
        </w:numPr>
        <w:shd w:val="clear" w:color="auto" w:fill="FFFFFF"/>
        <w:ind w:left="0" w:firstLine="640"/>
        <w:rPr>
          <w:rFonts w:eastAsia="仿宋"/>
          <w:sz w:val="32"/>
          <w:szCs w:val="32"/>
        </w:rPr>
      </w:pPr>
      <w:r>
        <w:rPr>
          <w:rFonts w:hint="eastAsia" w:eastAsia="仿宋"/>
          <w:sz w:val="32"/>
          <w:szCs w:val="32"/>
        </w:rPr>
        <w:t>本县行政区域范围内集体土地的征收与补偿适用《补偿办法》和本实施细则。本实施细则自2</w:t>
      </w:r>
      <w:r>
        <w:rPr>
          <w:rFonts w:eastAsia="仿宋"/>
          <w:sz w:val="32"/>
          <w:szCs w:val="32"/>
        </w:rPr>
        <w:t>02</w:t>
      </w:r>
      <w:r>
        <w:rPr>
          <w:rFonts w:hint="eastAsia" w:eastAsia="仿宋"/>
          <w:sz w:val="32"/>
          <w:szCs w:val="32"/>
          <w:lang w:val="en-US" w:eastAsia="zh-CN"/>
        </w:rPr>
        <w:t>2</w:t>
      </w:r>
      <w:r>
        <w:rPr>
          <w:rFonts w:hint="eastAsia" w:eastAsia="仿宋"/>
          <w:sz w:val="32"/>
          <w:szCs w:val="32"/>
        </w:rPr>
        <w:t>年*月*日起实施,有效期至</w:t>
      </w:r>
      <w:r>
        <w:rPr>
          <w:rFonts w:hint="eastAsia" w:eastAsia="仿宋"/>
          <w:sz w:val="32"/>
          <w:szCs w:val="32"/>
          <w:lang w:val="en-US" w:eastAsia="zh-CN"/>
        </w:rPr>
        <w:t>3年</w:t>
      </w:r>
      <w:bookmarkStart w:id="30" w:name="_GoBack"/>
      <w:bookmarkEnd w:id="30"/>
      <w:r>
        <w:rPr>
          <w:rFonts w:hint="eastAsia" w:eastAsia="仿宋"/>
          <w:sz w:val="32"/>
          <w:szCs w:val="32"/>
        </w:rPr>
        <w:t>。县人民政府过去制定的有关规定与本实施细则不一致的按本实施细则执行。</w:t>
      </w:r>
    </w:p>
    <w:p>
      <w:pPr>
        <w:pStyle w:val="31"/>
        <w:shd w:val="clear" w:color="auto" w:fill="FFFFFF"/>
        <w:tabs>
          <w:tab w:val="left" w:pos="2127"/>
          <w:tab w:val="left" w:pos="2410"/>
        </w:tabs>
        <w:spacing w:line="520" w:lineRule="exact"/>
        <w:ind w:left="640" w:firstLine="0" w:firstLineChars="0"/>
        <w:rPr>
          <w:rFonts w:ascii="Times New Roman" w:hAnsi="Times New Roman" w:eastAsia="仿宋"/>
          <w:sz w:val="32"/>
          <w:szCs w:val="32"/>
          <w:shd w:val="clear" w:color="auto" w:fill="FFFFFF"/>
        </w:rPr>
      </w:pPr>
      <w:r>
        <w:rPr>
          <w:rFonts w:ascii="Times New Roman" w:hAnsi="Times New Roman" w:eastAsia="仿宋"/>
          <w:sz w:val="32"/>
          <w:szCs w:val="32"/>
          <w:shd w:val="clear" w:color="auto" w:fill="FFFFFF"/>
        </w:rPr>
        <w:t>附件：1</w:t>
      </w:r>
      <w:r>
        <w:rPr>
          <w:rFonts w:hint="eastAsia" w:ascii="Times New Roman" w:hAnsi="Times New Roman" w:eastAsia="仿宋"/>
          <w:sz w:val="32"/>
          <w:szCs w:val="32"/>
          <w:shd w:val="clear" w:color="auto" w:fill="FFFFFF"/>
        </w:rPr>
        <w:t>.</w:t>
      </w:r>
      <w:r>
        <w:rPr>
          <w:rFonts w:hint="eastAsia" w:ascii="Times New Roman" w:hAnsi="Times New Roman" w:eastAsia="仿宋"/>
          <w:spacing w:val="-6"/>
          <w:sz w:val="32"/>
          <w:szCs w:val="32"/>
          <w:shd w:val="clear" w:color="auto" w:fill="FFFFFF"/>
        </w:rPr>
        <w:t>博罗县房屋市场租金标准</w:t>
      </w:r>
    </w:p>
    <w:p>
      <w:pPr>
        <w:pStyle w:val="26"/>
        <w:spacing w:before="0" w:beforeAutospacing="0" w:after="0" w:afterAutospacing="0" w:line="520" w:lineRule="exact"/>
        <w:ind w:firstLine="1600" w:firstLineChars="500"/>
        <w:jc w:val="both"/>
        <w:rPr>
          <w:rFonts w:ascii="Times New Roman" w:hAnsi="Times New Roman" w:eastAsia="仿宋" w:cs="Times New Roman"/>
          <w:spacing w:val="-10"/>
          <w:sz w:val="32"/>
          <w:szCs w:val="32"/>
          <w:shd w:val="clear" w:color="auto" w:fill="FFFFFF"/>
        </w:rPr>
      </w:pPr>
      <w:r>
        <w:rPr>
          <w:rFonts w:ascii="Times New Roman" w:hAnsi="Times New Roman" w:eastAsia="仿宋" w:cs="Times New Roman"/>
          <w:sz w:val="32"/>
          <w:szCs w:val="32"/>
          <w:shd w:val="clear" w:color="auto" w:fill="FFFFFF"/>
        </w:rPr>
        <w:t>2</w:t>
      </w:r>
      <w:r>
        <w:rPr>
          <w:rFonts w:hint="eastAsia" w:ascii="Times New Roman" w:hAnsi="Times New Roman" w:eastAsia="仿宋" w:cs="Times New Roman"/>
          <w:sz w:val="32"/>
          <w:szCs w:val="32"/>
          <w:shd w:val="clear" w:color="auto" w:fill="FFFFFF"/>
        </w:rPr>
        <w:t>.</w:t>
      </w:r>
      <w:r>
        <w:rPr>
          <w:rFonts w:hint="eastAsia" w:ascii="Times New Roman" w:hAnsi="Times New Roman" w:eastAsia="仿宋" w:cs="Times New Roman"/>
          <w:spacing w:val="-10"/>
          <w:sz w:val="32"/>
          <w:szCs w:val="32"/>
          <w:shd w:val="clear" w:color="auto" w:fill="FFFFFF"/>
        </w:rPr>
        <w:t>征地补偿表格示范文本</w:t>
      </w:r>
    </w:p>
    <w:p>
      <w:pPr>
        <w:pStyle w:val="26"/>
        <w:spacing w:before="0" w:beforeAutospacing="0" w:after="0" w:afterAutospacing="0" w:line="520" w:lineRule="exact"/>
        <w:ind w:firstLine="1600" w:firstLineChars="500"/>
        <w:jc w:val="both"/>
        <w:rPr>
          <w:rFonts w:ascii="Times New Roman" w:hAnsi="Times New Roman" w:eastAsia="仿宋" w:cs="Times New Roman"/>
          <w:kern w:val="2"/>
          <w:sz w:val="32"/>
          <w:szCs w:val="32"/>
          <w:shd w:val="clear" w:color="auto" w:fill="FFFFFF"/>
        </w:rPr>
      </w:pPr>
      <w:r>
        <w:rPr>
          <w:rFonts w:hint="eastAsia" w:ascii="Times New Roman" w:hAnsi="Times New Roman" w:eastAsia="仿宋" w:cs="Times New Roman"/>
          <w:kern w:val="2"/>
          <w:sz w:val="32"/>
          <w:szCs w:val="32"/>
          <w:shd w:val="clear" w:color="auto" w:fill="FFFFFF"/>
        </w:rPr>
        <w:t>3.办理补偿登记资料清单</w:t>
      </w:r>
    </w:p>
    <w:p>
      <w:pPr>
        <w:pStyle w:val="26"/>
        <w:spacing w:before="0" w:beforeAutospacing="0" w:after="0" w:afterAutospacing="0" w:line="520" w:lineRule="exact"/>
        <w:ind w:firstLine="1600" w:firstLineChars="500"/>
        <w:jc w:val="both"/>
        <w:rPr>
          <w:rFonts w:ascii="Times New Roman" w:hAnsi="Times New Roman" w:eastAsia="仿宋" w:cs="Times New Roman"/>
          <w:kern w:val="2"/>
          <w:sz w:val="32"/>
          <w:szCs w:val="32"/>
          <w:shd w:val="clear" w:color="auto" w:fill="FFFFFF"/>
        </w:rPr>
      </w:pPr>
      <w:r>
        <w:rPr>
          <w:rFonts w:hint="eastAsia" w:ascii="Times New Roman" w:hAnsi="Times New Roman" w:eastAsia="仿宋" w:cs="Times New Roman"/>
          <w:kern w:val="2"/>
          <w:sz w:val="32"/>
          <w:szCs w:val="32"/>
          <w:shd w:val="clear" w:color="auto" w:fill="FFFFFF"/>
        </w:rPr>
        <w:t>4.伯公庙、土地公等补偿</w:t>
      </w:r>
    </w:p>
    <w:p>
      <w:pPr>
        <w:pStyle w:val="26"/>
        <w:spacing w:before="0" w:beforeAutospacing="0" w:after="0" w:afterAutospacing="0" w:line="520" w:lineRule="exact"/>
        <w:ind w:firstLine="1600" w:firstLineChars="500"/>
        <w:jc w:val="both"/>
        <w:rPr>
          <w:rFonts w:ascii="Times New Roman" w:hAnsi="Times New Roman" w:eastAsia="仿宋" w:cs="Times New Roman"/>
          <w:kern w:val="2"/>
          <w:sz w:val="32"/>
          <w:szCs w:val="32"/>
          <w:shd w:val="clear" w:color="auto" w:fill="FFFFFF"/>
        </w:rPr>
      </w:pPr>
      <w:r>
        <w:rPr>
          <w:rFonts w:hint="eastAsia" w:ascii="Times New Roman" w:hAnsi="Times New Roman" w:eastAsia="仿宋" w:cs="Times New Roman"/>
          <w:kern w:val="2"/>
          <w:sz w:val="32"/>
          <w:szCs w:val="32"/>
          <w:shd w:val="clear" w:color="auto" w:fill="FFFFFF"/>
        </w:rPr>
        <w:t>5.清点工作收费标准</w:t>
      </w:r>
    </w:p>
    <w:p>
      <w:pPr>
        <w:pStyle w:val="26"/>
        <w:spacing w:before="0" w:beforeAutospacing="0" w:after="0" w:afterAutospacing="0" w:line="520" w:lineRule="exact"/>
        <w:ind w:firstLine="1600" w:firstLineChars="500"/>
        <w:jc w:val="both"/>
        <w:rPr>
          <w:rFonts w:ascii="Times New Roman" w:hAnsi="Times New Roman" w:eastAsia="仿宋" w:cs="Times New Roman"/>
          <w:spacing w:val="-10"/>
          <w:sz w:val="32"/>
          <w:szCs w:val="32"/>
          <w:shd w:val="clear" w:color="auto" w:fill="FFFFFF"/>
        </w:rPr>
      </w:pPr>
      <w:r>
        <w:rPr>
          <w:rFonts w:hint="eastAsia" w:ascii="Times New Roman" w:hAnsi="Times New Roman" w:eastAsia="仿宋" w:cs="Times New Roman"/>
          <w:kern w:val="2"/>
          <w:sz w:val="32"/>
          <w:szCs w:val="32"/>
          <w:shd w:val="clear" w:color="auto" w:fill="FFFFFF"/>
        </w:rPr>
        <w:t>6.社会稳定风险评估收费标准</w:t>
      </w:r>
      <w:bookmarkStart w:id="17" w:name="_Hlk80372113"/>
      <w:r>
        <w:rPr>
          <w:rFonts w:ascii="Times New Roman" w:hAnsi="Times New Roman" w:eastAsia="仿宋" w:cs="Times New Roman"/>
          <w:spacing w:val="-10"/>
          <w:sz w:val="32"/>
          <w:szCs w:val="32"/>
          <w:shd w:val="clear" w:color="auto" w:fill="FFFFFF"/>
        </w:rPr>
        <w:br w:type="page"/>
      </w:r>
    </w:p>
    <w:p>
      <w:pPr>
        <w:shd w:val="clear" w:color="auto" w:fill="FFFFFF"/>
        <w:tabs>
          <w:tab w:val="left" w:pos="2127"/>
          <w:tab w:val="left" w:pos="2410"/>
        </w:tabs>
        <w:outlineLvl w:val="0"/>
        <w:rPr>
          <w:rFonts w:ascii="Times New Roman" w:hAnsi="Times New Roman" w:eastAsia="仿宋"/>
          <w:b/>
          <w:bCs/>
          <w:sz w:val="32"/>
          <w:szCs w:val="32"/>
          <w:shd w:val="clear" w:color="auto" w:fill="FFFFFF"/>
        </w:rPr>
      </w:pPr>
      <w:r>
        <w:rPr>
          <w:rFonts w:ascii="Times New Roman" w:hAnsi="Times New Roman" w:eastAsia="仿宋"/>
          <w:b/>
          <w:bCs/>
          <w:sz w:val="32"/>
          <w:szCs w:val="32"/>
          <w:shd w:val="clear" w:color="auto" w:fill="FFFFFF"/>
        </w:rPr>
        <w:t>附件1</w:t>
      </w:r>
    </w:p>
    <w:bookmarkEnd w:id="17"/>
    <w:p>
      <w:pPr>
        <w:shd w:val="clear" w:color="auto" w:fill="FFFFFF"/>
        <w:tabs>
          <w:tab w:val="left" w:pos="2127"/>
          <w:tab w:val="left" w:pos="2410"/>
        </w:tabs>
        <w:jc w:val="center"/>
        <w:rPr>
          <w:rFonts w:ascii="方正小标宋简体" w:hAnsi="Times New Roman" w:eastAsia="方正小标宋简体"/>
          <w:spacing w:val="-6"/>
          <w:sz w:val="44"/>
          <w:szCs w:val="44"/>
          <w:shd w:val="clear" w:color="auto" w:fill="FFFFFF"/>
        </w:rPr>
      </w:pPr>
      <w:r>
        <w:rPr>
          <w:rFonts w:hint="eastAsia" w:ascii="方正小标宋简体" w:hAnsi="Times New Roman" w:eastAsia="方正小标宋简体"/>
          <w:spacing w:val="-6"/>
          <w:sz w:val="44"/>
          <w:szCs w:val="44"/>
          <w:shd w:val="clear" w:color="auto" w:fill="FFFFFF"/>
        </w:rPr>
        <w:t>博罗县房屋市场租金标准</w:t>
      </w:r>
    </w:p>
    <w:p>
      <w:pPr>
        <w:spacing w:line="500" w:lineRule="exact"/>
        <w:ind w:firstLine="482" w:firstLineChars="200"/>
        <w:jc w:val="center"/>
        <w:rPr>
          <w:rFonts w:ascii="仿宋_GB2312" w:eastAsia="仿宋_GB2312" w:cs="宋体" w:hAnsiTheme="minorEastAsia"/>
          <w:b/>
          <w:bCs/>
          <w:color w:val="000000" w:themeColor="text1"/>
          <w:kern w:val="0"/>
          <w:sz w:val="24"/>
          <w14:textFill>
            <w14:solidFill>
              <w14:schemeClr w14:val="tx1"/>
            </w14:solidFill>
          </w14:textFill>
        </w:rPr>
      </w:pPr>
      <w:bookmarkStart w:id="18" w:name="_Hlk80641736"/>
      <w:r>
        <w:rPr>
          <w:rFonts w:hint="eastAsia" w:ascii="仿宋_GB2312" w:eastAsia="仿宋_GB2312" w:cs="宋体" w:hAnsiTheme="minorEastAsia"/>
          <w:b/>
          <w:bCs/>
          <w:color w:val="000000" w:themeColor="text1"/>
          <w:kern w:val="0"/>
          <w:sz w:val="24"/>
          <w14:textFill>
            <w14:solidFill>
              <w14:schemeClr w14:val="tx1"/>
            </w14:solidFill>
          </w14:textFill>
        </w:rPr>
        <w:t>表一 博罗县临街首层商铺租金路线价表</w:t>
      </w:r>
    </w:p>
    <w:tbl>
      <w:tblPr>
        <w:tblStyle w:val="13"/>
        <w:tblW w:w="9321" w:type="dxa"/>
        <w:tblInd w:w="0" w:type="dxa"/>
        <w:tblLayout w:type="fixed"/>
        <w:tblCellMar>
          <w:top w:w="0" w:type="dxa"/>
          <w:left w:w="108" w:type="dxa"/>
          <w:bottom w:w="0" w:type="dxa"/>
          <w:right w:w="108" w:type="dxa"/>
        </w:tblCellMar>
      </w:tblPr>
      <w:tblGrid>
        <w:gridCol w:w="675"/>
        <w:gridCol w:w="1843"/>
        <w:gridCol w:w="2163"/>
        <w:gridCol w:w="3649"/>
        <w:gridCol w:w="991"/>
      </w:tblGrid>
      <w:tr>
        <w:tblPrEx>
          <w:tblCellMar>
            <w:top w:w="0" w:type="dxa"/>
            <w:left w:w="108" w:type="dxa"/>
            <w:bottom w:w="0" w:type="dxa"/>
            <w:right w:w="108" w:type="dxa"/>
          </w:tblCellMar>
        </w:tblPrEx>
        <w:trPr>
          <w:trHeight w:val="285"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编号</w:t>
            </w:r>
          </w:p>
        </w:tc>
        <w:tc>
          <w:tcPr>
            <w:tcW w:w="1843"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所属街道办（镇）</w:t>
            </w:r>
          </w:p>
        </w:tc>
        <w:tc>
          <w:tcPr>
            <w:tcW w:w="2163"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路段名称</w:t>
            </w:r>
          </w:p>
        </w:tc>
        <w:tc>
          <w:tcPr>
            <w:tcW w:w="3649"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路段起止</w:t>
            </w:r>
          </w:p>
        </w:tc>
        <w:tc>
          <w:tcPr>
            <w:tcW w:w="991"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租金分析结果</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上塘路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榕溪路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博罗大道西</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蓄能路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中园五路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建设路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中园三路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庆生路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商业中街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光明路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北门路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桥西四路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人民路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商业中街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商业西街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榕新路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环城路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解放西路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江南大道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商业东街1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东至桃园路，西至矮岗路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商业东街2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东至惠博大道，西至桃园路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公园北路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东至怡景路，西至公园东路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博惠路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西至罗阳二路，东至博罗大道中</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北至博惠路，南至商业东街</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怡景路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北至博罗大道中，南至商业东街</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罗阳二路北段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北至北环大道，南至博罗大道中</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博罗大道中</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西至建业大道，东至惠博大道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博罗大道东</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西至惠博大道，东至汤泉派出所路口</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罗阳街道小金村</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金龙大道1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北至长深高速，南至金岁路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罗阳街道小金村</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金龙大道2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北至金岁路，南至山坑桥</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罗阳街道小金村</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润佳商业街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罗阳街道小金村</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金岁路（原金罗路）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明月一路1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北至建设中路，南至兴湖路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明月一路2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北至兴湖路，南至清湾路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明月一路3</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北至清湾路，南至红海路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建设东路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建设中路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人民路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西至兴业大道，东至石湾大道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红海路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长堤东路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西至明月一路，东至历山路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历山路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清湾路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湾湖东路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湾湖西路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西至明月一路，东至永兴路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兴湖路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西至建设西路，东至明月一路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宏明西路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明月二路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明月三路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石湾大道1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北至中国石油加油站，南至明月三路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石湾大道2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北至明月三路，南至人民路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建设西路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永康西路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兴业大道1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北至明月三路，南至双城峰景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石湾镇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兴业大道2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北至双城峰景，南至皇庭壹号公馆</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文福路（原香洲路）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福园路1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北至庆丰四路，南至中心桥</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福园路2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北至庆丰一路，南至庆丰四路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沙河大道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西至文昌路，东至福园路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刘安路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绿化北路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西至中园路，东至福园北路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福园北路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福园南路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北至福园北路，南至园洲义乌小商品批发城</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绿化南路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园洲大道1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西至水电路，东至福园路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园洲大道2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西至博罗县园洲京柏制衣厂工会委员会，东至水电路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园洲大道3</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西至福园路，东至从莞高速段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园洲大道4</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西至中国石化（园洲加油站），东至博罗县园洲京柏制衣厂工会委员会</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兴发路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兴园一路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兴园二路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兴园三路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兴园四路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兴园五路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水电路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桥北路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富民路1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北至园洲大道，南至兴园二路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富民路2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北至兴园二路，南至园洲旧路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影湖路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南岗路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新南一路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顺丰路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五丰路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中园路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颐园路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轻纺路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秀丽路1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西至晶港大酒店，东至秀丽路与中园路交界处</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秀丽路2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西至秀丽路与中园路交界处，东至福园南路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秀丽路3</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西至福园南路，东至上南公园</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教育路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园洲镇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富丽路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九潭镇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振兴大道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西至和安大道，东至博罗县公安局九潭派出所桦阳警务区</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九潭镇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福园路1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北至Y533,南至增提路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九潭镇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福园路2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北至和安大道,南至Y533</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九潭镇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新风街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九潭镇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东堤街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西至增提路,东至成利路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九潭镇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银河北路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九潭镇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银河南路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九潭镇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振兴街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324国道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新丰路1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北至长宁中心小学，南至长宁大道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新丰路2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北至长罗路，南至长宁中心小学</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长平路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东新街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人民中路1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西长宁中心小学，东至罗浮大道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人民中路2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西至罗浮路，东至长宁中心小学</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人民路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北至长罗路，南至人民路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北至人民路，南至建设银行</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罗浮路3</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北至建设银行，南至长宁大道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罗浮山</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罗浮大道1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东北至博罗金阳光假日酒店，西南至惠州罗浮山佳适尚品酒店</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罗浮山</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罗浮大道2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北至惠州罗浮山佳适尚品酒店，南至名流大道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罗浮山</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罗浮大道3</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北至名流大道，南至324国道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罗浮山</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罗浮山景区内商业街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福兴大道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北至力天山水豪庭，南至国道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119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福明路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北至祝贺礼品厂，南至国道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福达大道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北至国道，南至长福路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北至国道，南至尚品酒店</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福园北路1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北至河南路，南至国道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福园北路2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北至福徐路，南至河北路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福徐路1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东至福田文体广场，西至福园北路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福徐路2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东至福园北路，西至福政路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过桥新路1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北至山水华章，南至河北路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过桥新路2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北至河南路，南至国道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75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河北路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东至福园北路，西至国道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129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河南路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东至福园北路，西至国道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福政路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北至福文路，南至国道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国道1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东至大井大道，西至柚果石油</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国道2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东至福政路，西至大井大道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国道3</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东至福达大道，西至福政路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福田镇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国道4</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东至中港城，西至福达大道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龙华大道东（南段）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金燕农贸-峰景嘉园</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龙华大道东（中段）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峰景嘉园-龙华镇人大</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龙华大道东（北段）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龙华镇人大-龙华崇恩医院</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龙宁路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139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永杰路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华翠路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龙腾路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中心大街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龙城大道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工业大道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夏岗路（北段）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中国石油（顺通加油站）-集和堂大药房</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夏岗路（南段）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集和堂大药房-博罗农商银行（龙溪支行）</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大塘路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龙岗大道（南段）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博罗农商银行（新街分理处）-龙苏路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149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龙岗大道（北段）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龙苏路（龙溪中心市场）-广汕路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振兴路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人民路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广汕路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电子城路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上埔路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岗湖路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金昌路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龙溪大道（北段）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中石化加油站（龙润加油站）-龙苏路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龙溪大道（南段）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龙苏路-大塘路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龙苏路（北段）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龙溪大道-龙溪中心市场</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龙苏路（南段）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龙溪中心市场-明星幼儿园</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球岗路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26</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龙桥大道(北段 )</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中国石化（广惠加油站）-夏岗路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龙桥大道（南段）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夏岗路-延长壳牌</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龙银路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龙园大道（南段）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龙庭路-龙园路交界-人民路与龙园路交界（龙溪中心幼儿园）</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龙溪街道</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龙园大道（北段）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龙溪中心幼儿园-龙岗大道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169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义和社区</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博罗大道西</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义和社区</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新锋路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义和社区</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文昌路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义和社区</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宏博路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义和社区</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永盛路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义和社区</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义和社区</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农昌路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义和社区</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义丰路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义和社区</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西区中路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富裕大道西</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西至湖镇镇文化广场，东至长旺路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179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富裕大道东</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西至长旺路，东至博罗县人民法院湖镇分院</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文明中路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北至富裕大道，南至220国道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文明南路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北至220国道，南至道路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圩北街1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西至中央观邸，东至文明中路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圩北街2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西至文明中路，东至长旺路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80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长旺路1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北至湖镇镇人民政府，南至富裕大道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长旺路2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北至富裕大道，南至220国道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圩南街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西至文德路，东至长旺路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年景好公寓至中央观邸</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商业一街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西至商业街，东至桂花街</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189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商业二街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西至商业街，东至桂花街</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文德路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北至富裕大道，南至220国道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湖镇镇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G220</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西至年景好公寓，东至金湖苑</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响水镇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建设路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南至广梅公路（农行ATM），北至花园餐厅</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响水镇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广梅公路响水段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东至中油BP，西至响水中队</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下塘大道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柏塘新桥至柏塘镇人民政府</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新圩东路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下塘大道至解放南路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河唇路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东北至下塘大道，西南至新圩北路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新圩北路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万基药店至广梅公路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新圩南路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日安堂药店至万基药店</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199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锦绣路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北至水岸花都，南至雍东园</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G220(1)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西至崇基工业园，东至柏塘农贸商业中心</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G220(2)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西至柏塘农贸商业中心，东至柏塘粮食管理所</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G220(3)</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西至柏塘粮食管理所，东至博罗县柏兴学校</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柏塘镇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荷排路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西至柏塘新桥，东至润丰水泥</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平安镇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广梅公路平安段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东至平安中学，西至桂花街路口</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平安镇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平安市场一巷</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南至广梅公路路口，北至天天宜家</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横河镇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桥西路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横河国土所至桥西路与233县道交汇处</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横河镇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长河大道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东至沿河西路，西至长河公路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横河镇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沿河西路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横河国土所至横河派出所</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横河镇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新市场路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长河公路至沿河西路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横河镇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长河公路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桥西路与233县道交汇处至横河派出所</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横河镇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桥东路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东至横河中学，西至河背路与桥东路交叉口</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公庄镇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商业街1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北至三中路，南至兴庄路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公庄镇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商业街2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北至兴庄路，南至花园北路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公庄镇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花园北路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东至公庄大道，西至华远西路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公庄镇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金龙大道(公庄大道）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北至三中路，南至218县道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公庄镇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三中路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北至三中路，南至218县道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公庄镇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中心市场</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北至三中路，南至兴庄路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公庄镇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兴庄路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东至公庄大道，西至桔懒路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219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杨兴五路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杨村卫生院北临路，东至205国道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东苑大道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东苑花园南临路，西至205国道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杨新一路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杨江大酒店西临路，南至杨新五路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王屋北街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北至东平路，南至205国道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杨平路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杨村中心幼儿园东临路，南至205国道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金杨大道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杨村国土所南临路，东至205国道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杨村大道（原205国道（中段））</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杨村政府南临路，西至218县道，东至市场东路）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杨侨镇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杨侨大道1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西至佰盛陶瓷，东至杨侨镇政府</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杨侨镇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杨侨大道2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东杨侨派出所，东至215县道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观音阁镇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观音大道</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东至观山大桥，西至广场</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229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观音阁镇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观音阁镇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新建路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振兴大道北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石坝大道1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东至振兴大道，西至桥东路</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石坝大道2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东至桥东路，西至卫生院</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石坝大道3</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东至卫生院，西至基督石坝福音堂</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桥东南路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石蓝路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桥东二路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繁荣街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239</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新圩北街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240</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新圩中心街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石坝镇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新圩南街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麻陂镇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麻陂大道（原山深线）</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麻陂镇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商业街</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麻陂镇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大马路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40</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泰美镇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工农路1</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北段，北至敬老院门口，南至邮储</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泰美镇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工农路2</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南段，北至邮储，南至金龙大道</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泰美镇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康乐路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45</w:t>
            </w:r>
          </w:p>
        </w:tc>
      </w:tr>
      <w:tr>
        <w:tblPrEx>
          <w:tblCellMar>
            <w:top w:w="0" w:type="dxa"/>
            <w:left w:w="108" w:type="dxa"/>
            <w:bottom w:w="0" w:type="dxa"/>
            <w:right w:w="108" w:type="dxa"/>
          </w:tblCellMar>
        </w:tblPrEx>
        <w:trPr>
          <w:trHeight w:val="285" w:hRule="atLeast"/>
        </w:trPr>
        <w:tc>
          <w:tcPr>
            <w:tcW w:w="6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248</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泰美镇</w:t>
            </w:r>
          </w:p>
        </w:tc>
        <w:tc>
          <w:tcPr>
            <w:tcW w:w="216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创新路</w:t>
            </w:r>
          </w:p>
        </w:tc>
        <w:tc>
          <w:tcPr>
            <w:tcW w:w="36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全段</w:t>
            </w:r>
          </w:p>
        </w:tc>
        <w:tc>
          <w:tcPr>
            <w:tcW w:w="99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w:t>
            </w:r>
          </w:p>
        </w:tc>
      </w:tr>
    </w:tbl>
    <w:p>
      <w:pPr>
        <w:spacing w:line="560" w:lineRule="exact"/>
        <w:ind w:firstLine="560" w:firstLineChars="200"/>
        <w:rPr>
          <w:rFonts w:ascii="仿宋_GB2312" w:eastAsia="仿宋_GB2312" w:hAnsiTheme="minorEastAsia"/>
          <w:color w:val="000000" w:themeColor="text1"/>
          <w:sz w:val="28"/>
          <w:szCs w:val="28"/>
          <w14:textFill>
            <w14:solidFill>
              <w14:schemeClr w14:val="tx1"/>
            </w14:solidFill>
          </w14:textFill>
        </w:rPr>
      </w:pPr>
      <w:r>
        <w:rPr>
          <w:rFonts w:hint="eastAsia" w:ascii="仿宋_GB2312" w:eastAsia="仿宋_GB2312" w:hAnsiTheme="minorEastAsia"/>
          <w:color w:val="000000" w:themeColor="text1"/>
          <w:sz w:val="28"/>
          <w:szCs w:val="28"/>
          <w14:textFill>
            <w14:solidFill>
              <w14:schemeClr w14:val="tx1"/>
            </w14:solidFill>
          </w14:textFill>
        </w:rPr>
        <w:t>未在上述路段范围内的其余路段临街一层商铺租金水平如下：</w:t>
      </w:r>
    </w:p>
    <w:p>
      <w:pPr>
        <w:spacing w:line="500" w:lineRule="exact"/>
        <w:ind w:firstLine="482" w:firstLineChars="200"/>
        <w:jc w:val="center"/>
        <w:rPr>
          <w:rFonts w:ascii="仿宋_GB2312" w:eastAsia="仿宋_GB2312" w:cs="宋体" w:hAnsiTheme="minorEastAsia"/>
          <w:b/>
          <w:bCs/>
          <w:color w:val="000000" w:themeColor="text1"/>
          <w:kern w:val="0"/>
          <w:sz w:val="24"/>
          <w14:textFill>
            <w14:solidFill>
              <w14:schemeClr w14:val="tx1"/>
            </w14:solidFill>
          </w14:textFill>
        </w:rPr>
      </w:pPr>
      <w:r>
        <w:rPr>
          <w:rFonts w:hint="eastAsia" w:ascii="仿宋_GB2312" w:eastAsia="仿宋_GB2312" w:cs="宋体" w:hAnsiTheme="minorEastAsia"/>
          <w:b/>
          <w:bCs/>
          <w:color w:val="000000" w:themeColor="text1"/>
          <w:kern w:val="0"/>
          <w:sz w:val="24"/>
          <w14:textFill>
            <w14:solidFill>
              <w14:schemeClr w14:val="tx1"/>
            </w14:solidFill>
          </w14:textFill>
        </w:rPr>
        <w:t>表二 博罗县临街首层商铺租金价格表</w:t>
      </w:r>
    </w:p>
    <w:tbl>
      <w:tblPr>
        <w:tblStyle w:val="13"/>
        <w:tblW w:w="49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5831"/>
        <w:gridCol w:w="2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05" w:type="pct"/>
            <w:shd w:val="clear" w:color="auto" w:fill="BEBEBE" w:themeFill="background1" w:themeFillShade="BF"/>
            <w:vAlign w:val="center"/>
          </w:tcPr>
          <w:p>
            <w:pPr>
              <w:widowControl/>
              <w:jc w:val="center"/>
              <w:rPr>
                <w:rFonts w:ascii="仿宋_GB2312" w:eastAsia="仿宋_GB2312" w:cs="宋体" w:hAnsiTheme="minorEastAsia"/>
                <w:b/>
                <w:color w:val="000000" w:themeColor="text1"/>
                <w:kern w:val="0"/>
                <w:sz w:val="22"/>
                <w14:textFill>
                  <w14:solidFill>
                    <w14:schemeClr w14:val="tx1"/>
                  </w14:solidFill>
                </w14:textFill>
              </w:rPr>
            </w:pPr>
            <w:r>
              <w:rPr>
                <w:rFonts w:hint="eastAsia" w:ascii="仿宋_GB2312" w:eastAsia="仿宋_GB2312" w:cs="宋体" w:hAnsiTheme="minorEastAsia"/>
                <w:b/>
                <w:color w:val="000000" w:themeColor="text1"/>
                <w:kern w:val="0"/>
                <w:sz w:val="22"/>
                <w14:textFill>
                  <w14:solidFill>
                    <w14:schemeClr w14:val="tx1"/>
                  </w14:solidFill>
                </w14:textFill>
              </w:rPr>
              <w:t>等级</w:t>
            </w:r>
          </w:p>
        </w:tc>
        <w:tc>
          <w:tcPr>
            <w:tcW w:w="3151" w:type="pct"/>
            <w:shd w:val="clear" w:color="auto" w:fill="BEBEBE" w:themeFill="background1" w:themeFillShade="BF"/>
            <w:vAlign w:val="center"/>
          </w:tcPr>
          <w:p>
            <w:pPr>
              <w:widowControl/>
              <w:jc w:val="center"/>
              <w:rPr>
                <w:rFonts w:ascii="仿宋_GB2312" w:eastAsia="仿宋_GB2312" w:cs="宋体" w:hAnsiTheme="minorEastAsia"/>
                <w:b/>
                <w:color w:val="000000" w:themeColor="text1"/>
                <w:kern w:val="0"/>
                <w:sz w:val="22"/>
                <w14:textFill>
                  <w14:solidFill>
                    <w14:schemeClr w14:val="tx1"/>
                  </w14:solidFill>
                </w14:textFill>
              </w:rPr>
            </w:pPr>
            <w:r>
              <w:rPr>
                <w:rFonts w:hint="eastAsia" w:ascii="仿宋_GB2312" w:eastAsia="仿宋_GB2312" w:cs="宋体" w:hAnsiTheme="minorEastAsia"/>
                <w:b/>
                <w:color w:val="000000" w:themeColor="text1"/>
                <w:kern w:val="0"/>
                <w:sz w:val="22"/>
                <w14:textFill>
                  <w14:solidFill>
                    <w14:schemeClr w14:val="tx1"/>
                  </w14:solidFill>
                </w14:textFill>
              </w:rPr>
              <w:t>所属街道办（镇）</w:t>
            </w:r>
          </w:p>
        </w:tc>
        <w:tc>
          <w:tcPr>
            <w:tcW w:w="1244" w:type="pct"/>
            <w:shd w:val="clear" w:color="auto" w:fill="BEBEBE" w:themeFill="background1" w:themeFillShade="BF"/>
            <w:vAlign w:val="center"/>
          </w:tcPr>
          <w:p>
            <w:pPr>
              <w:widowControl/>
              <w:jc w:val="center"/>
              <w:rPr>
                <w:rFonts w:ascii="仿宋_GB2312" w:eastAsia="仿宋_GB2312" w:cs="宋体" w:hAnsiTheme="minorEastAsia"/>
                <w:b/>
                <w:color w:val="000000" w:themeColor="text1"/>
                <w:kern w:val="0"/>
                <w:sz w:val="22"/>
                <w14:textFill>
                  <w14:solidFill>
                    <w14:schemeClr w14:val="tx1"/>
                  </w14:solidFill>
                </w14:textFill>
              </w:rPr>
            </w:pPr>
            <w:r>
              <w:rPr>
                <w:rFonts w:hint="eastAsia" w:ascii="仿宋_GB2312" w:eastAsia="仿宋_GB2312" w:cs="宋体" w:hAnsiTheme="minorEastAsia"/>
                <w:b/>
                <w:color w:val="000000" w:themeColor="text1"/>
                <w:kern w:val="0"/>
                <w:sz w:val="22"/>
                <w14:textFill>
                  <w14:solidFill>
                    <w14:schemeClr w14:val="tx1"/>
                  </w14:solidFill>
                </w14:textFill>
              </w:rPr>
              <w:t>商业租金水平             （元/平方米</w:t>
            </w:r>
            <w:r>
              <w:rPr>
                <w:rFonts w:hint="eastAsia" w:ascii="微软雅黑" w:hAnsi="微软雅黑" w:eastAsia="微软雅黑" w:cs="微软雅黑"/>
                <w:b/>
                <w:color w:val="000000" w:themeColor="text1"/>
                <w:kern w:val="0"/>
                <w:sz w:val="22"/>
                <w14:textFill>
                  <w14:solidFill>
                    <w14:schemeClr w14:val="tx1"/>
                  </w14:solidFill>
                </w14:textFill>
              </w:rPr>
              <w:t>•</w:t>
            </w:r>
            <w:r>
              <w:rPr>
                <w:rFonts w:hint="eastAsia" w:ascii="仿宋_GB2312" w:hAnsi="仿宋_GB2312" w:eastAsia="仿宋_GB2312" w:cs="仿宋_GB2312"/>
                <w:b/>
                <w:color w:val="000000" w:themeColor="text1"/>
                <w:kern w:val="0"/>
                <w:sz w:val="22"/>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05" w:type="pct"/>
            <w:shd w:val="clear" w:color="auto" w:fill="auto"/>
            <w:vAlign w:val="center"/>
          </w:tcPr>
          <w:p>
            <w:pPr>
              <w:widowControl/>
              <w:jc w:val="center"/>
              <w:rPr>
                <w:rFonts w:ascii="仿宋_GB2312" w:eastAsia="仿宋_GB2312" w:cs="宋体" w:hAnsiTheme="minorEastAsia"/>
                <w:color w:val="000000" w:themeColor="text1"/>
                <w:kern w:val="0"/>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一</w:t>
            </w:r>
          </w:p>
        </w:tc>
        <w:tc>
          <w:tcPr>
            <w:tcW w:w="3151" w:type="pct"/>
            <w:shd w:val="clear" w:color="auto" w:fill="auto"/>
            <w:vAlign w:val="center"/>
          </w:tcPr>
          <w:p>
            <w:pPr>
              <w:widowControl/>
              <w:jc w:val="center"/>
              <w:rPr>
                <w:rFonts w:ascii="仿宋_GB2312" w:eastAsia="仿宋_GB2312" w:cs="宋体" w:hAnsiTheme="minorEastAsia"/>
                <w:bCs/>
                <w:color w:val="000000" w:themeColor="text1"/>
                <w:kern w:val="0"/>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罗阳街道办(含义和、小金村)、石湾镇、园洲镇、龙溪街道</w:t>
            </w:r>
          </w:p>
        </w:tc>
        <w:tc>
          <w:tcPr>
            <w:tcW w:w="1244" w:type="pct"/>
            <w:shd w:val="clear" w:color="auto" w:fill="auto"/>
            <w:vAlign w:val="center"/>
          </w:tcPr>
          <w:p>
            <w:pPr>
              <w:widowControl/>
              <w:jc w:val="center"/>
              <w:rPr>
                <w:rFonts w:ascii="仿宋_GB2312" w:eastAsia="仿宋_GB2312" w:cs="宋体" w:hAnsiTheme="minorEastAsia"/>
                <w:color w:val="000000" w:themeColor="text1"/>
                <w:kern w:val="0"/>
                <w:sz w:val="22"/>
                <w14:textFill>
                  <w14:solidFill>
                    <w14:schemeClr w14:val="tx1"/>
                  </w14:solidFill>
                </w14:textFill>
              </w:rPr>
            </w:pPr>
            <w:r>
              <w:rPr>
                <w:rFonts w:hint="eastAsia" w:ascii="仿宋_GB2312" w:eastAsia="仿宋_GB2312" w:hAnsiTheme="minorEastAsia" w:cstheme="minorEastAsia"/>
                <w:bCs/>
                <w:color w:val="000000" w:themeColor="text1"/>
                <w:sz w:val="22"/>
                <w14:textFill>
                  <w14:solidFill>
                    <w14:schemeClr w14:val="tx1"/>
                  </w14:solidFill>
                </w14:textFill>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8" w:hRule="atLeast"/>
        </w:trPr>
        <w:tc>
          <w:tcPr>
            <w:tcW w:w="605" w:type="pct"/>
            <w:shd w:val="clear" w:color="auto" w:fill="auto"/>
            <w:vAlign w:val="center"/>
          </w:tcPr>
          <w:p>
            <w:pPr>
              <w:widowControl/>
              <w:jc w:val="center"/>
              <w:rPr>
                <w:rFonts w:ascii="仿宋_GB2312" w:eastAsia="仿宋_GB2312" w:cs="宋体" w:hAnsiTheme="minorEastAsia"/>
                <w:color w:val="000000" w:themeColor="text1"/>
                <w:kern w:val="0"/>
                <w:sz w:val="22"/>
                <w14:textFill>
                  <w14:solidFill>
                    <w14:schemeClr w14:val="tx1"/>
                  </w14:solidFill>
                </w14:textFill>
              </w:rPr>
            </w:pPr>
            <w:r>
              <w:rPr>
                <w:rFonts w:hint="eastAsia" w:ascii="仿宋_GB2312" w:eastAsia="仿宋_GB2312" w:hAnsiTheme="minorEastAsia" w:cstheme="minorEastAsia"/>
                <w:color w:val="000000" w:themeColor="text1"/>
                <w:sz w:val="22"/>
                <w14:textFill>
                  <w14:solidFill>
                    <w14:schemeClr w14:val="tx1"/>
                  </w14:solidFill>
                </w14:textFill>
              </w:rPr>
              <w:t>二</w:t>
            </w:r>
          </w:p>
        </w:tc>
        <w:tc>
          <w:tcPr>
            <w:tcW w:w="3151" w:type="pct"/>
            <w:shd w:val="clear" w:color="auto" w:fill="auto"/>
            <w:vAlign w:val="center"/>
          </w:tcPr>
          <w:p>
            <w:pPr>
              <w:widowControl/>
              <w:jc w:val="center"/>
              <w:rPr>
                <w:rFonts w:ascii="仿宋_GB2312" w:eastAsia="仿宋_GB2312" w:cs="宋体" w:hAnsiTheme="minorEastAsia"/>
                <w:bCs/>
                <w:color w:val="000000" w:themeColor="text1"/>
                <w:kern w:val="0"/>
                <w:sz w:val="22"/>
                <w14:textFill>
                  <w14:solidFill>
                    <w14:schemeClr w14:val="tx1"/>
                  </w14:solidFill>
                </w14:textFill>
              </w:rPr>
            </w:pPr>
            <w:r>
              <w:rPr>
                <w:rFonts w:hint="eastAsia" w:ascii="仿宋_GB2312" w:eastAsia="仿宋_GB2312" w:hAnsiTheme="minorEastAsia" w:cstheme="minorEastAsia"/>
                <w:color w:val="000000" w:themeColor="text1"/>
                <w:sz w:val="22"/>
                <w14:textFill>
                  <w14:solidFill>
                    <w14:schemeClr w14:val="tx1"/>
                  </w14:solidFill>
                </w14:textFill>
              </w:rPr>
              <w:t>福田镇、长宁镇、罗浮山风景名胜区</w:t>
            </w:r>
          </w:p>
        </w:tc>
        <w:tc>
          <w:tcPr>
            <w:tcW w:w="1244" w:type="pct"/>
            <w:shd w:val="clear" w:color="auto" w:fill="auto"/>
            <w:vAlign w:val="center"/>
          </w:tcPr>
          <w:p>
            <w:pPr>
              <w:widowControl/>
              <w:jc w:val="center"/>
              <w:rPr>
                <w:rFonts w:ascii="仿宋_GB2312" w:eastAsia="仿宋_GB2312" w:cs="宋体" w:hAnsiTheme="minorEastAsia"/>
                <w:color w:val="000000" w:themeColor="text1"/>
                <w:kern w:val="0"/>
                <w:sz w:val="22"/>
                <w14:textFill>
                  <w14:solidFill>
                    <w14:schemeClr w14:val="tx1"/>
                  </w14:solidFill>
                </w14:textFill>
              </w:rPr>
            </w:pPr>
            <w:r>
              <w:rPr>
                <w:rFonts w:hint="eastAsia" w:ascii="仿宋_GB2312" w:eastAsia="仿宋_GB2312" w:hAnsiTheme="minorEastAsia" w:cstheme="minorEastAsia"/>
                <w:color w:val="000000" w:themeColor="text1"/>
                <w:sz w:val="22"/>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4" w:hRule="atLeast"/>
        </w:trPr>
        <w:tc>
          <w:tcPr>
            <w:tcW w:w="605" w:type="pct"/>
            <w:shd w:val="clear" w:color="auto" w:fill="auto"/>
            <w:vAlign w:val="center"/>
          </w:tcPr>
          <w:p>
            <w:pPr>
              <w:widowControl/>
              <w:jc w:val="center"/>
              <w:rPr>
                <w:rFonts w:ascii="仿宋_GB2312" w:eastAsia="仿宋_GB2312" w:cs="宋体" w:hAnsiTheme="minorEastAsia"/>
                <w:color w:val="000000" w:themeColor="text1"/>
                <w:kern w:val="0"/>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三</w:t>
            </w:r>
          </w:p>
        </w:tc>
        <w:tc>
          <w:tcPr>
            <w:tcW w:w="3151" w:type="pct"/>
            <w:shd w:val="clear" w:color="auto" w:fill="auto"/>
            <w:vAlign w:val="center"/>
          </w:tcPr>
          <w:p>
            <w:pPr>
              <w:widowControl/>
              <w:jc w:val="center"/>
              <w:rPr>
                <w:rFonts w:ascii="仿宋_GB2312" w:eastAsia="仿宋_GB2312" w:cs="宋体" w:hAnsiTheme="minorEastAsia"/>
                <w:bCs/>
                <w:color w:val="000000" w:themeColor="text1"/>
                <w:kern w:val="0"/>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杨村镇、龙华镇、湖镇镇、石坝镇、公庄镇、麻陂镇、观音阁镇、杨侨镇、柏塘镇、泰美镇、横河镇</w:t>
            </w:r>
          </w:p>
        </w:tc>
        <w:tc>
          <w:tcPr>
            <w:tcW w:w="1244" w:type="pct"/>
            <w:shd w:val="clear" w:color="auto" w:fill="auto"/>
            <w:vAlign w:val="center"/>
          </w:tcPr>
          <w:p>
            <w:pPr>
              <w:widowControl/>
              <w:jc w:val="center"/>
              <w:rPr>
                <w:rFonts w:ascii="仿宋_GB2312" w:eastAsia="仿宋_GB2312" w:cs="宋体" w:hAnsiTheme="minorEastAsia"/>
                <w:color w:val="000000" w:themeColor="text1"/>
                <w:kern w:val="0"/>
                <w:sz w:val="22"/>
                <w14:textFill>
                  <w14:solidFill>
                    <w14:schemeClr w14:val="tx1"/>
                  </w14:solidFill>
                </w14:textFill>
              </w:rPr>
            </w:pPr>
            <w:r>
              <w:rPr>
                <w:rFonts w:hint="eastAsia" w:ascii="仿宋_GB2312" w:eastAsia="仿宋_GB2312" w:hAnsiTheme="minorEastAsia" w:cstheme="minorEastAsia"/>
                <w:bCs/>
                <w:color w:val="000000" w:themeColor="text1"/>
                <w:sz w:val="22"/>
                <w14:textFill>
                  <w14:solidFill>
                    <w14:schemeClr w14:val="tx1"/>
                  </w14:solidFill>
                </w14:textFill>
              </w:rPr>
              <w:t>12</w:t>
            </w:r>
          </w:p>
        </w:tc>
      </w:tr>
    </w:tbl>
    <w:p>
      <w:pPr>
        <w:spacing w:line="560" w:lineRule="exact"/>
        <w:ind w:firstLine="560" w:firstLineChars="200"/>
        <w:rPr>
          <w:rFonts w:ascii="仿宋_GB2312" w:eastAsia="仿宋_GB2312" w:hAnsiTheme="minorEastAsia"/>
          <w:color w:val="000000" w:themeColor="text1"/>
          <w:sz w:val="28"/>
          <w:szCs w:val="28"/>
          <w14:textFill>
            <w14:solidFill>
              <w14:schemeClr w14:val="tx1"/>
            </w14:solidFill>
          </w14:textFill>
        </w:rPr>
      </w:pPr>
      <w:r>
        <w:rPr>
          <w:rFonts w:hint="eastAsia" w:ascii="仿宋_GB2312" w:eastAsia="仿宋_GB2312" w:hAnsiTheme="minorEastAsia"/>
          <w:color w:val="000000" w:themeColor="text1"/>
          <w:sz w:val="28"/>
          <w:szCs w:val="28"/>
          <w14:textFill>
            <w14:solidFill>
              <w14:schemeClr w14:val="tx1"/>
            </w14:solidFill>
          </w14:textFill>
        </w:rPr>
        <w:t>（2）二层商铺租金分析结果：</w:t>
      </w:r>
    </w:p>
    <w:p>
      <w:pPr>
        <w:spacing w:line="560" w:lineRule="exact"/>
        <w:ind w:firstLine="560" w:firstLineChars="200"/>
        <w:rPr>
          <w:rFonts w:ascii="仿宋_GB2312" w:eastAsia="仿宋_GB2312" w:hAnsiTheme="minorEastAsia"/>
          <w:color w:val="000000" w:themeColor="text1"/>
          <w:sz w:val="28"/>
          <w:szCs w:val="28"/>
          <w14:textFill>
            <w14:solidFill>
              <w14:schemeClr w14:val="tx1"/>
            </w14:solidFill>
          </w14:textFill>
        </w:rPr>
      </w:pPr>
      <w:r>
        <w:rPr>
          <w:rFonts w:hint="eastAsia" w:ascii="仿宋_GB2312" w:eastAsia="仿宋_GB2312" w:hAnsiTheme="minorEastAsia"/>
          <w:color w:val="000000" w:themeColor="text1"/>
          <w:sz w:val="28"/>
          <w:szCs w:val="28"/>
          <w14:textFill>
            <w14:solidFill>
              <w14:schemeClr w14:val="tx1"/>
            </w14:solidFill>
          </w14:textFill>
        </w:rPr>
        <w:t>估价人员经分析博罗县不同楼层的租金差异后确定二层商铺租金统一以临街一层商铺租金的40%确定。</w:t>
      </w:r>
    </w:p>
    <w:p>
      <w:pPr>
        <w:snapToGrid w:val="0"/>
        <w:spacing w:line="560" w:lineRule="exact"/>
        <w:ind w:left="552" w:leftChars="263" w:firstLine="140" w:firstLineChars="50"/>
        <w:jc w:val="left"/>
        <w:rPr>
          <w:rFonts w:ascii="仿宋_GB2312" w:eastAsia="仿宋_GB2312" w:hAnsiTheme="minorEastAsia"/>
          <w:color w:val="000000" w:themeColor="text1"/>
          <w14:textFill>
            <w14:solidFill>
              <w14:schemeClr w14:val="tx1"/>
            </w14:solidFill>
          </w14:textFill>
        </w:rPr>
      </w:pPr>
      <w:r>
        <w:rPr>
          <w:rFonts w:hint="eastAsia" w:ascii="仿宋_GB2312" w:eastAsia="仿宋_GB2312" w:hAnsiTheme="minorEastAsia"/>
          <w:color w:val="000000" w:themeColor="text1"/>
          <w:sz w:val="28"/>
          <w:szCs w:val="28"/>
          <w14:textFill>
            <w14:solidFill>
              <w14:schemeClr w14:val="tx1"/>
            </w14:solidFill>
          </w14:textFill>
        </w:rPr>
        <w:t>2. 办公用房租金分析结果</w:t>
      </w:r>
    </w:p>
    <w:p>
      <w:pPr>
        <w:snapToGrid w:val="0"/>
        <w:spacing w:line="560" w:lineRule="exact"/>
        <w:ind w:firstLine="560" w:firstLineChars="200"/>
        <w:jc w:val="left"/>
        <w:rPr>
          <w:rFonts w:ascii="仿宋_GB2312" w:eastAsia="仿宋_GB2312" w:hAnsiTheme="minorEastAsia"/>
          <w:color w:val="000000" w:themeColor="text1"/>
          <w:sz w:val="28"/>
          <w:szCs w:val="28"/>
          <w14:textFill>
            <w14:solidFill>
              <w14:schemeClr w14:val="tx1"/>
            </w14:solidFill>
          </w14:textFill>
        </w:rPr>
      </w:pPr>
      <w:r>
        <w:rPr>
          <w:rFonts w:hint="eastAsia" w:ascii="仿宋_GB2312" w:eastAsia="仿宋_GB2312" w:hAnsiTheme="minorEastAsia"/>
          <w:color w:val="000000" w:themeColor="text1"/>
          <w:sz w:val="28"/>
          <w:szCs w:val="28"/>
          <w14:textFill>
            <w14:solidFill>
              <w14:schemeClr w14:val="tx1"/>
            </w14:solidFill>
          </w14:textFill>
        </w:rPr>
        <w:t>依据博罗县办公用房的具体分布情况，将博罗县划分为以下片区进行分析，分析结果如下：</w:t>
      </w:r>
    </w:p>
    <w:p>
      <w:pPr>
        <w:snapToGrid w:val="0"/>
        <w:spacing w:line="560" w:lineRule="exact"/>
        <w:ind w:firstLine="2409" w:firstLineChars="1000"/>
        <w:rPr>
          <w:rFonts w:ascii="仿宋_GB2312" w:eastAsia="仿宋_GB2312" w:cs="宋体" w:hAnsiTheme="minorEastAsia"/>
          <w:b/>
          <w:bCs/>
          <w:color w:val="000000" w:themeColor="text1"/>
          <w:kern w:val="0"/>
          <w:sz w:val="24"/>
          <w14:textFill>
            <w14:solidFill>
              <w14:schemeClr w14:val="tx1"/>
            </w14:solidFill>
          </w14:textFill>
        </w:rPr>
      </w:pPr>
      <w:r>
        <w:rPr>
          <w:rFonts w:hint="eastAsia" w:ascii="仿宋_GB2312" w:eastAsia="仿宋_GB2312" w:cs="宋体" w:hAnsiTheme="minorEastAsia"/>
          <w:b/>
          <w:bCs/>
          <w:color w:val="000000" w:themeColor="text1"/>
          <w:kern w:val="0"/>
          <w:sz w:val="24"/>
          <w14:textFill>
            <w14:solidFill>
              <w14:schemeClr w14:val="tx1"/>
            </w14:solidFill>
          </w14:textFill>
        </w:rPr>
        <w:t>表三 博罗县办公用房分片区租金表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4"/>
        <w:gridCol w:w="5152"/>
        <w:gridCol w:w="3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73" w:type="pct"/>
            <w:shd w:val="clear" w:color="auto" w:fill="BEBEBE" w:themeFill="background1" w:themeFillShade="BF"/>
            <w:vAlign w:val="center"/>
          </w:tcPr>
          <w:p>
            <w:pPr>
              <w:widowControl/>
              <w:jc w:val="center"/>
              <w:rPr>
                <w:rFonts w:ascii="仿宋_GB2312" w:hAnsi="宋体" w:eastAsia="仿宋_GB2312" w:cs="宋体"/>
                <w:b/>
                <w:bCs/>
                <w:color w:val="000000" w:themeColor="text1"/>
                <w:kern w:val="0"/>
                <w:sz w:val="22"/>
                <w14:textFill>
                  <w14:solidFill>
                    <w14:schemeClr w14:val="tx1"/>
                  </w14:solidFill>
                </w14:textFill>
              </w:rPr>
            </w:pPr>
            <w:r>
              <w:rPr>
                <w:rFonts w:hint="eastAsia" w:ascii="仿宋_GB2312" w:hAnsi="宋体" w:eastAsia="仿宋_GB2312" w:cs="宋体"/>
                <w:b/>
                <w:bCs/>
                <w:color w:val="000000" w:themeColor="text1"/>
                <w:kern w:val="0"/>
                <w:sz w:val="22"/>
                <w14:textFill>
                  <w14:solidFill>
                    <w14:schemeClr w14:val="tx1"/>
                  </w14:solidFill>
                </w14:textFill>
              </w:rPr>
              <w:t>等级</w:t>
            </w:r>
          </w:p>
        </w:tc>
        <w:tc>
          <w:tcPr>
            <w:tcW w:w="2774" w:type="pct"/>
            <w:shd w:val="clear" w:color="auto" w:fill="BEBEBE" w:themeFill="background1" w:themeFillShade="BF"/>
            <w:vAlign w:val="center"/>
          </w:tcPr>
          <w:p>
            <w:pPr>
              <w:widowControl/>
              <w:jc w:val="center"/>
              <w:rPr>
                <w:rFonts w:ascii="仿宋_GB2312" w:hAnsi="宋体" w:eastAsia="仿宋_GB2312" w:cs="宋体"/>
                <w:b/>
                <w:bCs/>
                <w:color w:val="000000" w:themeColor="text1"/>
                <w:kern w:val="0"/>
                <w:sz w:val="22"/>
                <w14:textFill>
                  <w14:solidFill>
                    <w14:schemeClr w14:val="tx1"/>
                  </w14:solidFill>
                </w14:textFill>
              </w:rPr>
            </w:pPr>
            <w:r>
              <w:rPr>
                <w:rFonts w:hint="eastAsia" w:ascii="仿宋_GB2312" w:hAnsi="宋体" w:eastAsia="仿宋_GB2312" w:cs="宋体"/>
                <w:b/>
                <w:bCs/>
                <w:color w:val="000000" w:themeColor="text1"/>
                <w:kern w:val="0"/>
                <w:sz w:val="22"/>
                <w14:textFill>
                  <w14:solidFill>
                    <w14:schemeClr w14:val="tx1"/>
                  </w14:solidFill>
                </w14:textFill>
              </w:rPr>
              <w:t>所属街道办（镇）</w:t>
            </w:r>
          </w:p>
        </w:tc>
        <w:tc>
          <w:tcPr>
            <w:tcW w:w="1653" w:type="pct"/>
            <w:shd w:val="clear" w:color="auto" w:fill="BEBEBE" w:themeFill="background1" w:themeFillShade="BF"/>
            <w:vAlign w:val="center"/>
          </w:tcPr>
          <w:p>
            <w:pPr>
              <w:widowControl/>
              <w:jc w:val="center"/>
              <w:rPr>
                <w:rFonts w:ascii="仿宋_GB2312" w:hAnsi="宋体" w:eastAsia="仿宋_GB2312" w:cs="宋体"/>
                <w:b/>
                <w:bCs/>
                <w:color w:val="000000" w:themeColor="text1"/>
                <w:kern w:val="0"/>
                <w:sz w:val="22"/>
                <w14:textFill>
                  <w14:solidFill>
                    <w14:schemeClr w14:val="tx1"/>
                  </w14:solidFill>
                </w14:textFill>
              </w:rPr>
            </w:pPr>
            <w:r>
              <w:rPr>
                <w:rFonts w:hint="eastAsia" w:ascii="仿宋_GB2312" w:hAnsi="宋体" w:eastAsia="仿宋_GB2312" w:cs="宋体"/>
                <w:b/>
                <w:bCs/>
                <w:color w:val="000000" w:themeColor="text1"/>
                <w:kern w:val="0"/>
                <w:sz w:val="22"/>
                <w14:textFill>
                  <w14:solidFill>
                    <w14:schemeClr w14:val="tx1"/>
                  </w14:solidFill>
                </w14:textFill>
              </w:rPr>
              <w:t>办公用房租金水平（元/平方米</w:t>
            </w:r>
            <w:r>
              <w:rPr>
                <w:rFonts w:hint="eastAsia" w:ascii="微软雅黑" w:hAnsi="微软雅黑" w:eastAsia="微软雅黑" w:cs="微软雅黑"/>
                <w:b/>
                <w:bCs/>
                <w:color w:val="000000" w:themeColor="text1"/>
                <w:kern w:val="0"/>
                <w:sz w:val="22"/>
                <w14:textFill>
                  <w14:solidFill>
                    <w14:schemeClr w14:val="tx1"/>
                  </w14:solidFill>
                </w14:textFill>
              </w:rPr>
              <w:t>•</w:t>
            </w:r>
            <w:r>
              <w:rPr>
                <w:rFonts w:hint="eastAsia" w:ascii="仿宋_GB2312" w:hAnsi="仿宋_GB2312" w:eastAsia="仿宋_GB2312" w:cs="仿宋_GB2312"/>
                <w:b/>
                <w:bCs/>
                <w:color w:val="000000" w:themeColor="text1"/>
                <w:kern w:val="0"/>
                <w:sz w:val="22"/>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73" w:type="pct"/>
            <w:shd w:val="clear" w:color="auto" w:fill="auto"/>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一</w:t>
            </w:r>
          </w:p>
        </w:tc>
        <w:tc>
          <w:tcPr>
            <w:tcW w:w="2774" w:type="pct"/>
            <w:shd w:val="clear" w:color="auto" w:fill="auto"/>
            <w:vAlign w:val="center"/>
          </w:tcPr>
          <w:p>
            <w:pPr>
              <w:widowControl/>
              <w:jc w:val="center"/>
              <w:rPr>
                <w:rFonts w:ascii="仿宋_GB2312" w:eastAsia="仿宋_GB2312" w:hAnsiTheme="minorEastAsia" w:cstheme="minorEastAsia"/>
                <w:bCs/>
                <w:color w:val="000000" w:themeColor="text1"/>
                <w:spacing w:val="-5"/>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罗阳街道办（含义和、小金村）、石湾镇、园洲镇、龙溪街道</w:t>
            </w:r>
          </w:p>
        </w:tc>
        <w:tc>
          <w:tcPr>
            <w:tcW w:w="1653" w:type="pct"/>
            <w:shd w:val="clear" w:color="auto" w:fill="auto"/>
            <w:vAlign w:val="center"/>
          </w:tcPr>
          <w:p>
            <w:pPr>
              <w:widowControl/>
              <w:jc w:val="center"/>
              <w:rPr>
                <w:rFonts w:ascii="仿宋_GB2312" w:eastAsia="仿宋_GB2312" w:hAnsiTheme="minorEastAsia" w:cstheme="minorEastAsia"/>
                <w:bCs/>
                <w:color w:val="000000" w:themeColor="text1"/>
                <w:spacing w:val="-5"/>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73" w:type="pct"/>
            <w:shd w:val="clear" w:color="auto" w:fill="auto"/>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二</w:t>
            </w:r>
          </w:p>
        </w:tc>
        <w:tc>
          <w:tcPr>
            <w:tcW w:w="2774" w:type="pct"/>
            <w:shd w:val="clear" w:color="auto" w:fill="auto"/>
            <w:vAlign w:val="center"/>
          </w:tcPr>
          <w:p>
            <w:pPr>
              <w:widowControl/>
              <w:jc w:val="center"/>
              <w:rPr>
                <w:rFonts w:ascii="仿宋_GB2312" w:eastAsia="仿宋_GB2312" w:hAnsiTheme="minorEastAsia" w:cstheme="minorEastAsia"/>
                <w:bCs/>
                <w:color w:val="000000" w:themeColor="text1"/>
                <w:spacing w:val="-5"/>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福田镇、长宁镇、罗浮山风景名胜区</w:t>
            </w:r>
          </w:p>
        </w:tc>
        <w:tc>
          <w:tcPr>
            <w:tcW w:w="1653" w:type="pct"/>
            <w:shd w:val="clear" w:color="auto" w:fill="auto"/>
            <w:vAlign w:val="center"/>
          </w:tcPr>
          <w:p>
            <w:pPr>
              <w:widowControl/>
              <w:jc w:val="center"/>
              <w:rPr>
                <w:rFonts w:ascii="仿宋_GB2312" w:eastAsia="仿宋_GB2312" w:hAnsiTheme="minorEastAsia" w:cstheme="minorEastAsia"/>
                <w:bCs/>
                <w:color w:val="000000" w:themeColor="text1"/>
                <w:spacing w:val="-5"/>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573" w:type="pct"/>
            <w:shd w:val="clear" w:color="auto" w:fill="auto"/>
            <w:vAlign w:val="center"/>
          </w:tcPr>
          <w:p>
            <w:pPr>
              <w:widowControl/>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三</w:t>
            </w:r>
          </w:p>
        </w:tc>
        <w:tc>
          <w:tcPr>
            <w:tcW w:w="2774" w:type="pct"/>
            <w:shd w:val="clear" w:color="auto" w:fill="auto"/>
            <w:vAlign w:val="center"/>
          </w:tcPr>
          <w:p>
            <w:pPr>
              <w:widowControl/>
              <w:jc w:val="center"/>
              <w:rPr>
                <w:rFonts w:ascii="仿宋_GB2312" w:eastAsia="仿宋_GB2312" w:hAnsiTheme="minorEastAsia" w:cstheme="minorEastAsia"/>
                <w:bCs/>
                <w:color w:val="000000" w:themeColor="text1"/>
                <w:spacing w:val="-5"/>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龙华镇、湖镇镇、石坝镇、公庄镇、麻陂镇、观音阁镇、杨村镇、杨侨镇、柏塘镇、泰美镇、横河镇</w:t>
            </w:r>
          </w:p>
        </w:tc>
        <w:tc>
          <w:tcPr>
            <w:tcW w:w="1653" w:type="pct"/>
            <w:shd w:val="clear" w:color="auto" w:fill="auto"/>
            <w:vAlign w:val="center"/>
          </w:tcPr>
          <w:p>
            <w:pPr>
              <w:widowControl/>
              <w:jc w:val="center"/>
              <w:rPr>
                <w:rFonts w:ascii="仿宋_GB2312" w:eastAsia="仿宋_GB2312" w:hAnsiTheme="minorEastAsia" w:cstheme="minorEastAsia"/>
                <w:bCs/>
                <w:color w:val="000000" w:themeColor="text1"/>
                <w:spacing w:val="-5"/>
                <w:sz w:val="22"/>
                <w14:textFill>
                  <w14:solidFill>
                    <w14:schemeClr w14:val="tx1"/>
                  </w14:solidFill>
                </w14:textFill>
              </w:rPr>
            </w:pPr>
            <w:r>
              <w:rPr>
                <w:rFonts w:hint="eastAsia" w:ascii="仿宋_GB2312" w:eastAsia="仿宋_GB2312" w:hAnsiTheme="minorEastAsia" w:cstheme="minorEastAsia"/>
                <w:bCs/>
                <w:color w:val="000000" w:themeColor="text1"/>
                <w:spacing w:val="-5"/>
                <w:sz w:val="22"/>
                <w14:textFill>
                  <w14:solidFill>
                    <w14:schemeClr w14:val="tx1"/>
                  </w14:solidFill>
                </w14:textFill>
              </w:rPr>
              <w:t>8</w:t>
            </w:r>
          </w:p>
        </w:tc>
      </w:tr>
    </w:tbl>
    <w:p>
      <w:pPr>
        <w:snapToGrid w:val="0"/>
        <w:spacing w:line="520" w:lineRule="exact"/>
        <w:ind w:firstLine="560" w:firstLineChars="200"/>
        <w:rPr>
          <w:rFonts w:ascii="仿宋_GB2312" w:eastAsia="仿宋_GB2312" w:hAnsiTheme="minorEastAsia"/>
          <w:color w:val="000000" w:themeColor="text1"/>
          <w:sz w:val="28"/>
          <w:szCs w:val="28"/>
          <w14:textFill>
            <w14:solidFill>
              <w14:schemeClr w14:val="tx1"/>
            </w14:solidFill>
          </w14:textFill>
        </w:rPr>
      </w:pPr>
      <w:bookmarkStart w:id="19" w:name="_Toc86743913"/>
      <w:r>
        <w:rPr>
          <w:rFonts w:hint="eastAsia" w:ascii="仿宋_GB2312" w:eastAsia="仿宋_GB2312" w:hAnsiTheme="minorEastAsia"/>
          <w:color w:val="000000" w:themeColor="text1"/>
          <w:sz w:val="28"/>
          <w:szCs w:val="28"/>
          <w14:textFill>
            <w14:solidFill>
              <w14:schemeClr w14:val="tx1"/>
            </w14:solidFill>
          </w14:textFill>
        </w:rPr>
        <w:t>（二）住宅用房租金分析结果</w:t>
      </w:r>
      <w:bookmarkEnd w:id="19"/>
    </w:p>
    <w:p>
      <w:pPr>
        <w:snapToGrid w:val="0"/>
        <w:spacing w:line="520" w:lineRule="exact"/>
        <w:ind w:firstLine="560" w:firstLineChars="200"/>
        <w:rPr>
          <w:rFonts w:ascii="仿宋_GB2312" w:eastAsia="仿宋_GB2312" w:hAnsiTheme="minorEastAsia"/>
          <w:color w:val="000000" w:themeColor="text1"/>
          <w:sz w:val="28"/>
          <w:szCs w:val="28"/>
          <w14:textFill>
            <w14:solidFill>
              <w14:schemeClr w14:val="tx1"/>
            </w14:solidFill>
          </w14:textFill>
        </w:rPr>
      </w:pPr>
      <w:r>
        <w:rPr>
          <w:rFonts w:hint="eastAsia" w:ascii="仿宋_GB2312" w:eastAsia="仿宋_GB2312" w:hAnsiTheme="minorEastAsia"/>
          <w:color w:val="000000" w:themeColor="text1"/>
          <w:sz w:val="28"/>
          <w:szCs w:val="28"/>
          <w14:textFill>
            <w14:solidFill>
              <w14:schemeClr w14:val="tx1"/>
            </w14:solidFill>
          </w14:textFill>
        </w:rPr>
        <w:t>本次分析根据博罗县的区域状况，结合住宅用房房地产市场价格特征，将博罗县住宅用房租金划分为以下片区进行分析，具体分析结果如下：</w:t>
      </w:r>
    </w:p>
    <w:p>
      <w:pPr>
        <w:spacing w:line="560" w:lineRule="exact"/>
        <w:ind w:firstLine="482" w:firstLineChars="200"/>
        <w:jc w:val="center"/>
        <w:rPr>
          <w:rFonts w:ascii="仿宋_GB2312" w:eastAsia="仿宋_GB2312" w:cs="宋体" w:hAnsiTheme="minorEastAsia"/>
          <w:b/>
          <w:bCs/>
          <w:color w:val="000000" w:themeColor="text1"/>
          <w:kern w:val="0"/>
          <w:sz w:val="24"/>
          <w14:textFill>
            <w14:solidFill>
              <w14:schemeClr w14:val="tx1"/>
            </w14:solidFill>
          </w14:textFill>
        </w:rPr>
      </w:pPr>
      <w:r>
        <w:rPr>
          <w:rFonts w:hint="eastAsia" w:ascii="仿宋_GB2312" w:eastAsia="仿宋_GB2312" w:cs="宋体" w:hAnsiTheme="minorEastAsia"/>
          <w:b/>
          <w:bCs/>
          <w:color w:val="000000" w:themeColor="text1"/>
          <w:kern w:val="0"/>
          <w:sz w:val="24"/>
          <w14:textFill>
            <w14:solidFill>
              <w14:schemeClr w14:val="tx1"/>
            </w14:solidFill>
          </w14:textFill>
        </w:rPr>
        <w:t>表四 博罗县住宅用房分片区租金表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1499"/>
        <w:gridCol w:w="3583"/>
        <w:gridCol w:w="3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411" w:type="pct"/>
            <w:vMerge w:val="restart"/>
            <w:shd w:val="clear" w:color="auto" w:fill="BEBEBE" w:themeFill="background1" w:themeFillShade="BF"/>
            <w:vAlign w:val="center"/>
          </w:tcPr>
          <w:p>
            <w:pPr>
              <w:widowControl/>
              <w:jc w:val="center"/>
              <w:rPr>
                <w:rFonts w:ascii="仿宋_GB2312" w:hAnsi="宋体" w:eastAsia="仿宋_GB2312" w:cs="宋体"/>
                <w:b/>
                <w:bCs/>
                <w:color w:val="000000" w:themeColor="text1"/>
                <w:kern w:val="0"/>
                <w:sz w:val="22"/>
                <w:szCs w:val="28"/>
                <w14:textFill>
                  <w14:solidFill>
                    <w14:schemeClr w14:val="tx1"/>
                  </w14:solidFill>
                </w14:textFill>
              </w:rPr>
            </w:pPr>
            <w:r>
              <w:rPr>
                <w:rFonts w:hint="eastAsia" w:ascii="仿宋_GB2312" w:hAnsi="宋体" w:eastAsia="仿宋_GB2312" w:cs="宋体"/>
                <w:b/>
                <w:bCs/>
                <w:color w:val="000000" w:themeColor="text1"/>
                <w:kern w:val="0"/>
                <w:sz w:val="22"/>
                <w:szCs w:val="28"/>
                <w14:textFill>
                  <w14:solidFill>
                    <w14:schemeClr w14:val="tx1"/>
                  </w14:solidFill>
                </w14:textFill>
              </w:rPr>
              <w:t>序号</w:t>
            </w:r>
          </w:p>
        </w:tc>
        <w:tc>
          <w:tcPr>
            <w:tcW w:w="807" w:type="pct"/>
            <w:vMerge w:val="restart"/>
            <w:shd w:val="clear" w:color="auto" w:fill="BEBEBE" w:themeFill="background1" w:themeFillShade="BF"/>
            <w:vAlign w:val="center"/>
          </w:tcPr>
          <w:p>
            <w:pPr>
              <w:widowControl/>
              <w:jc w:val="center"/>
              <w:rPr>
                <w:rFonts w:ascii="仿宋_GB2312" w:hAnsi="宋体" w:eastAsia="仿宋_GB2312" w:cs="宋体"/>
                <w:b/>
                <w:bCs/>
                <w:color w:val="000000" w:themeColor="text1"/>
                <w:kern w:val="0"/>
                <w:sz w:val="22"/>
                <w:szCs w:val="28"/>
                <w14:textFill>
                  <w14:solidFill>
                    <w14:schemeClr w14:val="tx1"/>
                  </w14:solidFill>
                </w14:textFill>
              </w:rPr>
            </w:pPr>
            <w:r>
              <w:rPr>
                <w:rFonts w:hint="eastAsia" w:ascii="仿宋_GB2312" w:hAnsi="宋体" w:eastAsia="仿宋_GB2312" w:cs="宋体"/>
                <w:b/>
                <w:bCs/>
                <w:color w:val="000000" w:themeColor="text1"/>
                <w:kern w:val="0"/>
                <w:sz w:val="22"/>
                <w:szCs w:val="28"/>
                <w14:textFill>
                  <w14:solidFill>
                    <w14:schemeClr w14:val="tx1"/>
                  </w14:solidFill>
                </w14:textFill>
              </w:rPr>
              <w:t>所属街道办（镇）</w:t>
            </w:r>
          </w:p>
        </w:tc>
        <w:tc>
          <w:tcPr>
            <w:tcW w:w="3782" w:type="pct"/>
            <w:gridSpan w:val="2"/>
            <w:shd w:val="clear" w:color="auto" w:fill="BEBEBE" w:themeFill="background1" w:themeFillShade="BF"/>
            <w:vAlign w:val="center"/>
          </w:tcPr>
          <w:p>
            <w:pPr>
              <w:widowControl/>
              <w:jc w:val="center"/>
              <w:rPr>
                <w:rFonts w:ascii="仿宋_GB2312" w:hAnsi="宋体" w:eastAsia="仿宋_GB2312" w:cs="宋体"/>
                <w:b/>
                <w:bCs/>
                <w:color w:val="000000" w:themeColor="text1"/>
                <w:kern w:val="0"/>
                <w:sz w:val="22"/>
                <w:szCs w:val="28"/>
                <w14:textFill>
                  <w14:solidFill>
                    <w14:schemeClr w14:val="tx1"/>
                  </w14:solidFill>
                </w14:textFill>
              </w:rPr>
            </w:pPr>
            <w:r>
              <w:rPr>
                <w:rFonts w:hint="eastAsia" w:ascii="仿宋_GB2312" w:hAnsi="宋体" w:eastAsia="仿宋_GB2312" w:cs="宋体"/>
                <w:b/>
                <w:bCs/>
                <w:color w:val="000000" w:themeColor="text1"/>
                <w:kern w:val="0"/>
                <w:sz w:val="22"/>
                <w:szCs w:val="28"/>
                <w14:textFill>
                  <w14:solidFill>
                    <w14:schemeClr w14:val="tx1"/>
                  </w14:solidFill>
                </w14:textFill>
              </w:rPr>
              <w:t>住宅租金水平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411" w:type="pct"/>
            <w:vMerge w:val="continue"/>
            <w:shd w:val="clear" w:color="auto" w:fill="BEBEBE" w:themeFill="background1" w:themeFillShade="BF"/>
            <w:vAlign w:val="center"/>
          </w:tcPr>
          <w:p>
            <w:pPr>
              <w:widowControl/>
              <w:jc w:val="left"/>
              <w:rPr>
                <w:rFonts w:ascii="仿宋_GB2312" w:hAnsi="宋体" w:eastAsia="仿宋_GB2312" w:cs="宋体"/>
                <w:b/>
                <w:bCs/>
                <w:color w:val="000000" w:themeColor="text1"/>
                <w:kern w:val="0"/>
                <w:sz w:val="22"/>
                <w:szCs w:val="28"/>
                <w14:textFill>
                  <w14:solidFill>
                    <w14:schemeClr w14:val="tx1"/>
                  </w14:solidFill>
                </w14:textFill>
              </w:rPr>
            </w:pPr>
          </w:p>
        </w:tc>
        <w:tc>
          <w:tcPr>
            <w:tcW w:w="807" w:type="pct"/>
            <w:vMerge w:val="continue"/>
            <w:shd w:val="clear" w:color="auto" w:fill="BEBEBE" w:themeFill="background1" w:themeFillShade="BF"/>
            <w:vAlign w:val="center"/>
          </w:tcPr>
          <w:p>
            <w:pPr>
              <w:widowControl/>
              <w:jc w:val="left"/>
              <w:rPr>
                <w:rFonts w:ascii="仿宋_GB2312" w:hAnsi="宋体" w:eastAsia="仿宋_GB2312" w:cs="宋体"/>
                <w:b/>
                <w:bCs/>
                <w:color w:val="000000" w:themeColor="text1"/>
                <w:kern w:val="0"/>
                <w:sz w:val="22"/>
                <w:szCs w:val="28"/>
                <w14:textFill>
                  <w14:solidFill>
                    <w14:schemeClr w14:val="tx1"/>
                  </w14:solidFill>
                </w14:textFill>
              </w:rPr>
            </w:pPr>
          </w:p>
        </w:tc>
        <w:tc>
          <w:tcPr>
            <w:tcW w:w="1929" w:type="pct"/>
            <w:shd w:val="clear" w:color="auto" w:fill="BEBEBE" w:themeFill="background1" w:themeFillShade="BF"/>
            <w:vAlign w:val="center"/>
          </w:tcPr>
          <w:p>
            <w:pPr>
              <w:widowControl/>
              <w:jc w:val="center"/>
              <w:rPr>
                <w:rFonts w:ascii="仿宋_GB2312" w:hAnsi="宋体" w:eastAsia="仿宋_GB2312" w:cs="宋体"/>
                <w:b/>
                <w:bCs/>
                <w:color w:val="000000" w:themeColor="text1"/>
                <w:kern w:val="0"/>
                <w:sz w:val="22"/>
                <w:szCs w:val="28"/>
                <w14:textFill>
                  <w14:solidFill>
                    <w14:schemeClr w14:val="tx1"/>
                  </w14:solidFill>
                </w14:textFill>
              </w:rPr>
            </w:pPr>
            <w:r>
              <w:rPr>
                <w:rFonts w:hint="eastAsia" w:ascii="仿宋_GB2312" w:hAnsi="宋体" w:eastAsia="仿宋_GB2312" w:cs="宋体"/>
                <w:b/>
                <w:bCs/>
                <w:color w:val="000000" w:themeColor="text1"/>
                <w:kern w:val="0"/>
                <w:sz w:val="22"/>
                <w:szCs w:val="28"/>
                <w14:textFill>
                  <w14:solidFill>
                    <w14:schemeClr w14:val="tx1"/>
                  </w14:solidFill>
                </w14:textFill>
              </w:rPr>
              <w:t>电梯商品房租金（元/平方米</w:t>
            </w:r>
            <w:r>
              <w:rPr>
                <w:rFonts w:hint="eastAsia" w:ascii="微软雅黑" w:hAnsi="微软雅黑" w:eastAsia="微软雅黑" w:cs="微软雅黑"/>
                <w:b/>
                <w:bCs/>
                <w:color w:val="000000" w:themeColor="text1"/>
                <w:kern w:val="0"/>
                <w:sz w:val="22"/>
                <w:szCs w:val="28"/>
                <w14:textFill>
                  <w14:solidFill>
                    <w14:schemeClr w14:val="tx1"/>
                  </w14:solidFill>
                </w14:textFill>
              </w:rPr>
              <w:t>•</w:t>
            </w:r>
            <w:r>
              <w:rPr>
                <w:rFonts w:hint="eastAsia" w:ascii="仿宋_GB2312" w:hAnsi="仿宋_GB2312" w:eastAsia="仿宋_GB2312" w:cs="仿宋_GB2312"/>
                <w:b/>
                <w:bCs/>
                <w:color w:val="000000" w:themeColor="text1"/>
                <w:kern w:val="0"/>
                <w:sz w:val="22"/>
                <w:szCs w:val="28"/>
                <w14:textFill>
                  <w14:solidFill>
                    <w14:schemeClr w14:val="tx1"/>
                  </w14:solidFill>
                </w14:textFill>
              </w:rPr>
              <w:t>月）</w:t>
            </w:r>
          </w:p>
        </w:tc>
        <w:tc>
          <w:tcPr>
            <w:tcW w:w="1853" w:type="pct"/>
            <w:shd w:val="clear" w:color="auto" w:fill="BEBEBE" w:themeFill="background1" w:themeFillShade="BF"/>
            <w:vAlign w:val="center"/>
          </w:tcPr>
          <w:p>
            <w:pPr>
              <w:widowControl/>
              <w:jc w:val="center"/>
              <w:rPr>
                <w:rFonts w:ascii="仿宋_GB2312" w:hAnsi="宋体" w:eastAsia="仿宋_GB2312" w:cs="宋体"/>
                <w:b/>
                <w:bCs/>
                <w:color w:val="000000" w:themeColor="text1"/>
                <w:kern w:val="0"/>
                <w:sz w:val="22"/>
                <w:szCs w:val="28"/>
                <w14:textFill>
                  <w14:solidFill>
                    <w14:schemeClr w14:val="tx1"/>
                  </w14:solidFill>
                </w14:textFill>
              </w:rPr>
            </w:pPr>
            <w:r>
              <w:rPr>
                <w:rFonts w:hint="eastAsia" w:ascii="仿宋_GB2312" w:hAnsi="宋体" w:eastAsia="仿宋_GB2312" w:cs="宋体"/>
                <w:b/>
                <w:bCs/>
                <w:color w:val="000000" w:themeColor="text1"/>
                <w:kern w:val="0"/>
                <w:sz w:val="22"/>
                <w:szCs w:val="28"/>
                <w14:textFill>
                  <w14:solidFill>
                    <w14:schemeClr w14:val="tx1"/>
                  </w14:solidFill>
                </w14:textFill>
              </w:rPr>
              <w:t>楼梯商品房租金（元/平方米</w:t>
            </w:r>
            <w:r>
              <w:rPr>
                <w:rFonts w:hint="eastAsia" w:ascii="微软雅黑" w:hAnsi="微软雅黑" w:eastAsia="微软雅黑" w:cs="微软雅黑"/>
                <w:b/>
                <w:bCs/>
                <w:color w:val="000000" w:themeColor="text1"/>
                <w:kern w:val="0"/>
                <w:sz w:val="22"/>
                <w:szCs w:val="28"/>
                <w14:textFill>
                  <w14:solidFill>
                    <w14:schemeClr w14:val="tx1"/>
                  </w14:solidFill>
                </w14:textFill>
              </w:rPr>
              <w:t>•</w:t>
            </w:r>
            <w:r>
              <w:rPr>
                <w:rFonts w:hint="eastAsia" w:ascii="仿宋_GB2312" w:hAnsi="仿宋_GB2312" w:eastAsia="仿宋_GB2312" w:cs="仿宋_GB2312"/>
                <w:b/>
                <w:bCs/>
                <w:color w:val="000000" w:themeColor="text1"/>
                <w:kern w:val="0"/>
                <w:sz w:val="22"/>
                <w:szCs w:val="28"/>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罗阳街道（含小金、义和）</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20</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2</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石湾镇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20</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3</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园洲镇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20</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4</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龙溪街道</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18</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5</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福田镇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18</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6</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长宁镇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18</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7</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罗浮山风景名胜区</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18</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8</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湖镇镇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18</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9</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龙华镇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10</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杨村镇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11</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杨侨镇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12</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公庄镇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13</w:t>
            </w:r>
          </w:p>
        </w:tc>
        <w:tc>
          <w:tcPr>
            <w:tcW w:w="807"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柏塘镇</w:t>
            </w:r>
          </w:p>
        </w:tc>
        <w:tc>
          <w:tcPr>
            <w:tcW w:w="1929"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14</w:t>
            </w:r>
          </w:p>
        </w:tc>
        <w:tc>
          <w:tcPr>
            <w:tcW w:w="807"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泰美镇</w:t>
            </w:r>
          </w:p>
        </w:tc>
        <w:tc>
          <w:tcPr>
            <w:tcW w:w="192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807"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麻陂镇</w:t>
            </w:r>
          </w:p>
        </w:tc>
        <w:tc>
          <w:tcPr>
            <w:tcW w:w="192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16</w:t>
            </w:r>
          </w:p>
        </w:tc>
        <w:tc>
          <w:tcPr>
            <w:tcW w:w="807"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石坝镇</w:t>
            </w:r>
          </w:p>
        </w:tc>
        <w:tc>
          <w:tcPr>
            <w:tcW w:w="192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17</w:t>
            </w:r>
          </w:p>
        </w:tc>
        <w:tc>
          <w:tcPr>
            <w:tcW w:w="807"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观音阁镇</w:t>
            </w:r>
          </w:p>
        </w:tc>
        <w:tc>
          <w:tcPr>
            <w:tcW w:w="192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1"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18</w:t>
            </w:r>
          </w:p>
        </w:tc>
        <w:tc>
          <w:tcPr>
            <w:tcW w:w="807"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横河镇</w:t>
            </w:r>
          </w:p>
        </w:tc>
        <w:tc>
          <w:tcPr>
            <w:tcW w:w="192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15</w:t>
            </w:r>
          </w:p>
        </w:tc>
        <w:tc>
          <w:tcPr>
            <w:tcW w:w="1853"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szCs w:val="28"/>
                <w14:textFill>
                  <w14:solidFill>
                    <w14:schemeClr w14:val="tx1"/>
                  </w14:solidFill>
                </w14:textFill>
              </w:rPr>
            </w:pPr>
            <w:r>
              <w:rPr>
                <w:rFonts w:hint="eastAsia" w:ascii="仿宋_GB2312" w:hAnsi="宋体" w:eastAsia="仿宋_GB2312" w:cs="宋体"/>
                <w:color w:val="000000" w:themeColor="text1"/>
                <w:kern w:val="0"/>
                <w:sz w:val="22"/>
                <w:szCs w:val="28"/>
                <w14:textFill>
                  <w14:solidFill>
                    <w14:schemeClr w14:val="tx1"/>
                  </w14:solidFill>
                </w14:textFill>
              </w:rPr>
              <w:t>6</w:t>
            </w:r>
          </w:p>
        </w:tc>
      </w:tr>
    </w:tbl>
    <w:p>
      <w:pPr>
        <w:snapToGrid w:val="0"/>
        <w:spacing w:line="400" w:lineRule="atLeast"/>
        <w:ind w:firstLine="560" w:firstLineChars="200"/>
        <w:rPr>
          <w:rFonts w:ascii="仿宋_GB2312" w:eastAsia="仿宋_GB2312" w:hAnsiTheme="minorEastAsia"/>
          <w:color w:val="000000" w:themeColor="text1"/>
          <w:sz w:val="28"/>
          <w:szCs w:val="28"/>
          <w14:textFill>
            <w14:solidFill>
              <w14:schemeClr w14:val="tx1"/>
            </w14:solidFill>
          </w14:textFill>
        </w:rPr>
      </w:pPr>
      <w:bookmarkStart w:id="20" w:name="_Toc86743914"/>
      <w:r>
        <w:rPr>
          <w:rFonts w:hint="eastAsia" w:ascii="仿宋_GB2312" w:eastAsia="仿宋_GB2312" w:hAnsiTheme="minorEastAsia"/>
          <w:color w:val="000000" w:themeColor="text1"/>
          <w:sz w:val="28"/>
          <w:szCs w:val="28"/>
          <w14:textFill>
            <w14:solidFill>
              <w14:schemeClr w14:val="tx1"/>
            </w14:solidFill>
          </w14:textFill>
        </w:rPr>
        <w:t>（三）工业仓储（厂房、仓库等）用房租金分析结果</w:t>
      </w:r>
      <w:bookmarkEnd w:id="20"/>
    </w:p>
    <w:p>
      <w:pPr>
        <w:snapToGrid w:val="0"/>
        <w:spacing w:line="400" w:lineRule="atLeast"/>
        <w:ind w:firstLine="560" w:firstLineChars="200"/>
        <w:jc w:val="left"/>
        <w:rPr>
          <w:rFonts w:ascii="仿宋_GB2312" w:eastAsia="仿宋_GB2312" w:hAnsiTheme="minorEastAsia"/>
          <w:color w:val="000000" w:themeColor="text1"/>
          <w:sz w:val="28"/>
          <w:szCs w:val="28"/>
          <w14:textFill>
            <w14:solidFill>
              <w14:schemeClr w14:val="tx1"/>
            </w14:solidFill>
          </w14:textFill>
        </w:rPr>
      </w:pPr>
      <w:r>
        <w:rPr>
          <w:rFonts w:hint="eastAsia" w:ascii="仿宋_GB2312" w:eastAsia="仿宋_GB2312" w:hAnsiTheme="minorEastAsia"/>
          <w:color w:val="000000" w:themeColor="text1"/>
          <w:sz w:val="28"/>
          <w:szCs w:val="28"/>
          <w14:textFill>
            <w14:solidFill>
              <w14:schemeClr w14:val="tx1"/>
            </w14:solidFill>
          </w14:textFill>
        </w:rPr>
        <w:t>本次分析根据博罗县地理条件，结合厂房、仓库类房地产市场价格特征，将博罗县划分以下片区进行分析，具体结果如下：</w:t>
      </w:r>
    </w:p>
    <w:p>
      <w:pPr>
        <w:spacing w:line="400" w:lineRule="atLeast"/>
        <w:ind w:firstLine="482" w:firstLineChars="200"/>
        <w:jc w:val="center"/>
        <w:rPr>
          <w:rFonts w:ascii="仿宋_GB2312" w:eastAsia="仿宋_GB2312" w:cs="宋体" w:hAnsiTheme="minorEastAsia"/>
          <w:b/>
          <w:bCs/>
          <w:color w:val="000000" w:themeColor="text1"/>
          <w:kern w:val="0"/>
          <w:sz w:val="24"/>
          <w14:textFill>
            <w14:solidFill>
              <w14:schemeClr w14:val="tx1"/>
            </w14:solidFill>
          </w14:textFill>
        </w:rPr>
      </w:pPr>
      <w:r>
        <w:rPr>
          <w:rFonts w:hint="eastAsia" w:ascii="仿宋_GB2312" w:eastAsia="仿宋_GB2312" w:cs="宋体" w:hAnsiTheme="minorEastAsia"/>
          <w:b/>
          <w:bCs/>
          <w:color w:val="000000" w:themeColor="text1"/>
          <w:kern w:val="0"/>
          <w:sz w:val="24"/>
          <w14:textFill>
            <w14:solidFill>
              <w14:schemeClr w14:val="tx1"/>
            </w14:solidFill>
          </w14:textFill>
        </w:rPr>
        <w:t>表五 博罗县工业仓储（厂房、仓库等）分片区租金表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7"/>
        <w:gridCol w:w="2151"/>
        <w:gridCol w:w="4028"/>
        <w:gridCol w:w="2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blHeader/>
        </w:trPr>
        <w:tc>
          <w:tcPr>
            <w:tcW w:w="569" w:type="pct"/>
            <w:shd w:val="clear" w:color="auto" w:fill="BEBEBE" w:themeFill="background1" w:themeFillShade="BF"/>
            <w:vAlign w:val="center"/>
          </w:tcPr>
          <w:p>
            <w:pPr>
              <w:widowControl/>
              <w:spacing w:line="400" w:lineRule="atLeast"/>
              <w:jc w:val="center"/>
              <w:rPr>
                <w:rFonts w:ascii="仿宋_GB2312" w:hAnsi="宋体" w:eastAsia="仿宋_GB2312" w:cs="宋体"/>
                <w:b/>
                <w:bCs/>
                <w:color w:val="000000" w:themeColor="text1"/>
                <w:kern w:val="0"/>
                <w:sz w:val="22"/>
                <w14:textFill>
                  <w14:solidFill>
                    <w14:schemeClr w14:val="tx1"/>
                  </w14:solidFill>
                </w14:textFill>
              </w:rPr>
            </w:pPr>
            <w:r>
              <w:rPr>
                <w:rFonts w:hint="eastAsia" w:ascii="仿宋_GB2312" w:hAnsi="宋体" w:eastAsia="仿宋_GB2312" w:cs="宋体"/>
                <w:b/>
                <w:bCs/>
                <w:color w:val="000000" w:themeColor="text1"/>
                <w:kern w:val="0"/>
                <w:sz w:val="22"/>
                <w14:textFill>
                  <w14:solidFill>
                    <w14:schemeClr w14:val="tx1"/>
                  </w14:solidFill>
                </w14:textFill>
              </w:rPr>
              <w:t>等级</w:t>
            </w:r>
          </w:p>
        </w:tc>
        <w:tc>
          <w:tcPr>
            <w:tcW w:w="1158" w:type="pct"/>
            <w:shd w:val="clear" w:color="auto" w:fill="BEBEBE" w:themeFill="background1" w:themeFillShade="BF"/>
            <w:vAlign w:val="center"/>
          </w:tcPr>
          <w:p>
            <w:pPr>
              <w:widowControl/>
              <w:spacing w:line="400" w:lineRule="atLeast"/>
              <w:jc w:val="center"/>
              <w:rPr>
                <w:rFonts w:ascii="仿宋_GB2312" w:hAnsi="宋体" w:eastAsia="仿宋_GB2312" w:cs="宋体"/>
                <w:b/>
                <w:bCs/>
                <w:color w:val="000000" w:themeColor="text1"/>
                <w:kern w:val="0"/>
                <w:sz w:val="22"/>
                <w14:textFill>
                  <w14:solidFill>
                    <w14:schemeClr w14:val="tx1"/>
                  </w14:solidFill>
                </w14:textFill>
              </w:rPr>
            </w:pPr>
            <w:r>
              <w:rPr>
                <w:rFonts w:hint="eastAsia" w:ascii="仿宋_GB2312" w:hAnsi="宋体" w:eastAsia="仿宋_GB2312" w:cs="宋体"/>
                <w:b/>
                <w:bCs/>
                <w:color w:val="000000" w:themeColor="text1"/>
                <w:kern w:val="0"/>
                <w:sz w:val="22"/>
                <w14:textFill>
                  <w14:solidFill>
                    <w14:schemeClr w14:val="tx1"/>
                  </w14:solidFill>
                </w14:textFill>
              </w:rPr>
              <w:t>所属街道办（镇）</w:t>
            </w:r>
          </w:p>
        </w:tc>
        <w:tc>
          <w:tcPr>
            <w:tcW w:w="2169" w:type="pct"/>
            <w:shd w:val="clear" w:color="auto" w:fill="BEBEBE" w:themeFill="background1" w:themeFillShade="BF"/>
            <w:vAlign w:val="center"/>
          </w:tcPr>
          <w:p>
            <w:pPr>
              <w:widowControl/>
              <w:spacing w:line="400" w:lineRule="atLeast"/>
              <w:jc w:val="center"/>
              <w:rPr>
                <w:rFonts w:ascii="仿宋_GB2312" w:hAnsi="宋体" w:eastAsia="仿宋_GB2312" w:cs="宋体"/>
                <w:b/>
                <w:bCs/>
                <w:color w:val="000000" w:themeColor="text1"/>
                <w:kern w:val="0"/>
                <w:sz w:val="22"/>
                <w14:textFill>
                  <w14:solidFill>
                    <w14:schemeClr w14:val="tx1"/>
                  </w14:solidFill>
                </w14:textFill>
              </w:rPr>
            </w:pPr>
            <w:r>
              <w:rPr>
                <w:rFonts w:hint="eastAsia" w:ascii="仿宋_GB2312" w:hAnsi="宋体" w:eastAsia="仿宋_GB2312" w:cs="宋体"/>
                <w:b/>
                <w:bCs/>
                <w:color w:val="000000" w:themeColor="text1"/>
                <w:kern w:val="0"/>
                <w:sz w:val="22"/>
                <w14:textFill>
                  <w14:solidFill>
                    <w14:schemeClr w14:val="tx1"/>
                  </w14:solidFill>
                </w14:textFill>
              </w:rPr>
              <w:t>范围</w:t>
            </w:r>
          </w:p>
        </w:tc>
        <w:tc>
          <w:tcPr>
            <w:tcW w:w="1104" w:type="pct"/>
            <w:shd w:val="clear" w:color="auto" w:fill="BEBEBE" w:themeFill="background1" w:themeFillShade="BF"/>
            <w:vAlign w:val="center"/>
          </w:tcPr>
          <w:p>
            <w:pPr>
              <w:widowControl/>
              <w:spacing w:line="400" w:lineRule="atLeast"/>
              <w:jc w:val="center"/>
              <w:rPr>
                <w:rFonts w:ascii="仿宋_GB2312" w:hAnsi="宋体" w:eastAsia="仿宋_GB2312" w:cs="宋体"/>
                <w:b/>
                <w:bCs/>
                <w:color w:val="000000" w:themeColor="text1"/>
                <w:kern w:val="0"/>
                <w:sz w:val="22"/>
                <w14:textFill>
                  <w14:solidFill>
                    <w14:schemeClr w14:val="tx1"/>
                  </w14:solidFill>
                </w14:textFill>
              </w:rPr>
            </w:pPr>
            <w:r>
              <w:rPr>
                <w:rFonts w:hint="eastAsia" w:ascii="仿宋_GB2312" w:hAnsi="宋体" w:eastAsia="仿宋_GB2312" w:cs="宋体"/>
                <w:b/>
                <w:bCs/>
                <w:color w:val="000000" w:themeColor="text1"/>
                <w:kern w:val="0"/>
                <w:sz w:val="22"/>
                <w14:textFill>
                  <w14:solidFill>
                    <w14:schemeClr w14:val="tx1"/>
                  </w14:solidFill>
                </w14:textFill>
              </w:rPr>
              <w:t>工业租金水平   （元/平方米</w:t>
            </w:r>
            <w:r>
              <w:rPr>
                <w:rFonts w:hint="eastAsia" w:ascii="微软雅黑" w:hAnsi="微软雅黑" w:eastAsia="微软雅黑" w:cs="微软雅黑"/>
                <w:b/>
                <w:bCs/>
                <w:color w:val="000000" w:themeColor="text1"/>
                <w:kern w:val="0"/>
                <w:sz w:val="22"/>
                <w14:textFill>
                  <w14:solidFill>
                    <w14:schemeClr w14:val="tx1"/>
                  </w14:solidFill>
                </w14:textFill>
              </w:rPr>
              <w:t>•</w:t>
            </w:r>
            <w:r>
              <w:rPr>
                <w:rFonts w:hint="eastAsia" w:ascii="仿宋_GB2312" w:hAnsi="仿宋_GB2312" w:eastAsia="仿宋_GB2312" w:cs="仿宋_GB2312"/>
                <w:b/>
                <w:bCs/>
                <w:color w:val="000000" w:themeColor="text1"/>
                <w:kern w:val="0"/>
                <w:sz w:val="22"/>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569" w:type="pct"/>
            <w:vMerge w:val="restar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一</w:t>
            </w:r>
          </w:p>
        </w:tc>
        <w:tc>
          <w:tcPr>
            <w:tcW w:w="1158" w:type="pct"/>
            <w:vMerge w:val="restart"/>
            <w:shd w:val="clear" w:color="auto" w:fill="auto"/>
            <w:vAlign w:val="center"/>
          </w:tcPr>
          <w:p>
            <w:pPr>
              <w:widowControl/>
              <w:spacing w:line="400" w:lineRule="atLeast"/>
              <w:jc w:val="center"/>
              <w:rPr>
                <w:rFonts w:ascii="仿宋_GB2312" w:hAnsi="宋体" w:eastAsia="仿宋_GB2312" w:cs="宋体"/>
                <w:bCs/>
                <w:color w:val="000000" w:themeColor="text1"/>
                <w:kern w:val="0"/>
                <w:sz w:val="22"/>
                <w14:textFill>
                  <w14:solidFill>
                    <w14:schemeClr w14:val="tx1"/>
                  </w14:solidFill>
                </w14:textFill>
              </w:rPr>
            </w:pPr>
            <w:r>
              <w:rPr>
                <w:rFonts w:hint="eastAsia" w:ascii="仿宋_GB2312" w:hAnsi="宋体" w:eastAsia="仿宋_GB2312" w:cs="宋体"/>
                <w:bCs/>
                <w:color w:val="000000" w:themeColor="text1"/>
                <w:kern w:val="0"/>
                <w:sz w:val="22"/>
                <w14:textFill>
                  <w14:solidFill>
                    <w14:schemeClr w14:val="tx1"/>
                  </w14:solidFill>
                </w14:textFill>
              </w:rPr>
              <w:t>罗阳街道(含义和、小金村）、石湾镇、园洲镇、龙溪街道</w:t>
            </w: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临主干道</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569" w:type="pct"/>
            <w:vMerge w:val="continue"/>
            <w:vAlign w:val="center"/>
          </w:tcPr>
          <w:p>
            <w:pPr>
              <w:widowControl/>
              <w:spacing w:line="400" w:lineRule="atLeast"/>
              <w:jc w:val="left"/>
              <w:rPr>
                <w:rFonts w:ascii="仿宋_GB2312" w:hAnsi="宋体" w:eastAsia="仿宋_GB2312" w:cs="宋体"/>
                <w:color w:val="000000" w:themeColor="text1"/>
                <w:kern w:val="0"/>
                <w:sz w:val="22"/>
                <w14:textFill>
                  <w14:solidFill>
                    <w14:schemeClr w14:val="tx1"/>
                  </w14:solidFill>
                </w14:textFill>
              </w:rPr>
            </w:pPr>
          </w:p>
        </w:tc>
        <w:tc>
          <w:tcPr>
            <w:tcW w:w="1158" w:type="pct"/>
            <w:vMerge w:val="continue"/>
            <w:vAlign w:val="center"/>
          </w:tcPr>
          <w:p>
            <w:pPr>
              <w:widowControl/>
              <w:spacing w:line="400" w:lineRule="atLeast"/>
              <w:jc w:val="left"/>
              <w:rPr>
                <w:rFonts w:ascii="仿宋_GB2312" w:hAnsi="宋体" w:eastAsia="仿宋_GB2312" w:cs="宋体"/>
                <w:bCs/>
                <w:color w:val="000000" w:themeColor="text1"/>
                <w:kern w:val="0"/>
                <w:sz w:val="22"/>
                <w14:textFill>
                  <w14:solidFill>
                    <w14:schemeClr w14:val="tx1"/>
                  </w14:solidFill>
                </w14:textFill>
              </w:rPr>
            </w:pP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临近次干道</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69" w:type="pct"/>
            <w:vMerge w:val="continue"/>
            <w:vAlign w:val="center"/>
          </w:tcPr>
          <w:p>
            <w:pPr>
              <w:widowControl/>
              <w:spacing w:line="400" w:lineRule="atLeast"/>
              <w:jc w:val="left"/>
              <w:rPr>
                <w:rFonts w:ascii="仿宋_GB2312" w:hAnsi="宋体" w:eastAsia="仿宋_GB2312" w:cs="宋体"/>
                <w:color w:val="000000" w:themeColor="text1"/>
                <w:kern w:val="0"/>
                <w:sz w:val="22"/>
                <w14:textFill>
                  <w14:solidFill>
                    <w14:schemeClr w14:val="tx1"/>
                  </w14:solidFill>
                </w14:textFill>
              </w:rPr>
            </w:pPr>
          </w:p>
        </w:tc>
        <w:tc>
          <w:tcPr>
            <w:tcW w:w="1158" w:type="pct"/>
            <w:vMerge w:val="continue"/>
            <w:vAlign w:val="center"/>
          </w:tcPr>
          <w:p>
            <w:pPr>
              <w:widowControl/>
              <w:spacing w:line="400" w:lineRule="atLeast"/>
              <w:jc w:val="left"/>
              <w:rPr>
                <w:rFonts w:ascii="仿宋_GB2312" w:hAnsi="宋体" w:eastAsia="仿宋_GB2312" w:cs="宋体"/>
                <w:bCs/>
                <w:color w:val="000000" w:themeColor="text1"/>
                <w:kern w:val="0"/>
                <w:sz w:val="22"/>
                <w14:textFill>
                  <w14:solidFill>
                    <w14:schemeClr w14:val="tx1"/>
                  </w14:solidFill>
                </w14:textFill>
              </w:rPr>
            </w:pP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临支路或者不临路</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569" w:type="pct"/>
            <w:vMerge w:val="restar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二</w:t>
            </w:r>
          </w:p>
        </w:tc>
        <w:tc>
          <w:tcPr>
            <w:tcW w:w="1158" w:type="pct"/>
            <w:vMerge w:val="restart"/>
            <w:shd w:val="clear" w:color="auto" w:fill="auto"/>
            <w:vAlign w:val="center"/>
          </w:tcPr>
          <w:p>
            <w:pPr>
              <w:widowControl/>
              <w:spacing w:line="400" w:lineRule="atLeast"/>
              <w:jc w:val="center"/>
              <w:rPr>
                <w:rFonts w:ascii="仿宋_GB2312" w:hAnsi="宋体" w:eastAsia="仿宋_GB2312" w:cs="宋体"/>
                <w:bCs/>
                <w:color w:val="000000" w:themeColor="text1"/>
                <w:kern w:val="0"/>
                <w:sz w:val="22"/>
                <w14:textFill>
                  <w14:solidFill>
                    <w14:schemeClr w14:val="tx1"/>
                  </w14:solidFill>
                </w14:textFill>
              </w:rPr>
            </w:pPr>
            <w:r>
              <w:rPr>
                <w:rFonts w:hint="eastAsia" w:ascii="仿宋_GB2312" w:hAnsi="宋体" w:eastAsia="仿宋_GB2312" w:cs="宋体"/>
                <w:bCs/>
                <w:color w:val="000000" w:themeColor="text1"/>
                <w:kern w:val="0"/>
                <w:sz w:val="22"/>
                <w14:textFill>
                  <w14:solidFill>
                    <w14:schemeClr w14:val="tx1"/>
                  </w14:solidFill>
                </w14:textFill>
              </w:rPr>
              <w:t>福田镇、长宁镇、罗浮山风景名胜区</w:t>
            </w: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临主干道</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69" w:type="pct"/>
            <w:vMerge w:val="continue"/>
            <w:vAlign w:val="center"/>
          </w:tcPr>
          <w:p>
            <w:pPr>
              <w:widowControl/>
              <w:spacing w:line="400" w:lineRule="atLeast"/>
              <w:jc w:val="left"/>
              <w:rPr>
                <w:rFonts w:ascii="仿宋_GB2312" w:hAnsi="宋体" w:eastAsia="仿宋_GB2312" w:cs="宋体"/>
                <w:color w:val="000000" w:themeColor="text1"/>
                <w:kern w:val="0"/>
                <w:sz w:val="22"/>
                <w14:textFill>
                  <w14:solidFill>
                    <w14:schemeClr w14:val="tx1"/>
                  </w14:solidFill>
                </w14:textFill>
              </w:rPr>
            </w:pPr>
          </w:p>
        </w:tc>
        <w:tc>
          <w:tcPr>
            <w:tcW w:w="1158" w:type="pct"/>
            <w:vMerge w:val="continue"/>
            <w:vAlign w:val="center"/>
          </w:tcPr>
          <w:p>
            <w:pPr>
              <w:widowControl/>
              <w:spacing w:line="400" w:lineRule="atLeast"/>
              <w:jc w:val="left"/>
              <w:rPr>
                <w:rFonts w:ascii="仿宋_GB2312" w:hAnsi="宋体" w:eastAsia="仿宋_GB2312" w:cs="宋体"/>
                <w:bCs/>
                <w:color w:val="000000" w:themeColor="text1"/>
                <w:kern w:val="0"/>
                <w:sz w:val="22"/>
                <w14:textFill>
                  <w14:solidFill>
                    <w14:schemeClr w14:val="tx1"/>
                  </w14:solidFill>
                </w14:textFill>
              </w:rPr>
            </w:pP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临近次干道</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69" w:type="pct"/>
            <w:vMerge w:val="continue"/>
            <w:vAlign w:val="center"/>
          </w:tcPr>
          <w:p>
            <w:pPr>
              <w:widowControl/>
              <w:spacing w:line="400" w:lineRule="atLeast"/>
              <w:jc w:val="left"/>
              <w:rPr>
                <w:rFonts w:ascii="仿宋_GB2312" w:hAnsi="宋体" w:eastAsia="仿宋_GB2312" w:cs="宋体"/>
                <w:color w:val="000000" w:themeColor="text1"/>
                <w:kern w:val="0"/>
                <w:sz w:val="22"/>
                <w14:textFill>
                  <w14:solidFill>
                    <w14:schemeClr w14:val="tx1"/>
                  </w14:solidFill>
                </w14:textFill>
              </w:rPr>
            </w:pPr>
          </w:p>
        </w:tc>
        <w:tc>
          <w:tcPr>
            <w:tcW w:w="1158" w:type="pct"/>
            <w:vMerge w:val="continue"/>
            <w:vAlign w:val="center"/>
          </w:tcPr>
          <w:p>
            <w:pPr>
              <w:widowControl/>
              <w:spacing w:line="400" w:lineRule="atLeast"/>
              <w:jc w:val="left"/>
              <w:rPr>
                <w:rFonts w:ascii="仿宋_GB2312" w:hAnsi="宋体" w:eastAsia="仿宋_GB2312" w:cs="宋体"/>
                <w:bCs/>
                <w:color w:val="000000" w:themeColor="text1"/>
                <w:kern w:val="0"/>
                <w:sz w:val="22"/>
                <w14:textFill>
                  <w14:solidFill>
                    <w14:schemeClr w14:val="tx1"/>
                  </w14:solidFill>
                </w14:textFill>
              </w:rPr>
            </w:pP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临支路或者不临路</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69" w:type="pct"/>
            <w:vMerge w:val="restar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三</w:t>
            </w:r>
          </w:p>
        </w:tc>
        <w:tc>
          <w:tcPr>
            <w:tcW w:w="1158" w:type="pct"/>
            <w:vMerge w:val="restart"/>
            <w:shd w:val="clear" w:color="auto" w:fill="auto"/>
            <w:vAlign w:val="center"/>
          </w:tcPr>
          <w:p>
            <w:pPr>
              <w:widowControl/>
              <w:spacing w:line="400" w:lineRule="atLeast"/>
              <w:jc w:val="center"/>
              <w:rPr>
                <w:rFonts w:ascii="仿宋_GB2312" w:hAnsi="宋体" w:eastAsia="仿宋_GB2312" w:cs="宋体"/>
                <w:bCs/>
                <w:color w:val="000000" w:themeColor="text1"/>
                <w:kern w:val="0"/>
                <w:sz w:val="22"/>
                <w14:textFill>
                  <w14:solidFill>
                    <w14:schemeClr w14:val="tx1"/>
                  </w14:solidFill>
                </w14:textFill>
              </w:rPr>
            </w:pPr>
            <w:r>
              <w:rPr>
                <w:rFonts w:hint="eastAsia" w:ascii="仿宋_GB2312" w:hAnsi="宋体" w:eastAsia="仿宋_GB2312" w:cs="宋体"/>
                <w:bCs/>
                <w:color w:val="000000" w:themeColor="text1"/>
                <w:kern w:val="0"/>
                <w:sz w:val="22"/>
                <w14:textFill>
                  <w14:solidFill>
                    <w14:schemeClr w14:val="tx1"/>
                  </w14:solidFill>
                </w14:textFill>
              </w:rPr>
              <w:t>龙华镇、湖镇镇、杨村镇、杨侨镇、公庄镇、泰美镇、柏塘镇</w:t>
            </w: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临主干道</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569" w:type="pct"/>
            <w:vMerge w:val="continue"/>
            <w:vAlign w:val="center"/>
          </w:tcPr>
          <w:p>
            <w:pPr>
              <w:widowControl/>
              <w:spacing w:line="400" w:lineRule="atLeast"/>
              <w:jc w:val="left"/>
              <w:rPr>
                <w:rFonts w:ascii="仿宋_GB2312" w:hAnsi="宋体" w:eastAsia="仿宋_GB2312" w:cs="宋体"/>
                <w:color w:val="000000" w:themeColor="text1"/>
                <w:kern w:val="0"/>
                <w:sz w:val="22"/>
                <w14:textFill>
                  <w14:solidFill>
                    <w14:schemeClr w14:val="tx1"/>
                  </w14:solidFill>
                </w14:textFill>
              </w:rPr>
            </w:pPr>
          </w:p>
        </w:tc>
        <w:tc>
          <w:tcPr>
            <w:tcW w:w="1158" w:type="pct"/>
            <w:vMerge w:val="continue"/>
            <w:vAlign w:val="center"/>
          </w:tcPr>
          <w:p>
            <w:pPr>
              <w:widowControl/>
              <w:spacing w:line="400" w:lineRule="atLeast"/>
              <w:jc w:val="left"/>
              <w:rPr>
                <w:rFonts w:ascii="仿宋_GB2312" w:hAnsi="宋体" w:eastAsia="仿宋_GB2312" w:cs="宋体"/>
                <w:bCs/>
                <w:color w:val="000000" w:themeColor="text1"/>
                <w:kern w:val="0"/>
                <w:sz w:val="22"/>
                <w14:textFill>
                  <w14:solidFill>
                    <w14:schemeClr w14:val="tx1"/>
                  </w14:solidFill>
                </w14:textFill>
              </w:rPr>
            </w:pP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临近次干道</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569" w:type="pct"/>
            <w:vMerge w:val="continue"/>
            <w:vAlign w:val="center"/>
          </w:tcPr>
          <w:p>
            <w:pPr>
              <w:widowControl/>
              <w:spacing w:line="400" w:lineRule="atLeast"/>
              <w:jc w:val="left"/>
              <w:rPr>
                <w:rFonts w:ascii="仿宋_GB2312" w:hAnsi="宋体" w:eastAsia="仿宋_GB2312" w:cs="宋体"/>
                <w:color w:val="000000" w:themeColor="text1"/>
                <w:kern w:val="0"/>
                <w:sz w:val="22"/>
                <w14:textFill>
                  <w14:solidFill>
                    <w14:schemeClr w14:val="tx1"/>
                  </w14:solidFill>
                </w14:textFill>
              </w:rPr>
            </w:pPr>
          </w:p>
        </w:tc>
        <w:tc>
          <w:tcPr>
            <w:tcW w:w="1158" w:type="pct"/>
            <w:vMerge w:val="continue"/>
            <w:vAlign w:val="center"/>
          </w:tcPr>
          <w:p>
            <w:pPr>
              <w:widowControl/>
              <w:spacing w:line="400" w:lineRule="atLeast"/>
              <w:jc w:val="left"/>
              <w:rPr>
                <w:rFonts w:ascii="仿宋_GB2312" w:hAnsi="宋体" w:eastAsia="仿宋_GB2312" w:cs="宋体"/>
                <w:bCs/>
                <w:color w:val="000000" w:themeColor="text1"/>
                <w:kern w:val="0"/>
                <w:sz w:val="22"/>
                <w14:textFill>
                  <w14:solidFill>
                    <w14:schemeClr w14:val="tx1"/>
                  </w14:solidFill>
                </w14:textFill>
              </w:rPr>
            </w:pP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临支路或者不临路</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69" w:type="pct"/>
            <w:vMerge w:val="restar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四</w:t>
            </w:r>
          </w:p>
        </w:tc>
        <w:tc>
          <w:tcPr>
            <w:tcW w:w="1158" w:type="pct"/>
            <w:vMerge w:val="restart"/>
            <w:shd w:val="clear" w:color="auto" w:fill="auto"/>
            <w:vAlign w:val="center"/>
          </w:tcPr>
          <w:p>
            <w:pPr>
              <w:widowControl/>
              <w:spacing w:line="400" w:lineRule="atLeast"/>
              <w:jc w:val="center"/>
              <w:rPr>
                <w:rFonts w:ascii="仿宋_GB2312" w:hAnsi="宋体" w:eastAsia="仿宋_GB2312" w:cs="宋体"/>
                <w:bCs/>
                <w:color w:val="000000" w:themeColor="text1"/>
                <w:kern w:val="0"/>
                <w:sz w:val="22"/>
                <w14:textFill>
                  <w14:solidFill>
                    <w14:schemeClr w14:val="tx1"/>
                  </w14:solidFill>
                </w14:textFill>
              </w:rPr>
            </w:pPr>
            <w:r>
              <w:rPr>
                <w:rFonts w:hint="eastAsia" w:ascii="仿宋_GB2312" w:hAnsi="宋体" w:eastAsia="仿宋_GB2312" w:cs="宋体"/>
                <w:bCs/>
                <w:color w:val="000000" w:themeColor="text1"/>
                <w:kern w:val="0"/>
                <w:sz w:val="22"/>
                <w14:textFill>
                  <w14:solidFill>
                    <w14:schemeClr w14:val="tx1"/>
                  </w14:solidFill>
                </w14:textFill>
              </w:rPr>
              <w:t>石坝镇、观音阁镇、横河镇、麻陂镇</w:t>
            </w: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临主干道</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69" w:type="pct"/>
            <w:vMerge w:val="continue"/>
            <w:vAlign w:val="center"/>
          </w:tcPr>
          <w:p>
            <w:pPr>
              <w:widowControl/>
              <w:spacing w:line="400" w:lineRule="atLeast"/>
              <w:jc w:val="left"/>
              <w:rPr>
                <w:rFonts w:ascii="仿宋_GB2312" w:hAnsi="宋体" w:eastAsia="仿宋_GB2312" w:cs="宋体"/>
                <w:color w:val="000000" w:themeColor="text1"/>
                <w:kern w:val="0"/>
                <w:sz w:val="22"/>
                <w14:textFill>
                  <w14:solidFill>
                    <w14:schemeClr w14:val="tx1"/>
                  </w14:solidFill>
                </w14:textFill>
              </w:rPr>
            </w:pPr>
          </w:p>
        </w:tc>
        <w:tc>
          <w:tcPr>
            <w:tcW w:w="1158" w:type="pct"/>
            <w:vMerge w:val="continue"/>
            <w:vAlign w:val="center"/>
          </w:tcPr>
          <w:p>
            <w:pPr>
              <w:widowControl/>
              <w:spacing w:line="400" w:lineRule="atLeast"/>
              <w:jc w:val="left"/>
              <w:rPr>
                <w:rFonts w:ascii="仿宋_GB2312" w:hAnsi="宋体" w:eastAsia="仿宋_GB2312" w:cs="宋体"/>
                <w:b/>
                <w:bCs/>
                <w:color w:val="000000" w:themeColor="text1"/>
                <w:kern w:val="0"/>
                <w:sz w:val="22"/>
                <w14:textFill>
                  <w14:solidFill>
                    <w14:schemeClr w14:val="tx1"/>
                  </w14:solidFill>
                </w14:textFill>
              </w:rPr>
            </w:pP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临近次干道</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69" w:type="pct"/>
            <w:vMerge w:val="continue"/>
            <w:vAlign w:val="center"/>
          </w:tcPr>
          <w:p>
            <w:pPr>
              <w:widowControl/>
              <w:spacing w:line="400" w:lineRule="atLeast"/>
              <w:jc w:val="left"/>
              <w:rPr>
                <w:rFonts w:ascii="仿宋_GB2312" w:hAnsi="宋体" w:eastAsia="仿宋_GB2312" w:cs="宋体"/>
                <w:color w:val="000000" w:themeColor="text1"/>
                <w:kern w:val="0"/>
                <w:sz w:val="22"/>
                <w14:textFill>
                  <w14:solidFill>
                    <w14:schemeClr w14:val="tx1"/>
                  </w14:solidFill>
                </w14:textFill>
              </w:rPr>
            </w:pPr>
          </w:p>
        </w:tc>
        <w:tc>
          <w:tcPr>
            <w:tcW w:w="1158" w:type="pct"/>
            <w:vMerge w:val="continue"/>
            <w:vAlign w:val="center"/>
          </w:tcPr>
          <w:p>
            <w:pPr>
              <w:widowControl/>
              <w:spacing w:line="400" w:lineRule="atLeast"/>
              <w:jc w:val="left"/>
              <w:rPr>
                <w:rFonts w:ascii="仿宋_GB2312" w:hAnsi="宋体" w:eastAsia="仿宋_GB2312" w:cs="宋体"/>
                <w:b/>
                <w:bCs/>
                <w:color w:val="000000" w:themeColor="text1"/>
                <w:kern w:val="0"/>
                <w:sz w:val="22"/>
                <w14:textFill>
                  <w14:solidFill>
                    <w14:schemeClr w14:val="tx1"/>
                  </w14:solidFill>
                </w14:textFill>
              </w:rPr>
            </w:pPr>
          </w:p>
        </w:tc>
        <w:tc>
          <w:tcPr>
            <w:tcW w:w="2169"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临支路或者不临路</w:t>
            </w:r>
          </w:p>
        </w:tc>
        <w:tc>
          <w:tcPr>
            <w:tcW w:w="1104" w:type="pct"/>
            <w:shd w:val="clear" w:color="auto" w:fill="auto"/>
            <w:vAlign w:val="center"/>
          </w:tcPr>
          <w:p>
            <w:pPr>
              <w:widowControl/>
              <w:spacing w:line="400" w:lineRule="atLeast"/>
              <w:jc w:val="center"/>
              <w:rPr>
                <w:rFonts w:ascii="仿宋_GB2312" w:hAnsi="宋体" w:eastAsia="仿宋_GB2312" w:cs="宋体"/>
                <w:color w:val="000000" w:themeColor="text1"/>
                <w:kern w:val="0"/>
                <w:sz w:val="22"/>
                <w14:textFill>
                  <w14:solidFill>
                    <w14:schemeClr w14:val="tx1"/>
                  </w14:solidFill>
                </w14:textFill>
              </w:rPr>
            </w:pPr>
            <w:r>
              <w:rPr>
                <w:rFonts w:hint="eastAsia" w:ascii="仿宋_GB2312" w:hAnsi="宋体" w:eastAsia="仿宋_GB2312" w:cs="宋体"/>
                <w:color w:val="000000" w:themeColor="text1"/>
                <w:kern w:val="0"/>
                <w:sz w:val="22"/>
                <w14:textFill>
                  <w14:solidFill>
                    <w14:schemeClr w14:val="tx1"/>
                  </w14:solidFill>
                </w14:textFill>
              </w:rPr>
              <w:t>4</w:t>
            </w:r>
          </w:p>
        </w:tc>
      </w:tr>
    </w:tbl>
    <w:p>
      <w:pPr>
        <w:spacing w:line="400" w:lineRule="atLeast"/>
        <w:jc w:val="left"/>
        <w:rPr>
          <w:rFonts w:ascii="仿宋_GB2312" w:eastAsia="仿宋_GB2312" w:hAnsiTheme="minorEastAsia"/>
          <w:color w:val="000000" w:themeColor="text1"/>
          <w:kern w:val="50"/>
          <w:szCs w:val="21"/>
          <w14:textFill>
            <w14:solidFill>
              <w14:schemeClr w14:val="tx1"/>
            </w14:solidFill>
          </w14:textFill>
        </w:rPr>
      </w:pPr>
      <w:r>
        <w:rPr>
          <w:rFonts w:hint="eastAsia" w:ascii="仿宋_GB2312" w:eastAsia="仿宋_GB2312" w:hAnsiTheme="minorEastAsia"/>
          <w:color w:val="000000" w:themeColor="text1"/>
          <w:spacing w:val="-6"/>
          <w:kern w:val="48"/>
          <w:szCs w:val="21"/>
          <w14:textFill>
            <w14:solidFill>
              <w14:schemeClr w14:val="tx1"/>
            </w14:solidFill>
          </w14:textFill>
        </w:rPr>
        <w:t>备注：</w:t>
      </w:r>
      <w:r>
        <w:rPr>
          <w:rFonts w:hint="eastAsia" w:ascii="仿宋_GB2312" w:eastAsia="仿宋_GB2312" w:hAnsiTheme="minorEastAsia"/>
          <w:color w:val="000000" w:themeColor="text1"/>
          <w:kern w:val="50"/>
          <w:szCs w:val="21"/>
          <w14:textFill>
            <w14:solidFill>
              <w14:schemeClr w14:val="tx1"/>
            </w14:solidFill>
          </w14:textFill>
        </w:rPr>
        <w:t>通过查阅相关资料，并依据道路红线宽度、车道数等条件划分主干道、次干道，划分标准如下:</w:t>
      </w:r>
    </w:p>
    <w:p>
      <w:pPr>
        <w:spacing w:line="400" w:lineRule="atLeast"/>
        <w:ind w:firstLine="420" w:firstLineChars="200"/>
        <w:jc w:val="left"/>
        <w:rPr>
          <w:rFonts w:ascii="仿宋_GB2312" w:eastAsia="仿宋_GB2312" w:hAnsiTheme="minorEastAsia"/>
          <w:color w:val="000000" w:themeColor="text1"/>
          <w:kern w:val="50"/>
          <w:szCs w:val="21"/>
          <w14:textFill>
            <w14:solidFill>
              <w14:schemeClr w14:val="tx1"/>
            </w14:solidFill>
          </w14:textFill>
        </w:rPr>
      </w:pPr>
      <w:r>
        <w:rPr>
          <w:rFonts w:hint="eastAsia" w:ascii="仿宋_GB2312" w:eastAsia="仿宋_GB2312" w:hAnsiTheme="minorEastAsia"/>
          <w:color w:val="000000" w:themeColor="text1"/>
          <w:kern w:val="50"/>
          <w:szCs w:val="21"/>
          <w14:textFill>
            <w14:solidFill>
              <w14:schemeClr w14:val="tx1"/>
            </w14:solidFill>
          </w14:textFill>
        </w:rPr>
        <w:t>主干道：是指联系城镇主要工矿企业、交通枢纽和全市性公共活动场所的道路，是城镇主要客货运输线，道路红线宽度≥40米，车道宽度14米以上，车道数大于等于4个。</w:t>
      </w:r>
    </w:p>
    <w:p>
      <w:pPr>
        <w:spacing w:line="400" w:lineRule="atLeast"/>
        <w:ind w:firstLine="420" w:firstLineChars="200"/>
        <w:jc w:val="left"/>
        <w:rPr>
          <w:rFonts w:ascii="Times New Roman" w:hAnsi="Times New Roman" w:eastAsia="仿宋" w:cs="Times New Roman"/>
          <w:b/>
          <w:bCs/>
          <w:sz w:val="32"/>
          <w:szCs w:val="32"/>
          <w:shd w:val="clear" w:color="auto" w:fill="FFFFFF"/>
        </w:rPr>
      </w:pPr>
      <w:r>
        <w:rPr>
          <w:rFonts w:hint="eastAsia" w:ascii="仿宋_GB2312" w:eastAsia="仿宋_GB2312" w:hAnsiTheme="minorEastAsia"/>
          <w:color w:val="000000" w:themeColor="text1"/>
          <w:kern w:val="50"/>
          <w:szCs w:val="21"/>
          <w14:textFill>
            <w14:solidFill>
              <w14:schemeClr w14:val="tx1"/>
            </w14:solidFill>
          </w14:textFill>
        </w:rPr>
        <w:t>次干道：是指联系城镇主干道之间的道路，道路红线宽度15-40米，车道宽度11-14米，车道数大于等于2个。</w:t>
      </w:r>
      <w:r>
        <w:rPr>
          <w:rFonts w:ascii="Times New Roman" w:hAnsi="Times New Roman" w:eastAsia="仿宋"/>
          <w:b/>
          <w:bCs/>
          <w:sz w:val="32"/>
          <w:szCs w:val="32"/>
          <w:shd w:val="clear" w:color="auto" w:fill="FFFFFF"/>
        </w:rPr>
        <w:br w:type="page"/>
      </w:r>
    </w:p>
    <w:p>
      <w:pPr>
        <w:shd w:val="clear" w:color="auto" w:fill="FFFFFF"/>
        <w:tabs>
          <w:tab w:val="left" w:pos="2127"/>
          <w:tab w:val="left" w:pos="2410"/>
        </w:tabs>
        <w:outlineLvl w:val="0"/>
        <w:rPr>
          <w:rFonts w:ascii="Times New Roman" w:hAnsi="Times New Roman" w:eastAsia="仿宋"/>
          <w:b/>
          <w:bCs/>
          <w:sz w:val="32"/>
          <w:szCs w:val="32"/>
          <w:shd w:val="clear" w:color="auto" w:fill="FFFFFF"/>
        </w:rPr>
      </w:pPr>
      <w:r>
        <w:rPr>
          <w:rFonts w:hint="eastAsia" w:ascii="Times New Roman" w:hAnsi="Times New Roman" w:eastAsia="仿宋"/>
          <w:b/>
          <w:bCs/>
          <w:sz w:val="32"/>
          <w:szCs w:val="32"/>
          <w:shd w:val="clear" w:color="auto" w:fill="FFFFFF"/>
        </w:rPr>
        <w:t>附件</w:t>
      </w:r>
      <w:r>
        <w:rPr>
          <w:rFonts w:ascii="Times New Roman" w:hAnsi="Times New Roman" w:eastAsia="仿宋"/>
          <w:b/>
          <w:bCs/>
          <w:sz w:val="32"/>
          <w:szCs w:val="32"/>
          <w:shd w:val="clear" w:color="auto" w:fill="FFFFFF"/>
        </w:rPr>
        <w:t>2-1</w:t>
      </w:r>
    </w:p>
    <w:tbl>
      <w:tblPr>
        <w:tblStyle w:val="13"/>
        <w:tblW w:w="9285" w:type="dxa"/>
        <w:tblInd w:w="0" w:type="dxa"/>
        <w:tblLayout w:type="fixed"/>
        <w:tblCellMar>
          <w:top w:w="0" w:type="dxa"/>
          <w:left w:w="108" w:type="dxa"/>
          <w:bottom w:w="0" w:type="dxa"/>
          <w:right w:w="108" w:type="dxa"/>
        </w:tblCellMar>
      </w:tblPr>
      <w:tblGrid>
        <w:gridCol w:w="2183"/>
        <w:gridCol w:w="2039"/>
        <w:gridCol w:w="2602"/>
        <w:gridCol w:w="2461"/>
      </w:tblGrid>
      <w:tr>
        <w:tblPrEx>
          <w:tblCellMar>
            <w:top w:w="0" w:type="dxa"/>
            <w:left w:w="108" w:type="dxa"/>
            <w:bottom w:w="0" w:type="dxa"/>
            <w:right w:w="108" w:type="dxa"/>
          </w:tblCellMar>
        </w:tblPrEx>
        <w:trPr>
          <w:trHeight w:val="799" w:hRule="atLeast"/>
        </w:trPr>
        <w:tc>
          <w:tcPr>
            <w:tcW w:w="9286" w:type="dxa"/>
            <w:gridSpan w:val="4"/>
            <w:vAlign w:val="center"/>
          </w:tcPr>
          <w:p>
            <w:pPr>
              <w:widowControl/>
              <w:jc w:val="center"/>
              <w:rPr>
                <w:rFonts w:ascii="Times New Roman" w:hAnsi="Times New Roman" w:eastAsia="仿宋" w:cs="宋体"/>
                <w:b/>
                <w:bCs/>
                <w:kern w:val="0"/>
                <w:sz w:val="32"/>
                <w:szCs w:val="32"/>
              </w:rPr>
            </w:pPr>
            <w:bookmarkStart w:id="21" w:name="RANGE!B2:E22"/>
            <w:r>
              <w:rPr>
                <w:rFonts w:hint="eastAsia" w:ascii="Times New Roman" w:hAnsi="Times New Roman" w:eastAsia="仿宋" w:cs="宋体"/>
                <w:b/>
                <w:bCs/>
                <w:kern w:val="0"/>
                <w:sz w:val="40"/>
                <w:szCs w:val="40"/>
              </w:rPr>
              <w:t>村民住宅房屋认定表</w:t>
            </w:r>
            <w:bookmarkEnd w:id="21"/>
            <w:r>
              <w:rPr>
                <w:rFonts w:hint="eastAsia" w:ascii="Times New Roman" w:hAnsi="Times New Roman" w:eastAsia="仿宋" w:cs="宋体"/>
                <w:b/>
                <w:bCs/>
                <w:kern w:val="0"/>
                <w:sz w:val="40"/>
                <w:szCs w:val="40"/>
              </w:rPr>
              <w:t>（一）</w:t>
            </w:r>
          </w:p>
        </w:tc>
      </w:tr>
      <w:tr>
        <w:tblPrEx>
          <w:tblCellMar>
            <w:top w:w="0" w:type="dxa"/>
            <w:left w:w="108" w:type="dxa"/>
            <w:bottom w:w="0" w:type="dxa"/>
            <w:right w:w="108" w:type="dxa"/>
          </w:tblCellMar>
        </w:tblPrEx>
        <w:trPr>
          <w:trHeight w:val="282" w:hRule="atLeast"/>
        </w:trPr>
        <w:tc>
          <w:tcPr>
            <w:tcW w:w="9286" w:type="dxa"/>
            <w:gridSpan w:val="4"/>
            <w:vAlign w:val="center"/>
          </w:tcPr>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（此表适用于征收土地预公告发布前户籍在被征收土地所在的村或</w:t>
            </w:r>
          </w:p>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村小组、具有宅基地资格权的集体经济组织成员的合法住宅）</w:t>
            </w:r>
          </w:p>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（示范文本）</w:t>
            </w:r>
          </w:p>
        </w:tc>
      </w:tr>
      <w:tr>
        <w:tblPrEx>
          <w:tblCellMar>
            <w:top w:w="0" w:type="dxa"/>
            <w:left w:w="108" w:type="dxa"/>
            <w:bottom w:w="0" w:type="dxa"/>
            <w:right w:w="108" w:type="dxa"/>
          </w:tblCellMar>
        </w:tblPrEx>
        <w:trPr>
          <w:trHeight w:val="599" w:hRule="atLeast"/>
        </w:trPr>
        <w:tc>
          <w:tcPr>
            <w:tcW w:w="2184"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征地项目名称</w:t>
            </w:r>
          </w:p>
        </w:tc>
        <w:tc>
          <w:tcPr>
            <w:tcW w:w="2039"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p>
        </w:tc>
        <w:tc>
          <w:tcPr>
            <w:tcW w:w="2602"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认定编号</w:t>
            </w:r>
          </w:p>
        </w:tc>
        <w:tc>
          <w:tcPr>
            <w:tcW w:w="2461"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p>
        </w:tc>
      </w:tr>
      <w:tr>
        <w:tblPrEx>
          <w:tblCellMar>
            <w:top w:w="0" w:type="dxa"/>
            <w:left w:w="108" w:type="dxa"/>
            <w:bottom w:w="0" w:type="dxa"/>
            <w:right w:w="108" w:type="dxa"/>
          </w:tblCellMar>
        </w:tblPrEx>
        <w:trPr>
          <w:trHeight w:val="624"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权属人</w:t>
            </w:r>
          </w:p>
        </w:tc>
        <w:tc>
          <w:tcPr>
            <w:tcW w:w="2039"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602"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身份证号码</w:t>
            </w:r>
          </w:p>
        </w:tc>
        <w:tc>
          <w:tcPr>
            <w:tcW w:w="2461"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户口所在地</w:t>
            </w:r>
          </w:p>
        </w:tc>
        <w:tc>
          <w:tcPr>
            <w:tcW w:w="7102"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房屋坐落</w:t>
            </w:r>
          </w:p>
        </w:tc>
        <w:tc>
          <w:tcPr>
            <w:tcW w:w="7102"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土地使用权证编号</w:t>
            </w:r>
          </w:p>
        </w:tc>
        <w:tc>
          <w:tcPr>
            <w:tcW w:w="2039"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602"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房屋所有权证（不动产权证）编号</w:t>
            </w:r>
          </w:p>
        </w:tc>
        <w:tc>
          <w:tcPr>
            <w:tcW w:w="2461"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rPr>
          <w:trHeight w:val="624"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房屋结构/层数</w:t>
            </w:r>
          </w:p>
        </w:tc>
        <w:tc>
          <w:tcPr>
            <w:tcW w:w="2039"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□框架/   层</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□混合/   层</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□砖木/   层</w:t>
            </w:r>
          </w:p>
        </w:tc>
        <w:tc>
          <w:tcPr>
            <w:tcW w:w="2602"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建房时间</w:t>
            </w:r>
          </w:p>
        </w:tc>
        <w:tc>
          <w:tcPr>
            <w:tcW w:w="2461"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宅基地面积</w:t>
            </w:r>
          </w:p>
        </w:tc>
        <w:tc>
          <w:tcPr>
            <w:tcW w:w="203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c>
          <w:tcPr>
            <w:tcW w:w="2602"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认定应补偿宅基地面积</w:t>
            </w:r>
          </w:p>
        </w:tc>
        <w:tc>
          <w:tcPr>
            <w:tcW w:w="246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r>
      <w:tr>
        <w:tblPrEx>
          <w:tblCellMar>
            <w:top w:w="0" w:type="dxa"/>
            <w:left w:w="108" w:type="dxa"/>
            <w:bottom w:w="0" w:type="dxa"/>
            <w:right w:w="108" w:type="dxa"/>
          </w:tblCellMar>
        </w:tblPrEx>
        <w:trPr>
          <w:trHeight w:val="624"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总建筑面积</w:t>
            </w:r>
          </w:p>
        </w:tc>
        <w:tc>
          <w:tcPr>
            <w:tcW w:w="203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c>
          <w:tcPr>
            <w:tcW w:w="2602"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认定应补偿建筑面积</w:t>
            </w:r>
          </w:p>
        </w:tc>
        <w:tc>
          <w:tcPr>
            <w:tcW w:w="246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r>
      <w:tr>
        <w:tblPrEx>
          <w:tblCellMar>
            <w:top w:w="0" w:type="dxa"/>
            <w:left w:w="108" w:type="dxa"/>
            <w:bottom w:w="0" w:type="dxa"/>
            <w:right w:w="108" w:type="dxa"/>
          </w:tblCellMar>
        </w:tblPrEx>
        <w:trPr>
          <w:trHeight w:val="340"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村民住宅权属人声明</w:t>
            </w:r>
          </w:p>
        </w:tc>
        <w:tc>
          <w:tcPr>
            <w:tcW w:w="7102" w:type="dxa"/>
            <w:gridSpan w:val="3"/>
            <w:tcBorders>
              <w:top w:val="single" w:color="auto" w:sz="4" w:space="0"/>
              <w:left w:val="nil"/>
              <w:bottom w:val="single" w:color="auto" w:sz="4" w:space="0"/>
              <w:right w:val="single" w:color="auto" w:sz="4" w:space="0"/>
            </w:tcBorders>
            <w:vAlign w:val="center"/>
          </w:tcPr>
          <w:p>
            <w:pPr>
              <w:widowControl/>
              <w:ind w:firstLine="480" w:firstLineChars="200"/>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被征收房屋的占地系本人的宅基地，本人取得的宅基地符合《惠州市农村宅基地“一户一宅”指导意见》的规定，本人在此之前未享受过宅基地补偿，若本人存在虚假承诺的情形，自愿承担相应法律责任。</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承诺人（签名、手印）：                     年   月   日</w:t>
            </w:r>
          </w:p>
        </w:tc>
      </w:tr>
      <w:tr>
        <w:tblPrEx>
          <w:tblCellMar>
            <w:top w:w="0" w:type="dxa"/>
            <w:left w:w="108" w:type="dxa"/>
            <w:bottom w:w="0" w:type="dxa"/>
            <w:right w:w="108" w:type="dxa"/>
          </w:tblCellMar>
        </w:tblPrEx>
        <w:trPr>
          <w:trHeight w:val="340"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村小组、村委会审核意见</w:t>
            </w:r>
          </w:p>
        </w:tc>
        <w:tc>
          <w:tcPr>
            <w:tcW w:w="7102"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村民住宅权属人属本村村民，该房屋的占地属于宅基地，该户村民取得的宅基地符合《惠州市农村宅基地“一户一宅”指导意见》的规定，并经村民小组会议审议通过，在村、村民小组范围内张贴公示7日无异议，同意报上级部门给予认定。</w:t>
            </w:r>
            <w:r>
              <w:rPr>
                <w:rFonts w:hint="eastAsia" w:ascii="Times New Roman" w:hAnsi="Times New Roman" w:eastAsia="仿宋" w:cs="宋体"/>
                <w:kern w:val="0"/>
                <w:sz w:val="24"/>
                <w:szCs w:val="24"/>
              </w:rPr>
              <w:br w:type="page"/>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村小组负责人签名：             村委会负责人签名：</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（盖章）</w:t>
            </w:r>
            <w:r>
              <w:rPr>
                <w:rFonts w:hint="eastAsia" w:ascii="Times New Roman" w:hAnsi="Times New Roman" w:eastAsia="仿宋" w:cs="宋体"/>
                <w:kern w:val="0"/>
                <w:sz w:val="24"/>
                <w:szCs w:val="24"/>
              </w:rPr>
              <w:br w:type="page"/>
            </w:r>
            <w:r>
              <w:rPr>
                <w:rFonts w:hint="eastAsia" w:ascii="Times New Roman" w:hAnsi="Times New Roman" w:eastAsia="仿宋" w:cs="宋体"/>
                <w:kern w:val="0"/>
                <w:sz w:val="24"/>
                <w:szCs w:val="24"/>
              </w:rPr>
              <w:t xml:space="preserve">                       （盖章） </w:t>
            </w:r>
          </w:p>
          <w:p>
            <w:pPr>
              <w:widowControl/>
              <w:ind w:firstLine="1200" w:firstLineChars="500"/>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年   月   日                   年   月   日  </w:t>
            </w:r>
          </w:p>
        </w:tc>
      </w:tr>
      <w:tr>
        <w:tblPrEx>
          <w:tblCellMar>
            <w:top w:w="0" w:type="dxa"/>
            <w:left w:w="108" w:type="dxa"/>
            <w:bottom w:w="0" w:type="dxa"/>
            <w:right w:w="108" w:type="dxa"/>
          </w:tblCellMar>
        </w:tblPrEx>
        <w:trPr>
          <w:trHeight w:val="340"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农业农村部门审核意见</w:t>
            </w:r>
          </w:p>
        </w:tc>
        <w:tc>
          <w:tcPr>
            <w:tcW w:w="7102"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经调查，该户村民住宅权属人是xxx农村集体经济组织成员，具备宅基地资格权，该房屋符合《惠州市农村宅基地“一户一宅”指导意见》的规定。</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p>
            <w:pPr>
              <w:widowControl/>
              <w:jc w:val="left"/>
              <w:rPr>
                <w:rFonts w:ascii="Times New Roman" w:hAnsi="Times New Roman" w:eastAsia="仿宋" w:cs="宋体"/>
                <w:kern w:val="0"/>
                <w:sz w:val="24"/>
                <w:szCs w:val="24"/>
              </w:rPr>
            </w:pPr>
          </w:p>
        </w:tc>
      </w:tr>
      <w:tr>
        <w:tblPrEx>
          <w:tblCellMar>
            <w:top w:w="0" w:type="dxa"/>
            <w:left w:w="108" w:type="dxa"/>
            <w:bottom w:w="0" w:type="dxa"/>
            <w:right w:w="108" w:type="dxa"/>
          </w:tblCellMar>
        </w:tblPrEx>
        <w:trPr>
          <w:trHeight w:val="340"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自然资源所审核意见</w:t>
            </w:r>
          </w:p>
        </w:tc>
        <w:tc>
          <w:tcPr>
            <w:tcW w:w="7102"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经调查，该房屋占用的土地属于集体土地，不在违法用地图斑范围，且村民住宅权属人未享受过宅基地补偿（包括重新安排宅基地建房、货币补偿或房屋置换）。</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城乡管理综合执法部门审核意见</w:t>
            </w:r>
          </w:p>
        </w:tc>
        <w:tc>
          <w:tcPr>
            <w:tcW w:w="7102"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经调查，该房屋无查违记录。</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ascii="Times New Roman" w:hAnsi="Times New Roman" w:eastAsia="仿宋" w:cs="Times New Roman"/>
                <w:sz w:val="24"/>
                <w:szCs w:val="24"/>
                <w:shd w:val="clear" w:color="auto" w:fill="FFFFFF"/>
              </w:rPr>
              <w:t>乡村建设</w:t>
            </w:r>
            <w:r>
              <w:rPr>
                <w:rFonts w:hint="eastAsia" w:ascii="Times New Roman" w:hAnsi="Times New Roman" w:eastAsia="仿宋" w:cs="宋体"/>
                <w:kern w:val="0"/>
                <w:sz w:val="24"/>
                <w:szCs w:val="24"/>
              </w:rPr>
              <w:t>部门审核意见</w:t>
            </w:r>
          </w:p>
        </w:tc>
        <w:tc>
          <w:tcPr>
            <w:tcW w:w="7102"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经调查，该房屋是符合居住使用条件的永久性房屋。</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18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人民政府（街道办事处）认定意见</w:t>
            </w:r>
          </w:p>
        </w:tc>
        <w:tc>
          <w:tcPr>
            <w:tcW w:w="7102"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根据上述部门意见，经调查，情况属实，同意按《惠州市集体土地征收与补偿办法》（惠府〔2021〕27号）村民住宅给予认定“一户一宅”。</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br w:type="page"/>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1202" w:hRule="atLeast"/>
        </w:trPr>
        <w:tc>
          <w:tcPr>
            <w:tcW w:w="9286" w:type="dxa"/>
            <w:gridSpan w:val="4"/>
            <w:tcBorders>
              <w:top w:val="single" w:color="auto" w:sz="4" w:space="0"/>
              <w:left w:val="nil"/>
              <w:bottom w:val="nil"/>
              <w:right w:val="nil"/>
            </w:tcBorders>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说明：1.应提交户口本、身份证、权属证明材料等；</w:t>
            </w:r>
          </w:p>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xml:space="preserve">      2.上述材料不齐全的，应当由权利人提交书面情况说明，村、镇进行调查核实并公示后确定。</w:t>
            </w:r>
          </w:p>
        </w:tc>
      </w:tr>
    </w:tbl>
    <w:p>
      <w:pPr>
        <w:pStyle w:val="31"/>
        <w:widowControl/>
        <w:numPr>
          <w:ilvl w:val="0"/>
          <w:numId w:val="15"/>
        </w:numPr>
        <w:ind w:firstLineChars="0"/>
        <w:jc w:val="left"/>
        <w:rPr>
          <w:rFonts w:ascii="Times New Roman" w:hAnsi="Times New Roman" w:eastAsia="仿宋"/>
          <w:sz w:val="32"/>
          <w:szCs w:val="32"/>
          <w:shd w:val="clear" w:color="auto" w:fill="FFFFFF"/>
        </w:rPr>
        <w:sectPr>
          <w:pgSz w:w="11906" w:h="16838"/>
          <w:pgMar w:top="1701" w:right="1418" w:bottom="1701" w:left="1418" w:header="851" w:footer="992" w:gutter="0"/>
          <w:pgNumType w:fmt="numberInDash"/>
          <w:cols w:space="720" w:num="1"/>
          <w:docGrid w:type="lines" w:linePitch="312" w:charSpace="0"/>
        </w:sectPr>
      </w:pPr>
    </w:p>
    <w:p>
      <w:pPr>
        <w:shd w:val="clear" w:color="auto" w:fill="FFFFFF"/>
        <w:tabs>
          <w:tab w:val="left" w:pos="2127"/>
          <w:tab w:val="left" w:pos="2410"/>
        </w:tabs>
        <w:outlineLvl w:val="0"/>
        <w:rPr>
          <w:rFonts w:ascii="Times New Roman" w:hAnsi="Times New Roman" w:eastAsia="仿宋"/>
          <w:b/>
          <w:bCs/>
          <w:sz w:val="32"/>
          <w:szCs w:val="32"/>
          <w:shd w:val="clear" w:color="auto" w:fill="FFFFFF"/>
        </w:rPr>
      </w:pPr>
      <w:r>
        <w:rPr>
          <w:rFonts w:hint="eastAsia" w:ascii="Times New Roman" w:hAnsi="Times New Roman" w:eastAsia="仿宋"/>
          <w:b/>
          <w:bCs/>
          <w:sz w:val="32"/>
          <w:szCs w:val="32"/>
          <w:shd w:val="clear" w:color="auto" w:fill="FFFFFF"/>
        </w:rPr>
        <w:t>附件</w:t>
      </w:r>
      <w:r>
        <w:rPr>
          <w:rFonts w:ascii="Times New Roman" w:hAnsi="Times New Roman" w:eastAsia="仿宋"/>
          <w:b/>
          <w:bCs/>
          <w:sz w:val="32"/>
          <w:szCs w:val="32"/>
          <w:shd w:val="clear" w:color="auto" w:fill="FFFFFF"/>
        </w:rPr>
        <w:t>2-2</w:t>
      </w:r>
    </w:p>
    <w:tbl>
      <w:tblPr>
        <w:tblStyle w:val="13"/>
        <w:tblW w:w="9285" w:type="dxa"/>
        <w:tblInd w:w="0" w:type="dxa"/>
        <w:tblLayout w:type="fixed"/>
        <w:tblCellMar>
          <w:top w:w="0" w:type="dxa"/>
          <w:left w:w="108" w:type="dxa"/>
          <w:bottom w:w="0" w:type="dxa"/>
          <w:right w:w="108" w:type="dxa"/>
        </w:tblCellMar>
      </w:tblPr>
      <w:tblGrid>
        <w:gridCol w:w="2160"/>
        <w:gridCol w:w="1902"/>
        <w:gridCol w:w="2803"/>
        <w:gridCol w:w="2420"/>
      </w:tblGrid>
      <w:tr>
        <w:tblPrEx>
          <w:tblCellMar>
            <w:top w:w="0" w:type="dxa"/>
            <w:left w:w="108" w:type="dxa"/>
            <w:bottom w:w="0" w:type="dxa"/>
            <w:right w:w="108" w:type="dxa"/>
          </w:tblCellMar>
        </w:tblPrEx>
        <w:trPr>
          <w:trHeight w:val="799" w:hRule="atLeast"/>
        </w:trPr>
        <w:tc>
          <w:tcPr>
            <w:tcW w:w="9285" w:type="dxa"/>
            <w:gridSpan w:val="4"/>
            <w:vAlign w:val="center"/>
          </w:tcPr>
          <w:p>
            <w:pPr>
              <w:widowControl/>
              <w:jc w:val="center"/>
              <w:rPr>
                <w:rFonts w:ascii="Times New Roman" w:hAnsi="Times New Roman" w:eastAsia="仿宋" w:cs="宋体"/>
                <w:b/>
                <w:bCs/>
                <w:kern w:val="0"/>
                <w:sz w:val="32"/>
                <w:szCs w:val="32"/>
              </w:rPr>
            </w:pPr>
            <w:r>
              <w:rPr>
                <w:rFonts w:hint="eastAsia" w:ascii="Times New Roman" w:hAnsi="Times New Roman" w:eastAsia="仿宋" w:cs="宋体"/>
                <w:b/>
                <w:bCs/>
                <w:kern w:val="0"/>
                <w:sz w:val="40"/>
                <w:szCs w:val="40"/>
              </w:rPr>
              <w:t>村民住宅房屋认定表（二）</w:t>
            </w:r>
          </w:p>
        </w:tc>
      </w:tr>
      <w:tr>
        <w:tblPrEx>
          <w:tblCellMar>
            <w:top w:w="0" w:type="dxa"/>
            <w:left w:w="108" w:type="dxa"/>
            <w:bottom w:w="0" w:type="dxa"/>
            <w:right w:w="108" w:type="dxa"/>
          </w:tblCellMar>
        </w:tblPrEx>
        <w:trPr>
          <w:trHeight w:val="282" w:hRule="atLeast"/>
        </w:trPr>
        <w:tc>
          <w:tcPr>
            <w:tcW w:w="9285" w:type="dxa"/>
            <w:gridSpan w:val="4"/>
            <w:vAlign w:val="center"/>
          </w:tcPr>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（此表适用于村民或非村民合法继承的位于被征收土地所在的村或</w:t>
            </w:r>
          </w:p>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村小组的祖屋）</w:t>
            </w:r>
          </w:p>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（示范文本）</w:t>
            </w:r>
          </w:p>
        </w:tc>
      </w:tr>
      <w:tr>
        <w:tblPrEx>
          <w:tblCellMar>
            <w:top w:w="0" w:type="dxa"/>
            <w:left w:w="108" w:type="dxa"/>
            <w:bottom w:w="0" w:type="dxa"/>
            <w:right w:w="108" w:type="dxa"/>
          </w:tblCellMar>
        </w:tblPrEx>
        <w:trPr>
          <w:trHeight w:val="599" w:hRule="atLeast"/>
        </w:trPr>
        <w:tc>
          <w:tcPr>
            <w:tcW w:w="2160"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征地项目名称</w:t>
            </w:r>
          </w:p>
        </w:tc>
        <w:tc>
          <w:tcPr>
            <w:tcW w:w="1902"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p>
        </w:tc>
        <w:tc>
          <w:tcPr>
            <w:tcW w:w="2803"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认定编号</w:t>
            </w:r>
          </w:p>
        </w:tc>
        <w:tc>
          <w:tcPr>
            <w:tcW w:w="2420"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p>
        </w:tc>
      </w:tr>
      <w:tr>
        <w:tblPrEx>
          <w:tblCellMar>
            <w:top w:w="0" w:type="dxa"/>
            <w:left w:w="108" w:type="dxa"/>
            <w:bottom w:w="0" w:type="dxa"/>
            <w:right w:w="108" w:type="dxa"/>
          </w:tblCellMar>
        </w:tblPrEx>
        <w:trPr>
          <w:trHeight w:val="624"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权属人</w:t>
            </w:r>
          </w:p>
        </w:tc>
        <w:tc>
          <w:tcPr>
            <w:tcW w:w="1902"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80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身份证号码</w:t>
            </w:r>
          </w:p>
        </w:tc>
        <w:tc>
          <w:tcPr>
            <w:tcW w:w="2420"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户口所在地</w:t>
            </w:r>
          </w:p>
        </w:tc>
        <w:tc>
          <w:tcPr>
            <w:tcW w:w="7125"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房屋坐落</w:t>
            </w:r>
          </w:p>
        </w:tc>
        <w:tc>
          <w:tcPr>
            <w:tcW w:w="7125"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土地使用权证编号</w:t>
            </w:r>
          </w:p>
        </w:tc>
        <w:tc>
          <w:tcPr>
            <w:tcW w:w="1902"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80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房屋所有权证（不动产权证）编号</w:t>
            </w:r>
          </w:p>
        </w:tc>
        <w:tc>
          <w:tcPr>
            <w:tcW w:w="2420"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rPr>
          <w:trHeight w:val="624"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房屋结构/层数</w:t>
            </w:r>
          </w:p>
        </w:tc>
        <w:tc>
          <w:tcPr>
            <w:tcW w:w="1902"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□框架/   层</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□混合/   层</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□砖木/   层</w:t>
            </w:r>
          </w:p>
        </w:tc>
        <w:tc>
          <w:tcPr>
            <w:tcW w:w="280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建房时间</w:t>
            </w:r>
          </w:p>
        </w:tc>
        <w:tc>
          <w:tcPr>
            <w:tcW w:w="2420"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宅基地面积</w:t>
            </w:r>
          </w:p>
        </w:tc>
        <w:tc>
          <w:tcPr>
            <w:tcW w:w="190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c>
          <w:tcPr>
            <w:tcW w:w="280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认定应补偿宅基地面积</w:t>
            </w:r>
          </w:p>
        </w:tc>
        <w:tc>
          <w:tcPr>
            <w:tcW w:w="242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r>
      <w:tr>
        <w:tblPrEx>
          <w:tblCellMar>
            <w:top w:w="0" w:type="dxa"/>
            <w:left w:w="108" w:type="dxa"/>
            <w:bottom w:w="0" w:type="dxa"/>
            <w:right w:w="108" w:type="dxa"/>
          </w:tblCellMar>
        </w:tblPrEx>
        <w:trPr>
          <w:trHeight w:val="624"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总建筑面积</w:t>
            </w:r>
          </w:p>
        </w:tc>
        <w:tc>
          <w:tcPr>
            <w:tcW w:w="190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c>
          <w:tcPr>
            <w:tcW w:w="280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认定应补偿建筑面积</w:t>
            </w:r>
          </w:p>
        </w:tc>
        <w:tc>
          <w:tcPr>
            <w:tcW w:w="242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r>
      <w:tr>
        <w:tblPrEx>
          <w:tblCellMar>
            <w:top w:w="0" w:type="dxa"/>
            <w:left w:w="108" w:type="dxa"/>
            <w:bottom w:w="0" w:type="dxa"/>
            <w:right w:w="108" w:type="dxa"/>
          </w:tblCellMar>
        </w:tblPrEx>
        <w:trPr>
          <w:trHeight w:val="340"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村民住宅权属人声明</w:t>
            </w:r>
          </w:p>
        </w:tc>
        <w:tc>
          <w:tcPr>
            <w:tcW w:w="7125"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被征收房屋系本人合法继承的祖屋，被继承人系本人的***（关系），被继承人取得宅基地时符合农村宅基地安排的规定，若本人存在虚假承诺的情形，自愿承担相应法律责任。</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承诺人（签名、手印）：                     年   月   日</w:t>
            </w:r>
          </w:p>
        </w:tc>
      </w:tr>
      <w:tr>
        <w:tblPrEx>
          <w:tblCellMar>
            <w:top w:w="0" w:type="dxa"/>
            <w:left w:w="108" w:type="dxa"/>
            <w:bottom w:w="0" w:type="dxa"/>
            <w:right w:w="108" w:type="dxa"/>
          </w:tblCellMar>
        </w:tblPrEx>
        <w:trPr>
          <w:trHeight w:val="340"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村小组、村委会审核意见</w:t>
            </w:r>
          </w:p>
        </w:tc>
        <w:tc>
          <w:tcPr>
            <w:tcW w:w="7125" w:type="dxa"/>
            <w:gridSpan w:val="3"/>
            <w:tcBorders>
              <w:top w:val="single" w:color="auto" w:sz="4" w:space="0"/>
              <w:left w:val="nil"/>
              <w:bottom w:val="single" w:color="auto" w:sz="4" w:space="0"/>
              <w:right w:val="single" w:color="auto" w:sz="4" w:space="0"/>
            </w:tcBorders>
            <w:vAlign w:val="center"/>
          </w:tcPr>
          <w:p>
            <w:pPr>
              <w:widowControl/>
              <w:ind w:firstLine="480" w:firstLineChars="200"/>
              <w:rPr>
                <w:rFonts w:ascii="Times New Roman" w:hAnsi="Times New Roman" w:eastAsia="仿宋" w:cs="宋体"/>
                <w:kern w:val="0"/>
                <w:sz w:val="24"/>
                <w:szCs w:val="24"/>
              </w:rPr>
            </w:pPr>
            <w:r>
              <w:rPr>
                <w:rFonts w:hint="eastAsia" w:ascii="Times New Roman" w:hAnsi="Times New Roman" w:eastAsia="仿宋" w:cs="宋体"/>
                <w:kern w:val="0"/>
                <w:sz w:val="24"/>
                <w:szCs w:val="24"/>
              </w:rPr>
              <w:t>经调查，被征收房屋系村民住宅权属人合法继承的祖屋，被继承人取得的宅基地时符合农村宅基地安排的规定，并经村民小组会议审议通过，在村、村民小组范围内张贴公示7日无异议。</w:t>
            </w:r>
            <w:r>
              <w:rPr>
                <w:rFonts w:hint="eastAsia" w:ascii="Times New Roman" w:hAnsi="Times New Roman" w:eastAsia="仿宋" w:cs="宋体"/>
                <w:kern w:val="0"/>
                <w:sz w:val="24"/>
                <w:szCs w:val="24"/>
              </w:rPr>
              <w:br w:type="page"/>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村小组负责人签名：             村委会负责人签名：</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（盖章）</w:t>
            </w:r>
            <w:r>
              <w:rPr>
                <w:rFonts w:hint="eastAsia" w:ascii="Times New Roman" w:hAnsi="Times New Roman" w:eastAsia="仿宋" w:cs="宋体"/>
                <w:kern w:val="0"/>
                <w:sz w:val="24"/>
                <w:szCs w:val="24"/>
              </w:rPr>
              <w:br w:type="page"/>
            </w:r>
            <w:r>
              <w:rPr>
                <w:rFonts w:hint="eastAsia" w:ascii="Times New Roman" w:hAnsi="Times New Roman" w:eastAsia="仿宋" w:cs="宋体"/>
                <w:kern w:val="0"/>
                <w:sz w:val="24"/>
                <w:szCs w:val="24"/>
              </w:rPr>
              <w:t xml:space="preserve">                       （盖章） </w:t>
            </w:r>
          </w:p>
          <w:p>
            <w:pPr>
              <w:widowControl/>
              <w:jc w:val="left"/>
              <w:rPr>
                <w:rFonts w:ascii="Times New Roman" w:hAnsi="Times New Roman" w:eastAsia="仿宋" w:cs="宋体"/>
                <w:kern w:val="0"/>
                <w:sz w:val="24"/>
                <w:szCs w:val="24"/>
              </w:rPr>
            </w:pPr>
          </w:p>
          <w:p>
            <w:pPr>
              <w:widowControl/>
              <w:jc w:val="right"/>
              <w:rPr>
                <w:rFonts w:ascii="Times New Roman" w:hAnsi="Times New Roman" w:eastAsia="仿宋" w:cs="宋体"/>
                <w:kern w:val="0"/>
                <w:sz w:val="24"/>
                <w:szCs w:val="24"/>
              </w:rPr>
            </w:pPr>
            <w:r>
              <w:rPr>
                <w:rFonts w:hint="eastAsia" w:ascii="Times New Roman" w:hAnsi="Times New Roman" w:eastAsia="仿宋" w:cs="宋体"/>
                <w:kern w:val="0"/>
                <w:sz w:val="24"/>
                <w:szCs w:val="24"/>
              </w:rPr>
              <w:t>年   月   日                          年   月   日</w:t>
            </w:r>
          </w:p>
        </w:tc>
      </w:tr>
      <w:tr>
        <w:tblPrEx>
          <w:tblCellMar>
            <w:top w:w="0" w:type="dxa"/>
            <w:left w:w="108" w:type="dxa"/>
            <w:bottom w:w="0" w:type="dxa"/>
            <w:right w:w="108" w:type="dxa"/>
          </w:tblCellMar>
        </w:tblPrEx>
        <w:trPr>
          <w:trHeight w:val="340"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农业农村部门审核意见</w:t>
            </w:r>
          </w:p>
        </w:tc>
        <w:tc>
          <w:tcPr>
            <w:tcW w:w="7125"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经调查，被继承人取得的宅基地时符合农村宅基地安排的规定。</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p>
            <w:pPr>
              <w:widowControl/>
              <w:jc w:val="left"/>
              <w:rPr>
                <w:rFonts w:ascii="Times New Roman" w:hAnsi="Times New Roman" w:eastAsia="仿宋" w:cs="宋体"/>
                <w:kern w:val="0"/>
                <w:sz w:val="24"/>
                <w:szCs w:val="24"/>
              </w:rPr>
            </w:pPr>
          </w:p>
        </w:tc>
      </w:tr>
      <w:tr>
        <w:tblPrEx>
          <w:tblCellMar>
            <w:top w:w="0" w:type="dxa"/>
            <w:left w:w="108" w:type="dxa"/>
            <w:bottom w:w="0" w:type="dxa"/>
            <w:right w:w="108" w:type="dxa"/>
          </w:tblCellMar>
        </w:tblPrEx>
        <w:trPr>
          <w:trHeight w:val="340"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自然资源所审核意见</w:t>
            </w:r>
          </w:p>
        </w:tc>
        <w:tc>
          <w:tcPr>
            <w:tcW w:w="7125"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经调查，房屋占用的土地属于集体土地，不在违法用地图斑范围，且被继承人未享受过宅基地补偿（包括重新安排宅基地建房、货币补偿或房屋置换）。</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p>
            <w:pPr>
              <w:widowControl/>
              <w:jc w:val="left"/>
              <w:rPr>
                <w:rFonts w:ascii="Times New Roman" w:hAnsi="Times New Roman" w:eastAsia="仿宋" w:cs="宋体"/>
                <w:kern w:val="0"/>
                <w:sz w:val="24"/>
                <w:szCs w:val="24"/>
              </w:rPr>
            </w:pPr>
          </w:p>
        </w:tc>
      </w:tr>
      <w:tr>
        <w:tblPrEx>
          <w:tblCellMar>
            <w:top w:w="0" w:type="dxa"/>
            <w:left w:w="108" w:type="dxa"/>
            <w:bottom w:w="0" w:type="dxa"/>
            <w:right w:w="108" w:type="dxa"/>
          </w:tblCellMar>
        </w:tblPrEx>
        <w:trPr>
          <w:trHeight w:val="340"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城乡管理综合执法部门审核意见</w:t>
            </w:r>
          </w:p>
        </w:tc>
        <w:tc>
          <w:tcPr>
            <w:tcW w:w="7125"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经调查，该房屋无查违记录。</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ascii="Times New Roman" w:hAnsi="Times New Roman" w:eastAsia="仿宋" w:cs="Times New Roman"/>
                <w:sz w:val="24"/>
                <w:szCs w:val="24"/>
                <w:shd w:val="clear" w:color="auto" w:fill="FFFFFF"/>
              </w:rPr>
              <w:t>乡村建设</w:t>
            </w:r>
            <w:r>
              <w:rPr>
                <w:rFonts w:hint="eastAsia" w:ascii="Times New Roman" w:hAnsi="Times New Roman" w:eastAsia="仿宋" w:cs="宋体"/>
                <w:kern w:val="0"/>
                <w:sz w:val="24"/>
                <w:szCs w:val="24"/>
              </w:rPr>
              <w:t>部门审核意见</w:t>
            </w:r>
          </w:p>
        </w:tc>
        <w:tc>
          <w:tcPr>
            <w:tcW w:w="7125"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经调查，该房屋是符合居住使用条件的永久性房屋。</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160"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人民政府（街道办事处）认定意见</w:t>
            </w:r>
          </w:p>
        </w:tc>
        <w:tc>
          <w:tcPr>
            <w:tcW w:w="7125"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根据上述部门意见，经调查，情况属实，同意按《惠州市集体土地征收与补偿办法》（惠府〔2021〕27号）村民住宅给予认定“一户一宅”。</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br w:type="page"/>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1202" w:hRule="atLeast"/>
        </w:trPr>
        <w:tc>
          <w:tcPr>
            <w:tcW w:w="9285" w:type="dxa"/>
            <w:gridSpan w:val="4"/>
            <w:tcBorders>
              <w:top w:val="single" w:color="auto" w:sz="4" w:space="0"/>
              <w:left w:val="nil"/>
              <w:bottom w:val="nil"/>
              <w:right w:val="nil"/>
            </w:tcBorders>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说明：应提交祖屋情况说明、合法继承材料、遗产分配协议以及权属证明材料等；</w:t>
            </w:r>
          </w:p>
          <w:p>
            <w:pPr>
              <w:widowControl/>
              <w:jc w:val="left"/>
              <w:rPr>
                <w:rFonts w:ascii="Times New Roman" w:hAnsi="Times New Roman" w:eastAsia="仿宋" w:cs="宋体"/>
                <w:kern w:val="0"/>
                <w:sz w:val="22"/>
              </w:rPr>
            </w:pPr>
          </w:p>
          <w:p>
            <w:pPr>
              <w:widowControl/>
              <w:jc w:val="left"/>
              <w:rPr>
                <w:rFonts w:ascii="Times New Roman" w:hAnsi="Times New Roman" w:eastAsia="仿宋" w:cs="宋体"/>
                <w:kern w:val="0"/>
                <w:sz w:val="22"/>
              </w:rPr>
            </w:pPr>
          </w:p>
          <w:p>
            <w:pPr>
              <w:widowControl/>
              <w:jc w:val="left"/>
              <w:rPr>
                <w:rFonts w:ascii="Times New Roman" w:hAnsi="Times New Roman" w:eastAsia="仿宋" w:cs="宋体"/>
                <w:kern w:val="0"/>
                <w:sz w:val="22"/>
              </w:rPr>
            </w:pPr>
          </w:p>
          <w:p>
            <w:pPr>
              <w:widowControl/>
              <w:jc w:val="left"/>
              <w:rPr>
                <w:rFonts w:ascii="Times New Roman" w:hAnsi="Times New Roman" w:eastAsia="仿宋" w:cs="宋体"/>
                <w:kern w:val="0"/>
                <w:sz w:val="22"/>
              </w:rPr>
            </w:pPr>
          </w:p>
        </w:tc>
      </w:tr>
    </w:tbl>
    <w:p>
      <w:pPr>
        <w:shd w:val="clear" w:color="auto" w:fill="FFFFFF"/>
        <w:tabs>
          <w:tab w:val="left" w:pos="2127"/>
          <w:tab w:val="left" w:pos="2410"/>
        </w:tabs>
        <w:outlineLvl w:val="0"/>
        <w:rPr>
          <w:rFonts w:ascii="Times New Roman" w:hAnsi="Times New Roman" w:eastAsia="仿宋"/>
          <w:b/>
          <w:bCs/>
          <w:sz w:val="32"/>
          <w:szCs w:val="32"/>
          <w:shd w:val="clear" w:color="auto" w:fill="FFFFFF"/>
        </w:rPr>
      </w:pPr>
      <w:r>
        <w:rPr>
          <w:rFonts w:hint="eastAsia" w:ascii="Times New Roman" w:hAnsi="Times New Roman" w:eastAsia="仿宋"/>
          <w:b/>
          <w:bCs/>
          <w:sz w:val="32"/>
          <w:szCs w:val="32"/>
          <w:shd w:val="clear" w:color="auto" w:fill="FFFFFF"/>
        </w:rPr>
        <w:t>附件</w:t>
      </w:r>
      <w:r>
        <w:rPr>
          <w:rFonts w:ascii="Times New Roman" w:hAnsi="Times New Roman" w:eastAsia="仿宋"/>
          <w:b/>
          <w:bCs/>
          <w:sz w:val="32"/>
          <w:szCs w:val="32"/>
          <w:shd w:val="clear" w:color="auto" w:fill="FFFFFF"/>
        </w:rPr>
        <w:t>2-3</w:t>
      </w:r>
    </w:p>
    <w:tbl>
      <w:tblPr>
        <w:tblStyle w:val="13"/>
        <w:tblW w:w="9285" w:type="dxa"/>
        <w:tblInd w:w="0" w:type="dxa"/>
        <w:tblLayout w:type="fixed"/>
        <w:tblCellMar>
          <w:top w:w="0" w:type="dxa"/>
          <w:left w:w="108" w:type="dxa"/>
          <w:bottom w:w="0" w:type="dxa"/>
          <w:right w:w="108" w:type="dxa"/>
        </w:tblCellMar>
      </w:tblPr>
      <w:tblGrid>
        <w:gridCol w:w="2135"/>
        <w:gridCol w:w="2070"/>
        <w:gridCol w:w="2617"/>
        <w:gridCol w:w="2463"/>
      </w:tblGrid>
      <w:tr>
        <w:tblPrEx>
          <w:tblCellMar>
            <w:top w:w="0" w:type="dxa"/>
            <w:left w:w="108" w:type="dxa"/>
            <w:bottom w:w="0" w:type="dxa"/>
            <w:right w:w="108" w:type="dxa"/>
          </w:tblCellMar>
        </w:tblPrEx>
        <w:trPr>
          <w:trHeight w:val="799" w:hRule="atLeast"/>
        </w:trPr>
        <w:tc>
          <w:tcPr>
            <w:tcW w:w="9285" w:type="dxa"/>
            <w:gridSpan w:val="4"/>
            <w:vAlign w:val="center"/>
          </w:tcPr>
          <w:p>
            <w:pPr>
              <w:widowControl/>
              <w:jc w:val="center"/>
              <w:rPr>
                <w:rFonts w:ascii="Times New Roman" w:hAnsi="Times New Roman" w:eastAsia="仿宋" w:cs="宋体"/>
                <w:b/>
                <w:bCs/>
                <w:kern w:val="0"/>
                <w:sz w:val="32"/>
                <w:szCs w:val="32"/>
              </w:rPr>
            </w:pPr>
            <w:r>
              <w:rPr>
                <w:rFonts w:hint="eastAsia" w:ascii="Times New Roman" w:hAnsi="Times New Roman" w:eastAsia="仿宋" w:cs="宋体"/>
                <w:b/>
                <w:bCs/>
                <w:kern w:val="0"/>
                <w:sz w:val="40"/>
                <w:szCs w:val="40"/>
              </w:rPr>
              <w:t>村民住宅房屋认定表（三）</w:t>
            </w:r>
          </w:p>
        </w:tc>
      </w:tr>
      <w:tr>
        <w:tblPrEx>
          <w:tblCellMar>
            <w:top w:w="0" w:type="dxa"/>
            <w:left w:w="108" w:type="dxa"/>
            <w:bottom w:w="0" w:type="dxa"/>
            <w:right w:w="108" w:type="dxa"/>
          </w:tblCellMar>
        </w:tblPrEx>
        <w:trPr>
          <w:trHeight w:val="282" w:hRule="atLeast"/>
        </w:trPr>
        <w:tc>
          <w:tcPr>
            <w:tcW w:w="9285" w:type="dxa"/>
            <w:gridSpan w:val="4"/>
            <w:vAlign w:val="center"/>
          </w:tcPr>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（被征收土地所在的村或村小组的原村民，户口迁出本村之前</w:t>
            </w:r>
          </w:p>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建设的合法住宅）</w:t>
            </w:r>
          </w:p>
          <w:p>
            <w:pPr>
              <w:widowControl/>
              <w:spacing w:line="400" w:lineRule="exact"/>
              <w:jc w:val="center"/>
              <w:rPr>
                <w:rFonts w:ascii="Times New Roman" w:hAnsi="Times New Roman" w:eastAsia="仿宋" w:cs="宋体"/>
                <w:b/>
                <w:bCs/>
                <w:kern w:val="0"/>
                <w:sz w:val="24"/>
                <w:szCs w:val="24"/>
              </w:rPr>
            </w:pPr>
            <w:r>
              <w:rPr>
                <w:rFonts w:hint="eastAsia" w:ascii="Times New Roman" w:hAnsi="Times New Roman" w:eastAsia="仿宋" w:cs="宋体"/>
                <w:b/>
                <w:bCs/>
                <w:kern w:val="0"/>
                <w:sz w:val="28"/>
                <w:szCs w:val="28"/>
              </w:rPr>
              <w:t>（示范文本）</w:t>
            </w:r>
          </w:p>
        </w:tc>
      </w:tr>
      <w:tr>
        <w:tblPrEx>
          <w:tblCellMar>
            <w:top w:w="0" w:type="dxa"/>
            <w:left w:w="108" w:type="dxa"/>
            <w:bottom w:w="0" w:type="dxa"/>
            <w:right w:w="108" w:type="dxa"/>
          </w:tblCellMar>
        </w:tblPrEx>
        <w:trPr>
          <w:trHeight w:val="599" w:hRule="atLeast"/>
        </w:trPr>
        <w:tc>
          <w:tcPr>
            <w:tcW w:w="2135"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征地项目名称</w:t>
            </w:r>
          </w:p>
        </w:tc>
        <w:tc>
          <w:tcPr>
            <w:tcW w:w="2070"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p>
        </w:tc>
        <w:tc>
          <w:tcPr>
            <w:tcW w:w="2617"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认定编号</w:t>
            </w:r>
          </w:p>
        </w:tc>
        <w:tc>
          <w:tcPr>
            <w:tcW w:w="2463"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p>
        </w:tc>
      </w:tr>
      <w:tr>
        <w:tblPrEx>
          <w:tblCellMar>
            <w:top w:w="0" w:type="dxa"/>
            <w:left w:w="108" w:type="dxa"/>
            <w:bottom w:w="0" w:type="dxa"/>
            <w:right w:w="108" w:type="dxa"/>
          </w:tblCellMar>
        </w:tblPrEx>
        <w:trPr>
          <w:trHeight w:val="567"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权属人</w:t>
            </w:r>
          </w:p>
        </w:tc>
        <w:tc>
          <w:tcPr>
            <w:tcW w:w="2070"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617"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身份证号码</w:t>
            </w:r>
          </w:p>
        </w:tc>
        <w:tc>
          <w:tcPr>
            <w:tcW w:w="246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567"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户口所在地</w:t>
            </w:r>
          </w:p>
        </w:tc>
        <w:tc>
          <w:tcPr>
            <w:tcW w:w="7150"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567"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房屋坐落</w:t>
            </w:r>
          </w:p>
        </w:tc>
        <w:tc>
          <w:tcPr>
            <w:tcW w:w="7150"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567"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土地使用权证编号</w:t>
            </w:r>
          </w:p>
        </w:tc>
        <w:tc>
          <w:tcPr>
            <w:tcW w:w="2070"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617"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房屋所有权证（不动产权证）编号</w:t>
            </w:r>
          </w:p>
        </w:tc>
        <w:tc>
          <w:tcPr>
            <w:tcW w:w="246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rPr>
          <w:trHeight w:val="567"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房屋结构/层数</w:t>
            </w:r>
          </w:p>
        </w:tc>
        <w:tc>
          <w:tcPr>
            <w:tcW w:w="2070"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□框架/   层</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□混合/   层</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□砖木/   层</w:t>
            </w:r>
          </w:p>
        </w:tc>
        <w:tc>
          <w:tcPr>
            <w:tcW w:w="2617"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建房时间</w:t>
            </w:r>
          </w:p>
        </w:tc>
        <w:tc>
          <w:tcPr>
            <w:tcW w:w="246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567"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宅基地面积</w:t>
            </w:r>
          </w:p>
        </w:tc>
        <w:tc>
          <w:tcPr>
            <w:tcW w:w="207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c>
          <w:tcPr>
            <w:tcW w:w="2617"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认定应补偿宅基地面积</w:t>
            </w:r>
          </w:p>
        </w:tc>
        <w:tc>
          <w:tcPr>
            <w:tcW w:w="2463"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r>
      <w:tr>
        <w:tblPrEx>
          <w:tblCellMar>
            <w:top w:w="0" w:type="dxa"/>
            <w:left w:w="108" w:type="dxa"/>
            <w:bottom w:w="0" w:type="dxa"/>
            <w:right w:w="108" w:type="dxa"/>
          </w:tblCellMar>
        </w:tblPrEx>
        <w:trPr>
          <w:trHeight w:val="567"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总建筑面积</w:t>
            </w:r>
          </w:p>
        </w:tc>
        <w:tc>
          <w:tcPr>
            <w:tcW w:w="207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c>
          <w:tcPr>
            <w:tcW w:w="2617"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认定应补偿建筑面积</w:t>
            </w:r>
          </w:p>
        </w:tc>
        <w:tc>
          <w:tcPr>
            <w:tcW w:w="2463"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r>
      <w:tr>
        <w:tblPrEx>
          <w:tblCellMar>
            <w:top w:w="0" w:type="dxa"/>
            <w:left w:w="108" w:type="dxa"/>
            <w:bottom w:w="0" w:type="dxa"/>
            <w:right w:w="108" w:type="dxa"/>
          </w:tblCellMar>
        </w:tblPrEx>
        <w:trPr>
          <w:trHeight w:val="340"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村民住宅权属人声明</w:t>
            </w:r>
          </w:p>
        </w:tc>
        <w:tc>
          <w:tcPr>
            <w:tcW w:w="7150" w:type="dxa"/>
            <w:gridSpan w:val="3"/>
            <w:tcBorders>
              <w:top w:val="single" w:color="auto" w:sz="4" w:space="0"/>
              <w:left w:val="nil"/>
              <w:bottom w:val="single" w:color="auto" w:sz="4" w:space="0"/>
              <w:right w:val="single" w:color="auto" w:sz="4" w:space="0"/>
            </w:tcBorders>
            <w:vAlign w:val="center"/>
          </w:tcPr>
          <w:p>
            <w:pPr>
              <w:widowControl/>
              <w:ind w:firstLine="480" w:firstLineChars="200"/>
              <w:rPr>
                <w:rFonts w:ascii="Times New Roman" w:hAnsi="Times New Roman" w:eastAsia="仿宋" w:cs="宋体"/>
                <w:kern w:val="0"/>
                <w:sz w:val="24"/>
                <w:szCs w:val="24"/>
              </w:rPr>
            </w:pPr>
            <w:r>
              <w:rPr>
                <w:rFonts w:hint="eastAsia" w:ascii="Times New Roman" w:hAnsi="Times New Roman" w:eastAsia="仿宋" w:cs="宋体"/>
                <w:kern w:val="0"/>
                <w:sz w:val="24"/>
                <w:szCs w:val="24"/>
              </w:rPr>
              <w:t>被征收房屋的占地系本人的宅基地，本人户口于****年迁出，迁出前取得的宅基地符合农村宅基地安排的规定，并于****年建设被征收房屋，本人在此之前未享受过宅基地补偿，若本人存在虚假承诺，自愿承担相应法律责任。</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承诺人（签名、手印）：                     年   月   日</w:t>
            </w:r>
          </w:p>
        </w:tc>
      </w:tr>
      <w:tr>
        <w:tblPrEx>
          <w:tblCellMar>
            <w:top w:w="0" w:type="dxa"/>
            <w:left w:w="108" w:type="dxa"/>
            <w:bottom w:w="0" w:type="dxa"/>
            <w:right w:w="108" w:type="dxa"/>
          </w:tblCellMar>
        </w:tblPrEx>
        <w:trPr>
          <w:trHeight w:val="340"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村小组、村委会审核意见</w:t>
            </w:r>
          </w:p>
        </w:tc>
        <w:tc>
          <w:tcPr>
            <w:tcW w:w="7150" w:type="dxa"/>
            <w:gridSpan w:val="3"/>
            <w:tcBorders>
              <w:top w:val="single" w:color="auto" w:sz="4" w:space="0"/>
              <w:left w:val="nil"/>
              <w:bottom w:val="single" w:color="auto" w:sz="4" w:space="0"/>
              <w:right w:val="single" w:color="auto" w:sz="4" w:space="0"/>
            </w:tcBorders>
            <w:vAlign w:val="center"/>
          </w:tcPr>
          <w:p>
            <w:pPr>
              <w:widowControl/>
              <w:ind w:firstLine="480" w:firstLineChars="200"/>
              <w:rPr>
                <w:rFonts w:ascii="Times New Roman" w:hAnsi="Times New Roman" w:eastAsia="仿宋" w:cs="宋体"/>
                <w:kern w:val="0"/>
                <w:sz w:val="24"/>
                <w:szCs w:val="24"/>
              </w:rPr>
            </w:pPr>
            <w:r>
              <w:rPr>
                <w:rFonts w:hint="eastAsia" w:ascii="Times New Roman" w:hAnsi="Times New Roman" w:eastAsia="仿宋" w:cs="宋体"/>
                <w:kern w:val="0"/>
                <w:sz w:val="24"/>
                <w:szCs w:val="24"/>
              </w:rPr>
              <w:t>经调查，被征收房屋的占地系村民住宅权属人的宅基地，其户口迁出前取得宅基地符合农村宅基地安排的规定，并经村民小组会议审议通过，在村、村民小组范围内张贴公示7日无异议。</w:t>
            </w:r>
            <w:r>
              <w:rPr>
                <w:rFonts w:hint="eastAsia" w:ascii="Times New Roman" w:hAnsi="Times New Roman" w:eastAsia="仿宋" w:cs="宋体"/>
                <w:kern w:val="0"/>
                <w:sz w:val="24"/>
                <w:szCs w:val="24"/>
              </w:rPr>
              <w:br w:type="page"/>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村小组负责人签名：             村委会负责人签名：</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（盖章）</w:t>
            </w:r>
            <w:r>
              <w:rPr>
                <w:rFonts w:hint="eastAsia" w:ascii="Times New Roman" w:hAnsi="Times New Roman" w:eastAsia="仿宋" w:cs="宋体"/>
                <w:kern w:val="0"/>
                <w:sz w:val="24"/>
                <w:szCs w:val="24"/>
              </w:rPr>
              <w:br w:type="page"/>
            </w:r>
            <w:r>
              <w:rPr>
                <w:rFonts w:hint="eastAsia" w:ascii="Times New Roman" w:hAnsi="Times New Roman" w:eastAsia="仿宋" w:cs="宋体"/>
                <w:kern w:val="0"/>
                <w:sz w:val="24"/>
                <w:szCs w:val="24"/>
              </w:rPr>
              <w:t xml:space="preserve">                       （盖章） </w:t>
            </w:r>
          </w:p>
          <w:p>
            <w:pPr>
              <w:widowControl/>
              <w:jc w:val="left"/>
              <w:rPr>
                <w:rFonts w:ascii="Times New Roman" w:hAnsi="Times New Roman" w:eastAsia="仿宋" w:cs="宋体"/>
                <w:kern w:val="0"/>
                <w:sz w:val="24"/>
                <w:szCs w:val="24"/>
              </w:rPr>
            </w:pPr>
          </w:p>
          <w:p>
            <w:pPr>
              <w:widowControl/>
              <w:jc w:val="right"/>
              <w:rPr>
                <w:rFonts w:ascii="Times New Roman" w:hAnsi="Times New Roman" w:eastAsia="仿宋" w:cs="宋体"/>
                <w:kern w:val="0"/>
                <w:sz w:val="24"/>
                <w:szCs w:val="24"/>
              </w:rPr>
            </w:pPr>
            <w:r>
              <w:rPr>
                <w:rFonts w:hint="eastAsia" w:ascii="Times New Roman" w:hAnsi="Times New Roman" w:eastAsia="仿宋" w:cs="宋体"/>
                <w:kern w:val="0"/>
                <w:sz w:val="24"/>
                <w:szCs w:val="24"/>
              </w:rPr>
              <w:t>年   月   日                          年   月   日</w:t>
            </w:r>
          </w:p>
        </w:tc>
      </w:tr>
      <w:tr>
        <w:tblPrEx>
          <w:tblCellMar>
            <w:top w:w="0" w:type="dxa"/>
            <w:left w:w="108" w:type="dxa"/>
            <w:bottom w:w="0" w:type="dxa"/>
            <w:right w:w="108" w:type="dxa"/>
          </w:tblCellMar>
        </w:tblPrEx>
        <w:trPr>
          <w:trHeight w:val="340"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农业农村部门审核意见</w:t>
            </w:r>
          </w:p>
        </w:tc>
        <w:tc>
          <w:tcPr>
            <w:tcW w:w="7150"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经调查，被征收房屋的占地系村民住宅权属人的宅基地，其户口迁出前取得宅基地符合农村宅基地安排的规定。</w:t>
            </w:r>
          </w:p>
          <w:p>
            <w:pPr>
              <w:widowControl/>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p>
            <w:pPr>
              <w:widowControl/>
              <w:jc w:val="left"/>
              <w:rPr>
                <w:rFonts w:ascii="Times New Roman" w:hAnsi="Times New Roman" w:eastAsia="仿宋" w:cs="宋体"/>
                <w:kern w:val="0"/>
                <w:sz w:val="24"/>
                <w:szCs w:val="24"/>
              </w:rPr>
            </w:pPr>
          </w:p>
        </w:tc>
      </w:tr>
      <w:tr>
        <w:tblPrEx>
          <w:tblCellMar>
            <w:top w:w="0" w:type="dxa"/>
            <w:left w:w="108" w:type="dxa"/>
            <w:bottom w:w="0" w:type="dxa"/>
            <w:right w:w="108" w:type="dxa"/>
          </w:tblCellMar>
        </w:tblPrEx>
        <w:trPr>
          <w:trHeight w:val="340"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自然资源所审核意见</w:t>
            </w:r>
          </w:p>
        </w:tc>
        <w:tc>
          <w:tcPr>
            <w:tcW w:w="7150"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经调查，房屋占用的土地属于集体土地，不在违法用地图斑范围，且村民住宅权属人未享受过宅基地补偿（包括重新安排宅基地建房、货币补偿或房屋置换）。</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城乡管理综合执法部门审核意见</w:t>
            </w:r>
          </w:p>
        </w:tc>
        <w:tc>
          <w:tcPr>
            <w:tcW w:w="7150"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经调查，房屋无查违记录。</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ascii="Times New Roman" w:hAnsi="Times New Roman" w:eastAsia="仿宋" w:cs="Times New Roman"/>
                <w:sz w:val="24"/>
                <w:szCs w:val="24"/>
                <w:shd w:val="clear" w:color="auto" w:fill="FFFFFF"/>
              </w:rPr>
              <w:t>乡村建设</w:t>
            </w:r>
            <w:r>
              <w:rPr>
                <w:rFonts w:hint="eastAsia" w:ascii="Times New Roman" w:hAnsi="Times New Roman" w:eastAsia="仿宋" w:cs="宋体"/>
                <w:kern w:val="0"/>
                <w:sz w:val="24"/>
                <w:szCs w:val="24"/>
              </w:rPr>
              <w:t>部门审核意见</w:t>
            </w:r>
          </w:p>
        </w:tc>
        <w:tc>
          <w:tcPr>
            <w:tcW w:w="7150"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经调查，该房屋是符合居住使用条件的永久性房屋。</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人民政府（街道办事处）认定意见</w:t>
            </w:r>
          </w:p>
        </w:tc>
        <w:tc>
          <w:tcPr>
            <w:tcW w:w="7150"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根据上述部门意见，经调查，情况属实，同意按《惠州市集体土地征收与补偿办法》（惠府〔2021〕27号）村民住宅给予认定“一户一宅”。</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br w:type="page"/>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1202" w:hRule="atLeast"/>
        </w:trPr>
        <w:tc>
          <w:tcPr>
            <w:tcW w:w="9285" w:type="dxa"/>
            <w:gridSpan w:val="4"/>
            <w:tcBorders>
              <w:top w:val="single" w:color="auto" w:sz="4" w:space="0"/>
              <w:left w:val="nil"/>
              <w:bottom w:val="nil"/>
              <w:right w:val="nil"/>
            </w:tcBorders>
            <w:vAlign w:val="center"/>
          </w:tcPr>
          <w:p>
            <w:pPr>
              <w:widowControl/>
              <w:jc w:val="left"/>
              <w:rPr>
                <w:rFonts w:ascii="Times New Roman" w:hAnsi="Times New Roman" w:eastAsia="仿宋" w:cs="宋体"/>
                <w:kern w:val="0"/>
                <w:sz w:val="22"/>
              </w:rPr>
            </w:pPr>
            <w:bookmarkStart w:id="22" w:name="_Hlk81939438"/>
            <w:r>
              <w:rPr>
                <w:rFonts w:hint="eastAsia" w:ascii="Times New Roman" w:hAnsi="Times New Roman" w:eastAsia="仿宋" w:cs="宋体"/>
                <w:kern w:val="0"/>
                <w:sz w:val="22"/>
              </w:rPr>
              <w:t>说明：1.应提交房屋情况说明、权属证明材料等；</w:t>
            </w:r>
          </w:p>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xml:space="preserve">      2.上述材料不齐全的，应当由权利人提交书面情况说明，村、镇进行调查核实并公示后确定。</w:t>
            </w:r>
            <w:bookmarkEnd w:id="22"/>
          </w:p>
        </w:tc>
      </w:tr>
    </w:tbl>
    <w:p>
      <w:pPr>
        <w:pStyle w:val="31"/>
        <w:widowControl/>
        <w:ind w:left="1418" w:firstLine="0" w:firstLineChars="0"/>
        <w:jc w:val="left"/>
        <w:rPr>
          <w:rFonts w:ascii="Times New Roman" w:hAnsi="Times New Roman" w:eastAsia="仿宋"/>
        </w:rPr>
      </w:pPr>
    </w:p>
    <w:p>
      <w:pPr>
        <w:pStyle w:val="31"/>
        <w:widowControl/>
        <w:ind w:left="1418" w:firstLine="0" w:firstLineChars="0"/>
        <w:jc w:val="left"/>
        <w:rPr>
          <w:rFonts w:ascii="Times New Roman" w:hAnsi="Times New Roman" w:eastAsia="仿宋"/>
          <w:b/>
          <w:bCs/>
          <w:sz w:val="32"/>
          <w:szCs w:val="32"/>
          <w:shd w:val="clear" w:color="auto" w:fill="FFFFFF"/>
        </w:rPr>
      </w:pPr>
      <w:r>
        <w:rPr>
          <w:rFonts w:ascii="Times New Roman" w:hAnsi="Times New Roman" w:eastAsia="仿宋"/>
        </w:rPr>
        <w:br w:type="page"/>
      </w:r>
      <w:r>
        <w:rPr>
          <w:rFonts w:hint="eastAsia" w:ascii="Times New Roman" w:hAnsi="Times New Roman" w:eastAsia="仿宋"/>
          <w:b/>
          <w:bCs/>
          <w:sz w:val="32"/>
          <w:szCs w:val="32"/>
          <w:shd w:val="clear" w:color="auto" w:fill="FFFFFF"/>
        </w:rPr>
        <w:t>附件</w:t>
      </w:r>
      <w:r>
        <w:rPr>
          <w:rFonts w:ascii="Times New Roman" w:hAnsi="Times New Roman" w:eastAsia="仿宋"/>
          <w:b/>
          <w:bCs/>
          <w:sz w:val="32"/>
          <w:szCs w:val="32"/>
          <w:shd w:val="clear" w:color="auto" w:fill="FFFFFF"/>
        </w:rPr>
        <w:t>2-4</w:t>
      </w:r>
    </w:p>
    <w:tbl>
      <w:tblPr>
        <w:tblStyle w:val="13"/>
        <w:tblW w:w="9285" w:type="dxa"/>
        <w:tblInd w:w="0" w:type="dxa"/>
        <w:tblLayout w:type="fixed"/>
        <w:tblCellMar>
          <w:top w:w="0" w:type="dxa"/>
          <w:left w:w="108" w:type="dxa"/>
          <w:bottom w:w="0" w:type="dxa"/>
          <w:right w:w="108" w:type="dxa"/>
        </w:tblCellMar>
      </w:tblPr>
      <w:tblGrid>
        <w:gridCol w:w="2030"/>
        <w:gridCol w:w="2489"/>
        <w:gridCol w:w="2517"/>
        <w:gridCol w:w="2249"/>
      </w:tblGrid>
      <w:tr>
        <w:tblPrEx>
          <w:tblCellMar>
            <w:top w:w="0" w:type="dxa"/>
            <w:left w:w="108" w:type="dxa"/>
            <w:bottom w:w="0" w:type="dxa"/>
            <w:right w:w="108" w:type="dxa"/>
          </w:tblCellMar>
        </w:tblPrEx>
        <w:trPr>
          <w:trHeight w:val="799" w:hRule="atLeast"/>
        </w:trPr>
        <w:tc>
          <w:tcPr>
            <w:tcW w:w="9286" w:type="dxa"/>
            <w:gridSpan w:val="4"/>
            <w:vAlign w:val="center"/>
          </w:tcPr>
          <w:p>
            <w:pPr>
              <w:widowControl/>
              <w:jc w:val="center"/>
              <w:rPr>
                <w:rFonts w:ascii="Times New Roman" w:hAnsi="Times New Roman" w:eastAsia="仿宋" w:cs="宋体"/>
                <w:b/>
                <w:bCs/>
                <w:kern w:val="0"/>
                <w:sz w:val="32"/>
                <w:szCs w:val="32"/>
              </w:rPr>
            </w:pPr>
            <w:r>
              <w:rPr>
                <w:rFonts w:hint="eastAsia" w:ascii="Times New Roman" w:hAnsi="Times New Roman" w:eastAsia="仿宋" w:cs="宋体"/>
                <w:b/>
                <w:bCs/>
                <w:kern w:val="0"/>
                <w:sz w:val="40"/>
                <w:szCs w:val="40"/>
              </w:rPr>
              <w:t>未建住宅的宅基地认定表</w:t>
            </w:r>
          </w:p>
        </w:tc>
      </w:tr>
      <w:tr>
        <w:tblPrEx>
          <w:tblCellMar>
            <w:top w:w="0" w:type="dxa"/>
            <w:left w:w="108" w:type="dxa"/>
            <w:bottom w:w="0" w:type="dxa"/>
            <w:right w:w="108" w:type="dxa"/>
          </w:tblCellMar>
        </w:tblPrEx>
        <w:trPr>
          <w:trHeight w:val="282" w:hRule="atLeast"/>
        </w:trPr>
        <w:tc>
          <w:tcPr>
            <w:tcW w:w="9286" w:type="dxa"/>
            <w:gridSpan w:val="4"/>
            <w:vAlign w:val="center"/>
          </w:tcPr>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（此表适用于具有宅基地资格权的宅基地使用权人的符合镇土地利用</w:t>
            </w:r>
          </w:p>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规划、村庄规划、没有占用基本农田且符合一户一宅的宅基地）</w:t>
            </w:r>
          </w:p>
          <w:p>
            <w:pPr>
              <w:widowControl/>
              <w:spacing w:line="400" w:lineRule="exact"/>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（示范文本）</w:t>
            </w:r>
          </w:p>
        </w:tc>
      </w:tr>
      <w:tr>
        <w:tblPrEx>
          <w:tblCellMar>
            <w:top w:w="0" w:type="dxa"/>
            <w:left w:w="108" w:type="dxa"/>
            <w:bottom w:w="0" w:type="dxa"/>
            <w:right w:w="108" w:type="dxa"/>
          </w:tblCellMar>
        </w:tblPrEx>
        <w:trPr>
          <w:trHeight w:val="599" w:hRule="atLeast"/>
        </w:trPr>
        <w:tc>
          <w:tcPr>
            <w:tcW w:w="2031"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征地项目名称</w:t>
            </w:r>
          </w:p>
        </w:tc>
        <w:tc>
          <w:tcPr>
            <w:tcW w:w="2489"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p>
        </w:tc>
        <w:tc>
          <w:tcPr>
            <w:tcW w:w="2517"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认定编号</w:t>
            </w:r>
          </w:p>
        </w:tc>
        <w:tc>
          <w:tcPr>
            <w:tcW w:w="2249"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p>
        </w:tc>
      </w:tr>
      <w:tr>
        <w:tblPrEx>
          <w:tblCellMar>
            <w:top w:w="0" w:type="dxa"/>
            <w:left w:w="108" w:type="dxa"/>
            <w:bottom w:w="0" w:type="dxa"/>
            <w:right w:w="108" w:type="dxa"/>
          </w:tblCellMar>
        </w:tblPrEx>
        <w:trPr>
          <w:trHeight w:val="624" w:hRule="atLeast"/>
        </w:trPr>
        <w:tc>
          <w:tcPr>
            <w:tcW w:w="2031"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权属人</w:t>
            </w:r>
          </w:p>
        </w:tc>
        <w:tc>
          <w:tcPr>
            <w:tcW w:w="2489"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517"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身份证号码</w:t>
            </w:r>
          </w:p>
        </w:tc>
        <w:tc>
          <w:tcPr>
            <w:tcW w:w="2249"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031"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户口所在地</w:t>
            </w:r>
          </w:p>
        </w:tc>
        <w:tc>
          <w:tcPr>
            <w:tcW w:w="7255"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2031"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宅基地坐落</w:t>
            </w:r>
          </w:p>
        </w:tc>
        <w:tc>
          <w:tcPr>
            <w:tcW w:w="7255"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624" w:hRule="atLeast"/>
        </w:trPr>
        <w:tc>
          <w:tcPr>
            <w:tcW w:w="452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认定应补偿宅基地面积</w:t>
            </w:r>
          </w:p>
        </w:tc>
        <w:tc>
          <w:tcPr>
            <w:tcW w:w="4766"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平方米</w:t>
            </w:r>
          </w:p>
        </w:tc>
      </w:tr>
      <w:tr>
        <w:tblPrEx>
          <w:tblCellMar>
            <w:top w:w="0" w:type="dxa"/>
            <w:left w:w="108" w:type="dxa"/>
            <w:bottom w:w="0" w:type="dxa"/>
            <w:right w:w="108" w:type="dxa"/>
          </w:tblCellMar>
        </w:tblPrEx>
        <w:trPr>
          <w:trHeight w:val="340" w:hRule="atLeast"/>
        </w:trPr>
        <w:tc>
          <w:tcPr>
            <w:tcW w:w="2031"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宅基地权属人声明</w:t>
            </w:r>
          </w:p>
        </w:tc>
        <w:tc>
          <w:tcPr>
            <w:tcW w:w="7255" w:type="dxa"/>
            <w:gridSpan w:val="3"/>
            <w:tcBorders>
              <w:top w:val="single" w:color="auto" w:sz="4" w:space="0"/>
              <w:left w:val="nil"/>
              <w:bottom w:val="single" w:color="auto" w:sz="4" w:space="0"/>
              <w:right w:val="single" w:color="auto" w:sz="4" w:space="0"/>
            </w:tcBorders>
            <w:vAlign w:val="center"/>
          </w:tcPr>
          <w:p>
            <w:pPr>
              <w:widowControl/>
              <w:ind w:firstLine="480" w:firstLineChars="200"/>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被征收宅基地系本人的宅基地，本人取得的宅基地符合《惠州市农村宅基地“一户一宅”指导意见》的规定，本人在此之前未享受过宅基地补偿，若本人存在虚假承诺的情形，自愿承担相应法律责任。</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承诺人（签名、手印）：                     年   月   日</w:t>
            </w:r>
          </w:p>
        </w:tc>
      </w:tr>
      <w:tr>
        <w:tblPrEx>
          <w:tblCellMar>
            <w:top w:w="0" w:type="dxa"/>
            <w:left w:w="108" w:type="dxa"/>
            <w:bottom w:w="0" w:type="dxa"/>
            <w:right w:w="108" w:type="dxa"/>
          </w:tblCellMar>
        </w:tblPrEx>
        <w:trPr>
          <w:trHeight w:val="340" w:hRule="atLeast"/>
        </w:trPr>
        <w:tc>
          <w:tcPr>
            <w:tcW w:w="2031"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村小组、村委会审核意见</w:t>
            </w:r>
          </w:p>
        </w:tc>
        <w:tc>
          <w:tcPr>
            <w:tcW w:w="7255" w:type="dxa"/>
            <w:gridSpan w:val="3"/>
            <w:tcBorders>
              <w:top w:val="single" w:color="auto" w:sz="4" w:space="0"/>
              <w:left w:val="nil"/>
              <w:bottom w:val="single" w:color="auto" w:sz="4" w:space="0"/>
              <w:right w:val="single" w:color="auto" w:sz="4" w:space="0"/>
            </w:tcBorders>
            <w:vAlign w:val="center"/>
          </w:tcPr>
          <w:p>
            <w:pPr>
              <w:widowControl/>
              <w:ind w:firstLine="480" w:firstLineChars="200"/>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经调查，被征收宅基地系村集体分配，并经村民小组会议审议通过，在村、村民小组范围内张贴公示7日无异议，同意报上级部门给予认定。</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村小组负责人签名：             村委会负责人签名：</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（盖章）</w:t>
            </w:r>
            <w:r>
              <w:rPr>
                <w:rFonts w:hint="eastAsia" w:ascii="Times New Roman" w:hAnsi="Times New Roman" w:eastAsia="仿宋" w:cs="宋体"/>
                <w:kern w:val="0"/>
                <w:sz w:val="24"/>
                <w:szCs w:val="24"/>
              </w:rPr>
              <w:br w:type="page"/>
            </w:r>
            <w:r>
              <w:rPr>
                <w:rFonts w:hint="eastAsia" w:ascii="Times New Roman" w:hAnsi="Times New Roman" w:eastAsia="仿宋" w:cs="宋体"/>
                <w:kern w:val="0"/>
                <w:sz w:val="24"/>
                <w:szCs w:val="24"/>
              </w:rPr>
              <w:t xml:space="preserve">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年   月   日                          年   月   日</w:t>
            </w:r>
          </w:p>
        </w:tc>
      </w:tr>
      <w:tr>
        <w:tblPrEx>
          <w:tblCellMar>
            <w:top w:w="0" w:type="dxa"/>
            <w:left w:w="108" w:type="dxa"/>
            <w:bottom w:w="0" w:type="dxa"/>
            <w:right w:w="108" w:type="dxa"/>
          </w:tblCellMar>
        </w:tblPrEx>
        <w:trPr>
          <w:trHeight w:val="340" w:hRule="atLeast"/>
        </w:trPr>
        <w:tc>
          <w:tcPr>
            <w:tcW w:w="2031"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农业农村部门审核意见</w:t>
            </w:r>
          </w:p>
        </w:tc>
        <w:tc>
          <w:tcPr>
            <w:tcW w:w="7255"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经调查，被征收宅基地系村集体分配给权属人，该户村民取得的宅基地符合《惠州市农村宅基地“一户一宅”指导意见》的规定。</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031"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自然资源所审核意见</w:t>
            </w:r>
          </w:p>
        </w:tc>
        <w:tc>
          <w:tcPr>
            <w:tcW w:w="7255"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经调查，该土地属于集体土地，不在违法用地图斑范围，且宅基地权属人未享受过宅基地补偿（包括重新安排宅基地建房、货币补偿或房屋置换）。</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340" w:hRule="atLeast"/>
        </w:trPr>
        <w:tc>
          <w:tcPr>
            <w:tcW w:w="2031"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人民政府（街道办事处）认定意见</w:t>
            </w:r>
          </w:p>
        </w:tc>
        <w:tc>
          <w:tcPr>
            <w:tcW w:w="7255"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根据上述部门意见，经调查，情况属实，属于未建住宅的宅基地，符合镇土地利用规划、村庄规划，同意按《惠州市集体土地征收与补偿办法》（惠府〔2021〕27号）未建住宅的宅基地给予认定“一户一宅”。</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br w:type="page"/>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bl>
    <w:p>
      <w:pPr>
        <w:pStyle w:val="31"/>
        <w:widowControl/>
        <w:numPr>
          <w:ilvl w:val="0"/>
          <w:numId w:val="15"/>
        </w:numPr>
        <w:ind w:firstLineChars="0"/>
        <w:jc w:val="left"/>
        <w:outlineLvl w:val="0"/>
        <w:rPr>
          <w:rFonts w:ascii="Times New Roman" w:hAnsi="Times New Roman" w:eastAsia="仿宋"/>
          <w:b/>
          <w:bCs/>
          <w:sz w:val="32"/>
          <w:szCs w:val="32"/>
          <w:shd w:val="clear" w:color="auto" w:fill="FFFFFF"/>
        </w:rPr>
      </w:pPr>
      <w:r>
        <w:rPr>
          <w:rFonts w:ascii="Times New Roman" w:hAnsi="Times New Roman" w:eastAsia="仿宋"/>
          <w:b/>
          <w:bCs/>
          <w:sz w:val="32"/>
          <w:szCs w:val="32"/>
          <w:shd w:val="clear" w:color="auto" w:fill="FFFFFF"/>
        </w:rPr>
        <w:br w:type="page"/>
      </w:r>
    </w:p>
    <w:p>
      <w:pPr>
        <w:shd w:val="clear" w:color="auto" w:fill="FFFFFF"/>
        <w:tabs>
          <w:tab w:val="left" w:pos="2127"/>
          <w:tab w:val="left" w:pos="2410"/>
        </w:tabs>
        <w:outlineLvl w:val="0"/>
        <w:rPr>
          <w:rFonts w:ascii="Times New Roman" w:hAnsi="Times New Roman" w:eastAsia="仿宋"/>
          <w:b/>
          <w:bCs/>
          <w:sz w:val="32"/>
          <w:szCs w:val="32"/>
          <w:shd w:val="clear" w:color="auto" w:fill="FFFFFF"/>
        </w:rPr>
      </w:pPr>
      <w:bookmarkStart w:id="23" w:name="_Hlk81935282"/>
      <w:bookmarkStart w:id="24" w:name="_Hlk81935800"/>
      <w:r>
        <w:rPr>
          <w:rFonts w:hint="eastAsia" w:ascii="Times New Roman" w:hAnsi="Times New Roman" w:eastAsia="仿宋"/>
          <w:b/>
          <w:bCs/>
          <w:sz w:val="32"/>
          <w:szCs w:val="32"/>
          <w:shd w:val="clear" w:color="auto" w:fill="FFFFFF"/>
        </w:rPr>
        <w:t>附件</w:t>
      </w:r>
      <w:r>
        <w:rPr>
          <w:rFonts w:ascii="Times New Roman" w:hAnsi="Times New Roman" w:eastAsia="仿宋"/>
          <w:b/>
          <w:bCs/>
          <w:sz w:val="32"/>
          <w:szCs w:val="32"/>
          <w:shd w:val="clear" w:color="auto" w:fill="FFFFFF"/>
        </w:rPr>
        <w:t>2-5</w:t>
      </w:r>
    </w:p>
    <w:tbl>
      <w:tblPr>
        <w:tblStyle w:val="13"/>
        <w:tblW w:w="9285" w:type="dxa"/>
        <w:tblInd w:w="0" w:type="dxa"/>
        <w:tblLayout w:type="fixed"/>
        <w:tblCellMar>
          <w:top w:w="0" w:type="dxa"/>
          <w:left w:w="108" w:type="dxa"/>
          <w:bottom w:w="0" w:type="dxa"/>
          <w:right w:w="108" w:type="dxa"/>
        </w:tblCellMar>
      </w:tblPr>
      <w:tblGrid>
        <w:gridCol w:w="2187"/>
        <w:gridCol w:w="2160"/>
        <w:gridCol w:w="2433"/>
        <w:gridCol w:w="2505"/>
      </w:tblGrid>
      <w:tr>
        <w:tblPrEx>
          <w:tblCellMar>
            <w:top w:w="0" w:type="dxa"/>
            <w:left w:w="108" w:type="dxa"/>
            <w:bottom w:w="0" w:type="dxa"/>
            <w:right w:w="108" w:type="dxa"/>
          </w:tblCellMar>
        </w:tblPrEx>
        <w:trPr>
          <w:trHeight w:val="799" w:hRule="atLeast"/>
        </w:trPr>
        <w:tc>
          <w:tcPr>
            <w:tcW w:w="9285" w:type="dxa"/>
            <w:gridSpan w:val="4"/>
            <w:vAlign w:val="center"/>
          </w:tcPr>
          <w:p>
            <w:pPr>
              <w:widowControl/>
              <w:jc w:val="center"/>
              <w:rPr>
                <w:rFonts w:ascii="Times New Roman" w:hAnsi="Times New Roman" w:eastAsia="仿宋" w:cs="宋体"/>
                <w:b/>
                <w:bCs/>
                <w:kern w:val="0"/>
                <w:sz w:val="40"/>
                <w:szCs w:val="40"/>
              </w:rPr>
            </w:pPr>
            <w:bookmarkStart w:id="25" w:name="RANGE!B2:E12"/>
            <w:r>
              <w:rPr>
                <w:rFonts w:hint="eastAsia" w:ascii="Times New Roman" w:hAnsi="Times New Roman" w:eastAsia="仿宋" w:cs="宋体"/>
                <w:b/>
                <w:bCs/>
                <w:kern w:val="0"/>
                <w:sz w:val="40"/>
                <w:szCs w:val="40"/>
              </w:rPr>
              <w:t>村民住宅以外的住宅房屋认定表</w:t>
            </w:r>
            <w:bookmarkEnd w:id="25"/>
          </w:p>
          <w:p>
            <w:pPr>
              <w:widowControl/>
              <w:spacing w:line="400" w:lineRule="exact"/>
              <w:jc w:val="center"/>
              <w:rPr>
                <w:rFonts w:ascii="Times New Roman" w:hAnsi="Times New Roman" w:eastAsia="仿宋" w:cs="宋体"/>
                <w:b/>
                <w:bCs/>
                <w:kern w:val="0"/>
                <w:sz w:val="40"/>
                <w:szCs w:val="40"/>
              </w:rPr>
            </w:pPr>
            <w:r>
              <w:rPr>
                <w:rFonts w:hint="eastAsia" w:ascii="Times New Roman" w:hAnsi="Times New Roman" w:eastAsia="仿宋" w:cs="宋体"/>
                <w:b/>
                <w:bCs/>
                <w:kern w:val="0"/>
                <w:sz w:val="28"/>
                <w:szCs w:val="28"/>
              </w:rPr>
              <w:t>（此表适用于村民住宅以外的住宅房屋）</w:t>
            </w:r>
          </w:p>
        </w:tc>
      </w:tr>
      <w:tr>
        <w:tblPrEx>
          <w:tblCellMar>
            <w:top w:w="0" w:type="dxa"/>
            <w:left w:w="108" w:type="dxa"/>
            <w:bottom w:w="0" w:type="dxa"/>
            <w:right w:w="108" w:type="dxa"/>
          </w:tblCellMar>
        </w:tblPrEx>
        <w:trPr>
          <w:trHeight w:val="141" w:hRule="atLeast"/>
        </w:trPr>
        <w:tc>
          <w:tcPr>
            <w:tcW w:w="9285" w:type="dxa"/>
            <w:gridSpan w:val="4"/>
            <w:vAlign w:val="center"/>
          </w:tcPr>
          <w:p>
            <w:pPr>
              <w:widowControl/>
              <w:spacing w:line="400" w:lineRule="exact"/>
              <w:jc w:val="center"/>
              <w:rPr>
                <w:rFonts w:ascii="Times New Roman" w:hAnsi="Times New Roman" w:eastAsia="仿宋" w:cs="宋体"/>
                <w:b/>
                <w:bCs/>
                <w:kern w:val="0"/>
                <w:sz w:val="24"/>
                <w:szCs w:val="24"/>
              </w:rPr>
            </w:pPr>
            <w:r>
              <w:rPr>
                <w:rFonts w:hint="eastAsia" w:ascii="Times New Roman" w:hAnsi="Times New Roman" w:eastAsia="仿宋" w:cs="宋体"/>
                <w:b/>
                <w:bCs/>
                <w:kern w:val="0"/>
                <w:sz w:val="24"/>
                <w:szCs w:val="24"/>
              </w:rPr>
              <w:t>（示范文本）</w:t>
            </w:r>
          </w:p>
        </w:tc>
      </w:tr>
      <w:tr>
        <w:tblPrEx>
          <w:tblCellMar>
            <w:top w:w="0" w:type="dxa"/>
            <w:left w:w="108" w:type="dxa"/>
            <w:bottom w:w="0" w:type="dxa"/>
            <w:right w:w="108" w:type="dxa"/>
          </w:tblCellMar>
        </w:tblPrEx>
        <w:trPr>
          <w:trHeight w:val="599" w:hRule="atLeast"/>
        </w:trPr>
        <w:tc>
          <w:tcPr>
            <w:tcW w:w="2187" w:type="dxa"/>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征地项目名称</w:t>
            </w:r>
          </w:p>
        </w:tc>
        <w:tc>
          <w:tcPr>
            <w:tcW w:w="2160" w:type="dxa"/>
            <w:vAlign w:val="center"/>
          </w:tcPr>
          <w:p>
            <w:pPr>
              <w:widowControl/>
              <w:jc w:val="left"/>
              <w:rPr>
                <w:rFonts w:ascii="Times New Roman" w:hAnsi="Times New Roman" w:eastAsia="仿宋" w:cs="宋体"/>
                <w:kern w:val="0"/>
                <w:sz w:val="24"/>
                <w:szCs w:val="24"/>
              </w:rPr>
            </w:pPr>
          </w:p>
        </w:tc>
        <w:tc>
          <w:tcPr>
            <w:tcW w:w="2433" w:type="dxa"/>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认定编号</w:t>
            </w:r>
          </w:p>
        </w:tc>
        <w:tc>
          <w:tcPr>
            <w:tcW w:w="2505" w:type="dxa"/>
            <w:vAlign w:val="center"/>
          </w:tcPr>
          <w:p>
            <w:pPr>
              <w:widowControl/>
              <w:jc w:val="left"/>
              <w:rPr>
                <w:rFonts w:ascii="Times New Roman" w:hAnsi="Times New Roman" w:eastAsia="仿宋" w:cs="宋体"/>
                <w:kern w:val="0"/>
                <w:sz w:val="24"/>
                <w:szCs w:val="24"/>
              </w:rPr>
            </w:pPr>
          </w:p>
        </w:tc>
      </w:tr>
      <w:tr>
        <w:tblPrEx>
          <w:tblCellMar>
            <w:top w:w="0" w:type="dxa"/>
            <w:left w:w="108" w:type="dxa"/>
            <w:bottom w:w="0" w:type="dxa"/>
            <w:right w:w="108" w:type="dxa"/>
          </w:tblCellMar>
        </w:tblPrEx>
        <w:trPr>
          <w:trHeight w:val="454" w:hRule="atLeast"/>
        </w:trPr>
        <w:tc>
          <w:tcPr>
            <w:tcW w:w="2187"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权属人</w:t>
            </w:r>
          </w:p>
        </w:tc>
        <w:tc>
          <w:tcPr>
            <w:tcW w:w="2160"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43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身份证号码</w:t>
            </w:r>
          </w:p>
        </w:tc>
        <w:tc>
          <w:tcPr>
            <w:tcW w:w="2505"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454"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户口所在地</w:t>
            </w:r>
          </w:p>
        </w:tc>
        <w:tc>
          <w:tcPr>
            <w:tcW w:w="7098"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454"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房屋坐落</w:t>
            </w:r>
          </w:p>
        </w:tc>
        <w:tc>
          <w:tcPr>
            <w:tcW w:w="7098"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702"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土地使用权证编号</w:t>
            </w:r>
          </w:p>
        </w:tc>
        <w:tc>
          <w:tcPr>
            <w:tcW w:w="2160" w:type="dxa"/>
            <w:tcBorders>
              <w:top w:val="nil"/>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433" w:type="dxa"/>
            <w:tcBorders>
              <w:top w:val="nil"/>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房屋所有权证（不动产权证）编号</w:t>
            </w:r>
          </w:p>
        </w:tc>
        <w:tc>
          <w:tcPr>
            <w:tcW w:w="2505" w:type="dxa"/>
            <w:tcBorders>
              <w:top w:val="nil"/>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rPr>
          <w:trHeight w:val="454"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土地使用权来源</w:t>
            </w:r>
          </w:p>
        </w:tc>
        <w:tc>
          <w:tcPr>
            <w:tcW w:w="2160" w:type="dxa"/>
            <w:tcBorders>
              <w:top w:val="nil"/>
              <w:left w:val="nil"/>
              <w:bottom w:val="single" w:color="auto" w:sz="4" w:space="0"/>
              <w:right w:val="nil"/>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c>
          <w:tcPr>
            <w:tcW w:w="2433"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房屋用途</w:t>
            </w:r>
          </w:p>
        </w:tc>
        <w:tc>
          <w:tcPr>
            <w:tcW w:w="2505" w:type="dxa"/>
            <w:tcBorders>
              <w:top w:val="nil"/>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1162"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房屋结构/层数</w:t>
            </w:r>
          </w:p>
        </w:tc>
        <w:tc>
          <w:tcPr>
            <w:tcW w:w="2160" w:type="dxa"/>
            <w:tcBorders>
              <w:top w:val="nil"/>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□框架/   层</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□混合/   层</w:t>
            </w: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□砖木/   层</w:t>
            </w:r>
          </w:p>
        </w:tc>
        <w:tc>
          <w:tcPr>
            <w:tcW w:w="2433" w:type="dxa"/>
            <w:tcBorders>
              <w:top w:val="nil"/>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建房时间</w:t>
            </w:r>
          </w:p>
        </w:tc>
        <w:tc>
          <w:tcPr>
            <w:tcW w:w="2505" w:type="dxa"/>
            <w:tcBorders>
              <w:top w:val="nil"/>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w:t>
            </w:r>
          </w:p>
        </w:tc>
      </w:tr>
      <w:tr>
        <w:tblPrEx>
          <w:tblCellMar>
            <w:top w:w="0" w:type="dxa"/>
            <w:left w:w="108" w:type="dxa"/>
            <w:bottom w:w="0" w:type="dxa"/>
            <w:right w:w="108" w:type="dxa"/>
          </w:tblCellMar>
        </w:tblPrEx>
        <w:trPr>
          <w:trHeight w:val="454"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用地面积</w:t>
            </w:r>
          </w:p>
        </w:tc>
        <w:tc>
          <w:tcPr>
            <w:tcW w:w="216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c>
          <w:tcPr>
            <w:tcW w:w="2433" w:type="dxa"/>
            <w:tcBorders>
              <w:top w:val="nil"/>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认定应补偿用地面积</w:t>
            </w:r>
          </w:p>
        </w:tc>
        <w:tc>
          <w:tcPr>
            <w:tcW w:w="2505"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r>
      <w:tr>
        <w:tblPrEx>
          <w:tblCellMar>
            <w:top w:w="0" w:type="dxa"/>
            <w:left w:w="108" w:type="dxa"/>
            <w:bottom w:w="0" w:type="dxa"/>
            <w:right w:w="108" w:type="dxa"/>
          </w:tblCellMar>
        </w:tblPrEx>
        <w:trPr>
          <w:trHeight w:val="454"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总建筑面积</w:t>
            </w:r>
          </w:p>
        </w:tc>
        <w:tc>
          <w:tcPr>
            <w:tcW w:w="2160"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c>
          <w:tcPr>
            <w:tcW w:w="2433" w:type="dxa"/>
            <w:tcBorders>
              <w:top w:val="nil"/>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认定应补偿建筑面积</w:t>
            </w:r>
          </w:p>
        </w:tc>
        <w:tc>
          <w:tcPr>
            <w:tcW w:w="2505"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cs="宋体"/>
                <w:kern w:val="0"/>
                <w:sz w:val="24"/>
                <w:szCs w:val="24"/>
              </w:rPr>
            </w:pPr>
            <w:r>
              <w:rPr>
                <w:rFonts w:hint="eastAsia" w:ascii="Times New Roman" w:hAnsi="Times New Roman" w:eastAsia="仿宋" w:cs="宋体"/>
                <w:kern w:val="0"/>
                <w:sz w:val="24"/>
                <w:szCs w:val="24"/>
              </w:rPr>
              <w:t>平方米</w:t>
            </w:r>
          </w:p>
        </w:tc>
      </w:tr>
      <w:tr>
        <w:tblPrEx>
          <w:tblCellMar>
            <w:top w:w="0" w:type="dxa"/>
            <w:left w:w="108" w:type="dxa"/>
            <w:bottom w:w="0" w:type="dxa"/>
            <w:right w:w="108" w:type="dxa"/>
          </w:tblCellMar>
        </w:tblPrEx>
        <w:trPr>
          <w:trHeight w:val="454"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村民住宅以外的住宅权属人声明</w:t>
            </w:r>
          </w:p>
        </w:tc>
        <w:tc>
          <w:tcPr>
            <w:tcW w:w="7098"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被征收房屋系本人所有，不存在违法用地、违法建设的情形，若本人存在虚假承诺，自愿承担相应法律责任。</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承诺人（签名、手印）：                     年   月   日</w:t>
            </w:r>
          </w:p>
        </w:tc>
      </w:tr>
      <w:tr>
        <w:tblPrEx>
          <w:tblCellMar>
            <w:top w:w="0" w:type="dxa"/>
            <w:left w:w="108" w:type="dxa"/>
            <w:bottom w:w="0" w:type="dxa"/>
            <w:right w:w="108" w:type="dxa"/>
          </w:tblCellMar>
        </w:tblPrEx>
        <w:trPr>
          <w:trHeight w:val="454"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村小组、村委会审核意见</w:t>
            </w:r>
          </w:p>
        </w:tc>
        <w:tc>
          <w:tcPr>
            <w:tcW w:w="7098" w:type="dxa"/>
            <w:gridSpan w:val="3"/>
            <w:tcBorders>
              <w:top w:val="single" w:color="auto" w:sz="4" w:space="0"/>
              <w:left w:val="nil"/>
              <w:bottom w:val="single" w:color="auto" w:sz="4" w:space="0"/>
              <w:right w:val="single" w:color="auto" w:sz="4" w:space="0"/>
            </w:tcBorders>
            <w:vAlign w:val="center"/>
          </w:tcPr>
          <w:p>
            <w:pPr>
              <w:widowControl/>
              <w:ind w:firstLine="480" w:firstLineChars="200"/>
              <w:rPr>
                <w:rFonts w:ascii="Times New Roman" w:hAnsi="Times New Roman" w:eastAsia="仿宋" w:cs="宋体"/>
                <w:kern w:val="0"/>
                <w:sz w:val="24"/>
                <w:szCs w:val="24"/>
              </w:rPr>
            </w:pPr>
            <w:r>
              <w:rPr>
                <w:rFonts w:hint="eastAsia" w:ascii="Times New Roman" w:hAnsi="Times New Roman" w:eastAsia="仿宋" w:cs="宋体"/>
                <w:kern w:val="0"/>
                <w:sz w:val="24"/>
                <w:szCs w:val="24"/>
              </w:rPr>
              <w:t>经调查，被征收房屋占用的土地系个人住宅建设用地，在村、村民小组范围内张贴公示7日无异议，同意报上级部门给予认定。</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村小组负责人签名：             村委会负责人签名：</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（盖章）</w:t>
            </w:r>
            <w:r>
              <w:rPr>
                <w:rFonts w:hint="eastAsia" w:ascii="Times New Roman" w:hAnsi="Times New Roman" w:eastAsia="仿宋" w:cs="宋体"/>
                <w:kern w:val="0"/>
                <w:sz w:val="24"/>
                <w:szCs w:val="24"/>
              </w:rPr>
              <w:br w:type="page"/>
            </w:r>
            <w:r>
              <w:rPr>
                <w:rFonts w:hint="eastAsia" w:ascii="Times New Roman" w:hAnsi="Times New Roman" w:eastAsia="仿宋" w:cs="宋体"/>
                <w:kern w:val="0"/>
                <w:sz w:val="24"/>
                <w:szCs w:val="24"/>
              </w:rPr>
              <w:t xml:space="preserve">                       （盖章） </w:t>
            </w:r>
          </w:p>
          <w:p>
            <w:pPr>
              <w:widowControl/>
              <w:jc w:val="right"/>
              <w:rPr>
                <w:rFonts w:ascii="Times New Roman" w:hAnsi="Times New Roman" w:eastAsia="仿宋" w:cs="宋体"/>
                <w:kern w:val="0"/>
                <w:sz w:val="24"/>
                <w:szCs w:val="24"/>
              </w:rPr>
            </w:pPr>
            <w:r>
              <w:rPr>
                <w:rFonts w:hint="eastAsia" w:ascii="Times New Roman" w:hAnsi="Times New Roman" w:eastAsia="仿宋" w:cs="宋体"/>
                <w:kern w:val="0"/>
                <w:sz w:val="24"/>
                <w:szCs w:val="24"/>
              </w:rPr>
              <w:t>年   月   日                          年   月   日</w:t>
            </w:r>
          </w:p>
        </w:tc>
      </w:tr>
      <w:tr>
        <w:tblPrEx>
          <w:tblCellMar>
            <w:top w:w="0" w:type="dxa"/>
            <w:left w:w="108" w:type="dxa"/>
            <w:bottom w:w="0" w:type="dxa"/>
            <w:right w:w="108" w:type="dxa"/>
          </w:tblCellMar>
        </w:tblPrEx>
        <w:trPr>
          <w:trHeight w:val="454"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bookmarkStart w:id="26" w:name="_Hlk80610112"/>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农业农村部门审核意见</w:t>
            </w:r>
          </w:p>
        </w:tc>
        <w:tc>
          <w:tcPr>
            <w:tcW w:w="7098"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经调查，村民住宅以外的住宅权属人不属于被征地的农村集体经济组织成员。</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bookmarkEnd w:id="26"/>
        </w:tc>
      </w:tr>
      <w:tr>
        <w:tblPrEx>
          <w:tblCellMar>
            <w:top w:w="0" w:type="dxa"/>
            <w:left w:w="108" w:type="dxa"/>
            <w:bottom w:w="0" w:type="dxa"/>
            <w:right w:w="108" w:type="dxa"/>
          </w:tblCellMar>
        </w:tblPrEx>
        <w:trPr>
          <w:trHeight w:val="454" w:hRule="atLeast"/>
        </w:trPr>
        <w:tc>
          <w:tcPr>
            <w:tcW w:w="2187"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自然资源所审核意见</w:t>
            </w:r>
          </w:p>
        </w:tc>
        <w:tc>
          <w:tcPr>
            <w:tcW w:w="709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经调查，该房屋占用的土地属于集体土地，不在违法用地图斑范围，且村民住宅以外的住宅权属人未得到过集体土地使用权补偿。</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454" w:hRule="atLeast"/>
        </w:trPr>
        <w:tc>
          <w:tcPr>
            <w:tcW w:w="2187"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城乡管理综合执法部门审核意见</w:t>
            </w:r>
          </w:p>
        </w:tc>
        <w:tc>
          <w:tcPr>
            <w:tcW w:w="709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经调查，该房屋无查违记录。</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454" w:hRule="atLeast"/>
        </w:trPr>
        <w:tc>
          <w:tcPr>
            <w:tcW w:w="2187"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ascii="Times New Roman" w:hAnsi="Times New Roman" w:eastAsia="仿宋" w:cs="Times New Roman"/>
                <w:sz w:val="24"/>
                <w:szCs w:val="24"/>
                <w:shd w:val="clear" w:color="auto" w:fill="FFFFFF"/>
              </w:rPr>
              <w:t>乡村建设</w:t>
            </w:r>
            <w:r>
              <w:rPr>
                <w:rFonts w:hint="eastAsia" w:ascii="Times New Roman" w:hAnsi="Times New Roman" w:eastAsia="仿宋" w:cs="宋体"/>
                <w:kern w:val="0"/>
                <w:sz w:val="24"/>
                <w:szCs w:val="24"/>
              </w:rPr>
              <w:t>部门审核意见</w:t>
            </w:r>
          </w:p>
        </w:tc>
        <w:tc>
          <w:tcPr>
            <w:tcW w:w="7098" w:type="dxa"/>
            <w:gridSpan w:val="3"/>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经调查，该房屋是符合居住使用条件的永久性房屋。</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tr>
        <w:tblPrEx>
          <w:tblCellMar>
            <w:top w:w="0" w:type="dxa"/>
            <w:left w:w="108" w:type="dxa"/>
            <w:bottom w:w="0" w:type="dxa"/>
            <w:right w:w="108" w:type="dxa"/>
          </w:tblCellMar>
        </w:tblPrEx>
        <w:trPr>
          <w:trHeight w:val="454" w:hRule="atLeast"/>
        </w:trPr>
        <w:tc>
          <w:tcPr>
            <w:tcW w:w="2187"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 w:cs="宋体"/>
                <w:kern w:val="0"/>
                <w:sz w:val="24"/>
                <w:szCs w:val="24"/>
              </w:rPr>
            </w:pPr>
            <w:r>
              <w:rPr>
                <w:rFonts w:hint="eastAsia" w:ascii="Times New Roman" w:hAnsi="Times New Roman" w:eastAsia="仿宋" w:cs="Times New Roman"/>
                <w:sz w:val="24"/>
                <w:szCs w:val="24"/>
                <w:shd w:val="clear" w:color="auto" w:fill="FFFFFF"/>
              </w:rPr>
              <w:t>镇</w:t>
            </w:r>
            <w:r>
              <w:rPr>
                <w:rFonts w:hint="eastAsia" w:ascii="Times New Roman" w:hAnsi="Times New Roman" w:eastAsia="仿宋" w:cs="宋体"/>
                <w:kern w:val="0"/>
                <w:sz w:val="24"/>
                <w:szCs w:val="24"/>
              </w:rPr>
              <w:t>人民政府（街道办事处）认定意见</w:t>
            </w:r>
          </w:p>
        </w:tc>
        <w:tc>
          <w:tcPr>
            <w:tcW w:w="7098" w:type="dxa"/>
            <w:gridSpan w:val="3"/>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    根据上述部门意见，经调查，情况属实，同意按《惠州市集体土地征收与补偿办法》（惠府〔2021〕27号）村民住宅以外的住宅房屋给予认定。</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 xml:space="preserve">调查人签名：                                （盖章）  </w:t>
            </w:r>
          </w:p>
          <w:p>
            <w:pPr>
              <w:widowControl/>
              <w:jc w:val="left"/>
              <w:rPr>
                <w:rFonts w:ascii="Times New Roman" w:hAnsi="Times New Roman" w:eastAsia="仿宋" w:cs="宋体"/>
                <w:kern w:val="0"/>
                <w:sz w:val="24"/>
                <w:szCs w:val="24"/>
              </w:rPr>
            </w:pPr>
          </w:p>
          <w:p>
            <w:pPr>
              <w:widowControl/>
              <w:jc w:val="left"/>
              <w:rPr>
                <w:rFonts w:ascii="Times New Roman" w:hAnsi="Times New Roman" w:eastAsia="仿宋" w:cs="宋体"/>
                <w:kern w:val="0"/>
                <w:sz w:val="24"/>
                <w:szCs w:val="24"/>
              </w:rPr>
            </w:pPr>
            <w:r>
              <w:rPr>
                <w:rFonts w:hint="eastAsia" w:ascii="Times New Roman" w:hAnsi="Times New Roman" w:eastAsia="仿宋" w:cs="宋体"/>
                <w:kern w:val="0"/>
                <w:sz w:val="24"/>
                <w:szCs w:val="24"/>
              </w:rPr>
              <w:t>负责人签名：                              年   月   日</w:t>
            </w:r>
          </w:p>
        </w:tc>
      </w:tr>
      <w:bookmarkEnd w:id="23"/>
    </w:tbl>
    <w:p>
      <w:pPr>
        <w:tabs>
          <w:tab w:val="left" w:pos="2127"/>
          <w:tab w:val="left" w:pos="2410"/>
        </w:tabs>
        <w:rPr>
          <w:rFonts w:ascii="Times New Roman" w:hAnsi="Times New Roman" w:eastAsia="仿宋" w:cs="宋体"/>
          <w:kern w:val="0"/>
          <w:sz w:val="22"/>
        </w:rPr>
      </w:pPr>
      <w:bookmarkStart w:id="27" w:name="_Hlk81939561"/>
      <w:r>
        <w:rPr>
          <w:rFonts w:hint="eastAsia" w:ascii="Times New Roman" w:hAnsi="Times New Roman" w:eastAsia="仿宋" w:cs="宋体"/>
          <w:kern w:val="0"/>
          <w:sz w:val="22"/>
        </w:rPr>
        <w:t>说明：权属人至少应提交以下权属证件中的一种：1.《集体土地使用证》2.《不动产权证》；</w:t>
      </w:r>
    </w:p>
    <w:p>
      <w:pPr>
        <w:tabs>
          <w:tab w:val="left" w:pos="2127"/>
          <w:tab w:val="left" w:pos="2410"/>
        </w:tabs>
        <w:ind w:left="1418"/>
        <w:rPr>
          <w:rFonts w:ascii="Times New Roman" w:hAnsi="Times New Roman" w:eastAsia="仿宋" w:cs="宋体"/>
          <w:sz w:val="22"/>
        </w:rPr>
      </w:pPr>
      <w:r>
        <w:rPr>
          <w:rFonts w:hint="eastAsia" w:ascii="Times New Roman" w:hAnsi="Times New Roman" w:eastAsia="仿宋" w:cs="宋体"/>
          <w:kern w:val="0"/>
          <w:sz w:val="22"/>
        </w:rPr>
        <w:t>3.《建设用地规划许可证》或县（区）、镇人民政府依法核发的批准文件以及土地使用权合法来源的相关材料、凭证等</w:t>
      </w:r>
      <w:bookmarkEnd w:id="27"/>
      <w:r>
        <w:rPr>
          <w:rFonts w:hint="eastAsia" w:ascii="Times New Roman" w:hAnsi="Times New Roman" w:eastAsia="仿宋" w:cs="宋体"/>
          <w:kern w:val="0"/>
          <w:sz w:val="22"/>
        </w:rPr>
        <w:t>。</w:t>
      </w:r>
    </w:p>
    <w:p>
      <w:pPr>
        <w:pStyle w:val="31"/>
        <w:widowControl/>
        <w:numPr>
          <w:ilvl w:val="0"/>
          <w:numId w:val="15"/>
        </w:numPr>
        <w:ind w:firstLineChars="0"/>
        <w:jc w:val="left"/>
        <w:rPr>
          <w:rFonts w:ascii="Times New Roman" w:hAnsi="Times New Roman" w:eastAsia="仿宋"/>
          <w:sz w:val="32"/>
          <w:szCs w:val="32"/>
          <w:shd w:val="clear" w:color="auto" w:fill="FFFFFF"/>
        </w:rPr>
        <w:sectPr>
          <w:pgSz w:w="11906" w:h="16838"/>
          <w:pgMar w:top="1701" w:right="1418" w:bottom="1701" w:left="1418" w:header="851" w:footer="992" w:gutter="0"/>
          <w:pgNumType w:fmt="numberInDash"/>
          <w:cols w:space="720" w:num="1"/>
          <w:docGrid w:type="lines" w:linePitch="312" w:charSpace="0"/>
        </w:sectPr>
      </w:pPr>
    </w:p>
    <w:bookmarkEnd w:id="24"/>
    <w:p>
      <w:pPr>
        <w:shd w:val="clear" w:color="auto" w:fill="FFFFFF"/>
        <w:tabs>
          <w:tab w:val="left" w:pos="2127"/>
          <w:tab w:val="left" w:pos="2410"/>
        </w:tabs>
        <w:outlineLvl w:val="0"/>
        <w:rPr>
          <w:rFonts w:ascii="Times New Roman" w:hAnsi="Times New Roman" w:eastAsia="仿宋"/>
          <w:b/>
          <w:bCs/>
          <w:sz w:val="32"/>
          <w:szCs w:val="32"/>
          <w:shd w:val="clear" w:color="auto" w:fill="FFFFFF"/>
        </w:rPr>
      </w:pPr>
      <w:r>
        <w:rPr>
          <w:rFonts w:hint="eastAsia" w:ascii="Times New Roman" w:hAnsi="Times New Roman" w:eastAsia="仿宋"/>
          <w:b/>
          <w:bCs/>
          <w:sz w:val="32"/>
          <w:szCs w:val="32"/>
          <w:shd w:val="clear" w:color="auto" w:fill="FFFFFF"/>
        </w:rPr>
        <w:t>附件2-</w:t>
      </w:r>
      <w:r>
        <w:rPr>
          <w:rFonts w:ascii="Times New Roman" w:hAnsi="Times New Roman" w:eastAsia="仿宋"/>
          <w:b/>
          <w:bCs/>
          <w:sz w:val="32"/>
          <w:szCs w:val="32"/>
          <w:shd w:val="clear" w:color="auto" w:fill="FFFFFF"/>
        </w:rPr>
        <w:t>6</w:t>
      </w:r>
    </w:p>
    <w:tbl>
      <w:tblPr>
        <w:tblStyle w:val="13"/>
        <w:tblW w:w="5000" w:type="pct"/>
        <w:tblInd w:w="0" w:type="dxa"/>
        <w:tblLayout w:type="autofit"/>
        <w:tblCellMar>
          <w:top w:w="0" w:type="dxa"/>
          <w:left w:w="108" w:type="dxa"/>
          <w:bottom w:w="0" w:type="dxa"/>
          <w:right w:w="108" w:type="dxa"/>
        </w:tblCellMar>
      </w:tblPr>
      <w:tblGrid>
        <w:gridCol w:w="1176"/>
        <w:gridCol w:w="925"/>
        <w:gridCol w:w="925"/>
        <w:gridCol w:w="1416"/>
        <w:gridCol w:w="644"/>
        <w:gridCol w:w="640"/>
        <w:gridCol w:w="640"/>
        <w:gridCol w:w="926"/>
        <w:gridCol w:w="927"/>
        <w:gridCol w:w="1067"/>
      </w:tblGrid>
      <w:tr>
        <w:tblPrEx>
          <w:tblCellMar>
            <w:top w:w="0" w:type="dxa"/>
            <w:left w:w="108" w:type="dxa"/>
            <w:bottom w:w="0" w:type="dxa"/>
            <w:right w:w="108" w:type="dxa"/>
          </w:tblCellMar>
        </w:tblPrEx>
        <w:trPr>
          <w:trHeight w:val="799" w:hRule="atLeast"/>
        </w:trPr>
        <w:tc>
          <w:tcPr>
            <w:tcW w:w="5000" w:type="pct"/>
            <w:gridSpan w:val="10"/>
            <w:tcBorders>
              <w:top w:val="nil"/>
              <w:left w:val="nil"/>
              <w:bottom w:val="nil"/>
              <w:right w:val="nil"/>
            </w:tcBorders>
            <w:shd w:val="clear" w:color="auto" w:fill="auto"/>
            <w:vAlign w:val="center"/>
          </w:tcPr>
          <w:p>
            <w:pPr>
              <w:widowControl/>
              <w:jc w:val="center"/>
              <w:rPr>
                <w:rFonts w:ascii="Times New Roman" w:hAnsi="Times New Roman" w:eastAsia="仿宋" w:cs="Tahoma"/>
                <w:b/>
                <w:bCs/>
                <w:kern w:val="0"/>
                <w:sz w:val="44"/>
                <w:szCs w:val="44"/>
              </w:rPr>
            </w:pPr>
            <w:r>
              <w:rPr>
                <w:rFonts w:hint="eastAsia" w:ascii="Times New Roman" w:hAnsi="Times New Roman" w:eastAsia="仿宋" w:cs="Tahoma"/>
                <w:b/>
                <w:bCs/>
                <w:kern w:val="0"/>
                <w:sz w:val="44"/>
                <w:szCs w:val="44"/>
              </w:rPr>
              <w:t>集体土地上房屋征收范围内房屋认定前公示表</w:t>
            </w:r>
          </w:p>
        </w:tc>
      </w:tr>
      <w:tr>
        <w:tblPrEx>
          <w:tblCellMar>
            <w:top w:w="0" w:type="dxa"/>
            <w:left w:w="108" w:type="dxa"/>
            <w:bottom w:w="0" w:type="dxa"/>
            <w:right w:w="108" w:type="dxa"/>
          </w:tblCellMar>
        </w:tblPrEx>
        <w:trPr>
          <w:trHeight w:val="87" w:hRule="atLeast"/>
        </w:trPr>
        <w:tc>
          <w:tcPr>
            <w:tcW w:w="5000" w:type="pct"/>
            <w:gridSpan w:val="10"/>
            <w:tcBorders>
              <w:top w:val="nil"/>
              <w:left w:val="nil"/>
              <w:bottom w:val="nil"/>
              <w:right w:val="nil"/>
            </w:tcBorders>
            <w:shd w:val="clear" w:color="auto" w:fill="auto"/>
            <w:vAlign w:val="center"/>
          </w:tcPr>
          <w:p>
            <w:pPr>
              <w:widowControl/>
              <w:jc w:val="center"/>
              <w:rPr>
                <w:rFonts w:ascii="Times New Roman" w:hAnsi="Times New Roman" w:eastAsia="仿宋" w:cs="宋体"/>
                <w:b/>
                <w:bCs/>
                <w:kern w:val="0"/>
                <w:sz w:val="24"/>
                <w:szCs w:val="24"/>
              </w:rPr>
            </w:pPr>
            <w:r>
              <w:rPr>
                <w:rFonts w:hint="eastAsia" w:ascii="Times New Roman" w:hAnsi="Times New Roman" w:eastAsia="仿宋" w:cs="宋体"/>
                <w:b/>
                <w:bCs/>
                <w:kern w:val="0"/>
                <w:sz w:val="24"/>
                <w:szCs w:val="24"/>
              </w:rPr>
              <w:t>（格式范本）</w:t>
            </w:r>
          </w:p>
        </w:tc>
      </w:tr>
      <w:tr>
        <w:tblPrEx>
          <w:tblCellMar>
            <w:top w:w="0" w:type="dxa"/>
            <w:left w:w="108" w:type="dxa"/>
            <w:bottom w:w="0" w:type="dxa"/>
            <w:right w:w="108" w:type="dxa"/>
          </w:tblCellMar>
        </w:tblPrEx>
        <w:trPr>
          <w:trHeight w:val="402" w:hRule="atLeast"/>
        </w:trPr>
        <w:tc>
          <w:tcPr>
            <w:tcW w:w="987" w:type="pct"/>
            <w:gridSpan w:val="2"/>
            <w:tcBorders>
              <w:top w:val="nil"/>
              <w:left w:val="nil"/>
              <w:bottom w:val="single" w:color="auto" w:sz="4" w:space="0"/>
              <w:right w:val="nil"/>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征地项目名称：</w:t>
            </w:r>
          </w:p>
        </w:tc>
        <w:tc>
          <w:tcPr>
            <w:tcW w:w="1496" w:type="pct"/>
            <w:gridSpan w:val="3"/>
            <w:tcBorders>
              <w:top w:val="nil"/>
              <w:left w:val="nil"/>
              <w:bottom w:val="single" w:color="auto" w:sz="4" w:space="0"/>
              <w:right w:val="nil"/>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792" w:type="pct"/>
            <w:gridSpan w:val="2"/>
            <w:tcBorders>
              <w:top w:val="nil"/>
              <w:left w:val="nil"/>
              <w:bottom w:val="single" w:color="auto" w:sz="4" w:space="0"/>
              <w:right w:val="nil"/>
            </w:tcBorders>
            <w:shd w:val="clear" w:color="auto" w:fill="auto"/>
            <w:vAlign w:val="center"/>
          </w:tcPr>
          <w:p>
            <w:pPr>
              <w:widowControl/>
              <w:ind w:right="-97" w:rightChars="-46"/>
              <w:jc w:val="left"/>
              <w:rPr>
                <w:rFonts w:ascii="Times New Roman" w:hAnsi="Times New Roman" w:eastAsia="仿宋" w:cs="Tahoma"/>
                <w:kern w:val="0"/>
                <w:sz w:val="24"/>
                <w:szCs w:val="24"/>
              </w:rPr>
            </w:pPr>
            <w:r>
              <w:rPr>
                <w:rFonts w:ascii="Times New Roman" w:hAnsi="Times New Roman" w:eastAsia="仿宋" w:cs="Tahoma"/>
                <w:kern w:val="0"/>
                <w:sz w:val="24"/>
                <w:szCs w:val="24"/>
              </w:rPr>
              <w:t>房屋所在村小组：</w:t>
            </w:r>
          </w:p>
        </w:tc>
        <w:tc>
          <w:tcPr>
            <w:tcW w:w="1725" w:type="pct"/>
            <w:gridSpan w:val="3"/>
            <w:tcBorders>
              <w:top w:val="nil"/>
              <w:left w:val="nil"/>
              <w:bottom w:val="single" w:color="auto" w:sz="4" w:space="0"/>
              <w:right w:val="nil"/>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　</w:t>
            </w:r>
          </w:p>
        </w:tc>
      </w:tr>
      <w:tr>
        <w:tblPrEx>
          <w:tblCellMar>
            <w:top w:w="0" w:type="dxa"/>
            <w:left w:w="108" w:type="dxa"/>
            <w:bottom w:w="0" w:type="dxa"/>
            <w:right w:w="108" w:type="dxa"/>
          </w:tblCellMar>
        </w:tblPrEx>
        <w:trPr>
          <w:trHeight w:val="799" w:hRule="atLeast"/>
        </w:trPr>
        <w:tc>
          <w:tcPr>
            <w:tcW w:w="438" w:type="pct"/>
            <w:tcBorders>
              <w:top w:val="nil"/>
              <w:left w:val="single" w:color="auto" w:sz="4" w:space="0"/>
              <w:bottom w:val="nil"/>
              <w:right w:val="single" w:color="auto" w:sz="4" w:space="0"/>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序号</w:t>
            </w:r>
          </w:p>
        </w:tc>
        <w:tc>
          <w:tcPr>
            <w:tcW w:w="549" w:type="pct"/>
            <w:tcBorders>
              <w:top w:val="nil"/>
              <w:left w:val="nil"/>
              <w:bottom w:val="nil"/>
              <w:right w:val="single" w:color="auto" w:sz="4" w:space="0"/>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房屋征收</w:t>
            </w:r>
          </w:p>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编号</w:t>
            </w:r>
          </w:p>
        </w:tc>
        <w:tc>
          <w:tcPr>
            <w:tcW w:w="549" w:type="pct"/>
            <w:tcBorders>
              <w:top w:val="nil"/>
              <w:left w:val="nil"/>
              <w:bottom w:val="nil"/>
              <w:right w:val="single" w:color="auto" w:sz="4" w:space="0"/>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权属人</w:t>
            </w:r>
          </w:p>
        </w:tc>
        <w:tc>
          <w:tcPr>
            <w:tcW w:w="549" w:type="pct"/>
            <w:tcBorders>
              <w:top w:val="nil"/>
              <w:left w:val="nil"/>
              <w:bottom w:val="nil"/>
              <w:right w:val="single" w:color="auto" w:sz="4" w:space="0"/>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房屋结构/层数</w:t>
            </w:r>
          </w:p>
        </w:tc>
        <w:tc>
          <w:tcPr>
            <w:tcW w:w="398" w:type="pct"/>
            <w:tcBorders>
              <w:top w:val="nil"/>
              <w:left w:val="nil"/>
              <w:bottom w:val="nil"/>
              <w:right w:val="single" w:color="auto" w:sz="4" w:space="0"/>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建造</w:t>
            </w:r>
          </w:p>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时间</w:t>
            </w:r>
          </w:p>
        </w:tc>
        <w:tc>
          <w:tcPr>
            <w:tcW w:w="396" w:type="pct"/>
            <w:tcBorders>
              <w:top w:val="nil"/>
              <w:left w:val="nil"/>
              <w:bottom w:val="nil"/>
              <w:right w:val="single" w:color="auto" w:sz="4" w:space="0"/>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占地</w:t>
            </w:r>
          </w:p>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面积</w:t>
            </w:r>
          </w:p>
        </w:tc>
        <w:tc>
          <w:tcPr>
            <w:tcW w:w="396" w:type="pct"/>
            <w:tcBorders>
              <w:top w:val="nil"/>
              <w:left w:val="nil"/>
              <w:bottom w:val="nil"/>
              <w:right w:val="single" w:color="auto" w:sz="4" w:space="0"/>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建筑</w:t>
            </w:r>
          </w:p>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面积</w:t>
            </w:r>
          </w:p>
        </w:tc>
        <w:tc>
          <w:tcPr>
            <w:tcW w:w="550" w:type="pct"/>
            <w:tcBorders>
              <w:top w:val="nil"/>
              <w:left w:val="nil"/>
              <w:bottom w:val="single" w:color="auto" w:sz="4" w:space="0"/>
              <w:right w:val="nil"/>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房屋现状</w:t>
            </w:r>
          </w:p>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用途</w:t>
            </w:r>
          </w:p>
        </w:tc>
        <w:tc>
          <w:tcPr>
            <w:tcW w:w="550" w:type="pct"/>
            <w:tcBorders>
              <w:top w:val="nil"/>
              <w:left w:val="single" w:color="auto" w:sz="4" w:space="0"/>
              <w:bottom w:val="nil"/>
              <w:right w:val="nil"/>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是否属于</w:t>
            </w:r>
          </w:p>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村民住宅</w:t>
            </w:r>
          </w:p>
        </w:tc>
        <w:tc>
          <w:tcPr>
            <w:tcW w:w="62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是否属于</w:t>
            </w:r>
          </w:p>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“一户一宅”</w:t>
            </w:r>
          </w:p>
        </w:tc>
      </w:tr>
      <w:tr>
        <w:tblPrEx>
          <w:tblCellMar>
            <w:top w:w="0" w:type="dxa"/>
            <w:left w:w="108" w:type="dxa"/>
            <w:bottom w:w="0" w:type="dxa"/>
            <w:right w:w="108" w:type="dxa"/>
          </w:tblCellMar>
        </w:tblPrEx>
        <w:trPr>
          <w:trHeight w:val="600" w:hRule="atLeast"/>
        </w:trPr>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8"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625"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r>
      <w:tr>
        <w:tblPrEx>
          <w:tblCellMar>
            <w:top w:w="0" w:type="dxa"/>
            <w:left w:w="108" w:type="dxa"/>
            <w:bottom w:w="0" w:type="dxa"/>
            <w:right w:w="108" w:type="dxa"/>
          </w:tblCellMar>
        </w:tblPrEx>
        <w:trPr>
          <w:trHeight w:val="600" w:hRule="atLeast"/>
        </w:trPr>
        <w:tc>
          <w:tcPr>
            <w:tcW w:w="438"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8"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625"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r>
      <w:tr>
        <w:tblPrEx>
          <w:tblCellMar>
            <w:top w:w="0" w:type="dxa"/>
            <w:left w:w="108" w:type="dxa"/>
            <w:bottom w:w="0" w:type="dxa"/>
            <w:right w:w="108" w:type="dxa"/>
          </w:tblCellMar>
        </w:tblPrEx>
        <w:trPr>
          <w:trHeight w:val="600" w:hRule="atLeast"/>
        </w:trPr>
        <w:tc>
          <w:tcPr>
            <w:tcW w:w="438"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8"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625"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r>
      <w:tr>
        <w:tblPrEx>
          <w:tblCellMar>
            <w:top w:w="0" w:type="dxa"/>
            <w:left w:w="108" w:type="dxa"/>
            <w:bottom w:w="0" w:type="dxa"/>
            <w:right w:w="108" w:type="dxa"/>
          </w:tblCellMar>
        </w:tblPrEx>
        <w:trPr>
          <w:trHeight w:val="600" w:hRule="atLeast"/>
        </w:trPr>
        <w:tc>
          <w:tcPr>
            <w:tcW w:w="438"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8"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625"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r>
      <w:tr>
        <w:tblPrEx>
          <w:tblCellMar>
            <w:top w:w="0" w:type="dxa"/>
            <w:left w:w="108" w:type="dxa"/>
            <w:bottom w:w="0" w:type="dxa"/>
            <w:right w:w="108" w:type="dxa"/>
          </w:tblCellMar>
        </w:tblPrEx>
        <w:trPr>
          <w:trHeight w:val="600" w:hRule="atLeast"/>
        </w:trPr>
        <w:tc>
          <w:tcPr>
            <w:tcW w:w="438"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c>
          <w:tcPr>
            <w:tcW w:w="398"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c>
          <w:tcPr>
            <w:tcW w:w="625"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p>
        </w:tc>
      </w:tr>
      <w:tr>
        <w:tblPrEx>
          <w:tblCellMar>
            <w:top w:w="0" w:type="dxa"/>
            <w:left w:w="108" w:type="dxa"/>
            <w:bottom w:w="0" w:type="dxa"/>
            <w:right w:w="108" w:type="dxa"/>
          </w:tblCellMar>
        </w:tblPrEx>
        <w:trPr>
          <w:trHeight w:val="600" w:hRule="atLeast"/>
        </w:trPr>
        <w:tc>
          <w:tcPr>
            <w:tcW w:w="438"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49"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8"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396"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550"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c>
          <w:tcPr>
            <w:tcW w:w="625" w:type="pct"/>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　</w:t>
            </w:r>
          </w:p>
        </w:tc>
      </w:tr>
      <w:tr>
        <w:tblPrEx>
          <w:tblCellMar>
            <w:top w:w="0" w:type="dxa"/>
            <w:left w:w="108" w:type="dxa"/>
            <w:bottom w:w="0" w:type="dxa"/>
            <w:right w:w="108" w:type="dxa"/>
          </w:tblCellMar>
        </w:tblPrEx>
        <w:trPr>
          <w:trHeight w:val="799" w:hRule="atLeast"/>
        </w:trPr>
        <w:tc>
          <w:tcPr>
            <w:tcW w:w="438" w:type="pct"/>
            <w:tcBorders>
              <w:top w:val="nil"/>
              <w:left w:val="nil"/>
              <w:bottom w:val="nil"/>
              <w:right w:val="nil"/>
            </w:tcBorders>
            <w:shd w:val="clear" w:color="auto" w:fill="auto"/>
            <w:vAlign w:val="center"/>
          </w:tcPr>
          <w:p>
            <w:pPr>
              <w:widowControl/>
              <w:jc w:val="left"/>
              <w:rPr>
                <w:rFonts w:ascii="Times New Roman" w:hAnsi="Times New Roman" w:eastAsia="仿宋" w:cs="Tahoma"/>
                <w:kern w:val="0"/>
                <w:sz w:val="24"/>
                <w:szCs w:val="24"/>
              </w:rPr>
            </w:pPr>
          </w:p>
        </w:tc>
        <w:tc>
          <w:tcPr>
            <w:tcW w:w="549"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549"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549"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398"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396"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2121" w:type="pct"/>
            <w:gridSpan w:val="4"/>
            <w:tcBorders>
              <w:top w:val="single" w:color="auto" w:sz="4" w:space="0"/>
              <w:left w:val="nil"/>
              <w:bottom w:val="nil"/>
              <w:right w:val="nil"/>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公示单位：**</w:t>
            </w:r>
            <w:r>
              <w:rPr>
                <w:rFonts w:hint="eastAsia" w:ascii="Times New Roman" w:hAnsi="Times New Roman" w:eastAsia="仿宋" w:cs="Tahoma"/>
                <w:kern w:val="0"/>
                <w:sz w:val="24"/>
                <w:szCs w:val="24"/>
              </w:rPr>
              <w:t xml:space="preserve">镇  </w:t>
            </w:r>
            <w:r>
              <w:rPr>
                <w:rFonts w:ascii="Times New Roman" w:hAnsi="Times New Roman" w:eastAsia="仿宋" w:cs="Tahoma"/>
                <w:kern w:val="0"/>
                <w:sz w:val="24"/>
                <w:szCs w:val="24"/>
              </w:rPr>
              <w:t>**村民委员会（盖章）</w:t>
            </w:r>
          </w:p>
        </w:tc>
      </w:tr>
      <w:tr>
        <w:tblPrEx>
          <w:tblCellMar>
            <w:top w:w="0" w:type="dxa"/>
            <w:left w:w="108" w:type="dxa"/>
            <w:bottom w:w="0" w:type="dxa"/>
            <w:right w:w="108" w:type="dxa"/>
          </w:tblCellMar>
        </w:tblPrEx>
        <w:trPr>
          <w:trHeight w:val="600" w:hRule="atLeast"/>
        </w:trPr>
        <w:tc>
          <w:tcPr>
            <w:tcW w:w="438" w:type="pct"/>
            <w:tcBorders>
              <w:top w:val="nil"/>
              <w:left w:val="nil"/>
              <w:bottom w:val="nil"/>
              <w:right w:val="nil"/>
            </w:tcBorders>
            <w:shd w:val="clear" w:color="auto" w:fill="auto"/>
            <w:vAlign w:val="center"/>
          </w:tcPr>
          <w:p>
            <w:pPr>
              <w:widowControl/>
              <w:jc w:val="center"/>
              <w:rPr>
                <w:rFonts w:ascii="Times New Roman" w:hAnsi="Times New Roman" w:eastAsia="仿宋" w:cs="Tahoma"/>
                <w:kern w:val="0"/>
                <w:sz w:val="24"/>
                <w:szCs w:val="24"/>
              </w:rPr>
            </w:pPr>
          </w:p>
        </w:tc>
        <w:tc>
          <w:tcPr>
            <w:tcW w:w="549"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549"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549"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398"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396" w:type="pct"/>
            <w:tcBorders>
              <w:top w:val="nil"/>
              <w:left w:val="nil"/>
              <w:bottom w:val="nil"/>
              <w:right w:val="nil"/>
            </w:tcBorders>
            <w:shd w:val="clear" w:color="auto" w:fill="auto"/>
            <w:vAlign w:val="center"/>
          </w:tcPr>
          <w:p>
            <w:pPr>
              <w:widowControl/>
              <w:jc w:val="left"/>
              <w:rPr>
                <w:rFonts w:ascii="Times New Roman" w:hAnsi="Times New Roman" w:eastAsia="仿宋" w:cs="Times New Roman"/>
                <w:kern w:val="0"/>
                <w:sz w:val="20"/>
                <w:szCs w:val="20"/>
              </w:rPr>
            </w:pPr>
          </w:p>
        </w:tc>
        <w:tc>
          <w:tcPr>
            <w:tcW w:w="2121" w:type="pct"/>
            <w:gridSpan w:val="4"/>
            <w:tcBorders>
              <w:top w:val="nil"/>
              <w:left w:val="nil"/>
              <w:bottom w:val="nil"/>
              <w:right w:val="nil"/>
            </w:tcBorders>
            <w:shd w:val="clear" w:color="auto" w:fill="auto"/>
            <w:vAlign w:val="center"/>
          </w:tcPr>
          <w:p>
            <w:pPr>
              <w:widowControl/>
              <w:jc w:val="center"/>
              <w:rPr>
                <w:rFonts w:ascii="Times New Roman" w:hAnsi="Times New Roman" w:eastAsia="仿宋" w:cs="Tahoma"/>
                <w:kern w:val="0"/>
                <w:sz w:val="24"/>
                <w:szCs w:val="24"/>
              </w:rPr>
            </w:pPr>
            <w:r>
              <w:rPr>
                <w:rFonts w:ascii="Times New Roman" w:hAnsi="Times New Roman" w:eastAsia="仿宋" w:cs="Tahoma"/>
                <w:kern w:val="0"/>
                <w:sz w:val="24"/>
                <w:szCs w:val="24"/>
              </w:rPr>
              <w:t>年   月   日</w:t>
            </w:r>
          </w:p>
        </w:tc>
      </w:tr>
      <w:tr>
        <w:tblPrEx>
          <w:tblCellMar>
            <w:top w:w="0" w:type="dxa"/>
            <w:left w:w="108" w:type="dxa"/>
            <w:bottom w:w="0" w:type="dxa"/>
            <w:right w:w="108" w:type="dxa"/>
          </w:tblCellMar>
        </w:tblPrEx>
        <w:trPr>
          <w:trHeight w:val="600" w:hRule="atLeast"/>
        </w:trPr>
        <w:tc>
          <w:tcPr>
            <w:tcW w:w="438" w:type="pct"/>
            <w:tcBorders>
              <w:top w:val="nil"/>
              <w:left w:val="nil"/>
              <w:bottom w:val="nil"/>
              <w:right w:val="nil"/>
            </w:tcBorders>
            <w:shd w:val="clear" w:color="auto" w:fill="auto"/>
            <w:noWrap/>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联系人：</w:t>
            </w:r>
          </w:p>
        </w:tc>
        <w:tc>
          <w:tcPr>
            <w:tcW w:w="549" w:type="pct"/>
            <w:tcBorders>
              <w:top w:val="nil"/>
              <w:left w:val="nil"/>
              <w:bottom w:val="nil"/>
              <w:right w:val="nil"/>
            </w:tcBorders>
            <w:shd w:val="clear" w:color="auto" w:fill="auto"/>
            <w:noWrap/>
            <w:vAlign w:val="center"/>
          </w:tcPr>
          <w:p>
            <w:pPr>
              <w:widowControl/>
              <w:jc w:val="left"/>
              <w:rPr>
                <w:rFonts w:ascii="Times New Roman" w:hAnsi="Times New Roman" w:eastAsia="仿宋" w:cs="Tahoma"/>
                <w:kern w:val="0"/>
                <w:sz w:val="24"/>
                <w:szCs w:val="24"/>
              </w:rPr>
            </w:pPr>
          </w:p>
        </w:tc>
        <w:tc>
          <w:tcPr>
            <w:tcW w:w="549" w:type="pct"/>
            <w:tcBorders>
              <w:top w:val="nil"/>
              <w:left w:val="nil"/>
              <w:bottom w:val="nil"/>
              <w:right w:val="nil"/>
            </w:tcBorders>
            <w:shd w:val="clear" w:color="auto" w:fill="auto"/>
            <w:noWrap/>
            <w:vAlign w:val="center"/>
          </w:tcPr>
          <w:p>
            <w:pPr>
              <w:widowControl/>
              <w:jc w:val="left"/>
              <w:rPr>
                <w:rFonts w:ascii="Times New Roman" w:hAnsi="Times New Roman" w:eastAsia="仿宋" w:cs="Times New Roman"/>
                <w:kern w:val="0"/>
                <w:sz w:val="20"/>
                <w:szCs w:val="20"/>
              </w:rPr>
            </w:pPr>
          </w:p>
        </w:tc>
        <w:tc>
          <w:tcPr>
            <w:tcW w:w="549" w:type="pct"/>
            <w:tcBorders>
              <w:top w:val="nil"/>
              <w:left w:val="nil"/>
              <w:bottom w:val="nil"/>
              <w:right w:val="nil"/>
            </w:tcBorders>
            <w:shd w:val="clear" w:color="auto" w:fill="auto"/>
            <w:noWrap/>
            <w:vAlign w:val="center"/>
          </w:tcPr>
          <w:p>
            <w:pPr>
              <w:widowControl/>
              <w:jc w:val="left"/>
              <w:rPr>
                <w:rFonts w:ascii="Times New Roman" w:hAnsi="Times New Roman" w:eastAsia="仿宋" w:cs="Tahoma"/>
                <w:kern w:val="0"/>
                <w:sz w:val="24"/>
                <w:szCs w:val="24"/>
              </w:rPr>
            </w:pPr>
            <w:r>
              <w:rPr>
                <w:rFonts w:ascii="Times New Roman" w:hAnsi="Times New Roman" w:eastAsia="仿宋" w:cs="Tahoma"/>
                <w:kern w:val="0"/>
                <w:sz w:val="24"/>
                <w:szCs w:val="24"/>
              </w:rPr>
              <w:t>联系电话：</w:t>
            </w:r>
          </w:p>
        </w:tc>
        <w:tc>
          <w:tcPr>
            <w:tcW w:w="398" w:type="pct"/>
            <w:tcBorders>
              <w:top w:val="nil"/>
              <w:left w:val="nil"/>
              <w:bottom w:val="nil"/>
              <w:right w:val="nil"/>
            </w:tcBorders>
            <w:shd w:val="clear" w:color="auto" w:fill="auto"/>
            <w:noWrap/>
            <w:vAlign w:val="center"/>
          </w:tcPr>
          <w:p>
            <w:pPr>
              <w:widowControl/>
              <w:jc w:val="left"/>
              <w:rPr>
                <w:rFonts w:ascii="Times New Roman" w:hAnsi="Times New Roman" w:eastAsia="仿宋" w:cs="Tahoma"/>
                <w:kern w:val="0"/>
                <w:sz w:val="24"/>
                <w:szCs w:val="24"/>
              </w:rPr>
            </w:pPr>
          </w:p>
        </w:tc>
        <w:tc>
          <w:tcPr>
            <w:tcW w:w="396" w:type="pct"/>
            <w:tcBorders>
              <w:top w:val="nil"/>
              <w:left w:val="nil"/>
              <w:bottom w:val="nil"/>
              <w:right w:val="nil"/>
            </w:tcBorders>
            <w:shd w:val="clear" w:color="auto" w:fill="auto"/>
            <w:noWrap/>
            <w:vAlign w:val="center"/>
          </w:tcPr>
          <w:p>
            <w:pPr>
              <w:widowControl/>
              <w:jc w:val="left"/>
              <w:rPr>
                <w:rFonts w:ascii="Times New Roman" w:hAnsi="Times New Roman" w:eastAsia="仿宋" w:cs="Times New Roman"/>
                <w:kern w:val="0"/>
                <w:sz w:val="20"/>
                <w:szCs w:val="20"/>
              </w:rPr>
            </w:pPr>
          </w:p>
        </w:tc>
        <w:tc>
          <w:tcPr>
            <w:tcW w:w="396" w:type="pct"/>
            <w:tcBorders>
              <w:top w:val="nil"/>
              <w:left w:val="nil"/>
              <w:bottom w:val="nil"/>
              <w:right w:val="nil"/>
            </w:tcBorders>
            <w:shd w:val="clear" w:color="auto" w:fill="auto"/>
            <w:noWrap/>
            <w:vAlign w:val="center"/>
          </w:tcPr>
          <w:p>
            <w:pPr>
              <w:widowControl/>
              <w:jc w:val="left"/>
              <w:rPr>
                <w:rFonts w:ascii="Times New Roman" w:hAnsi="Times New Roman" w:eastAsia="仿宋" w:cs="Times New Roman"/>
                <w:kern w:val="0"/>
                <w:sz w:val="20"/>
                <w:szCs w:val="20"/>
              </w:rPr>
            </w:pPr>
          </w:p>
        </w:tc>
        <w:tc>
          <w:tcPr>
            <w:tcW w:w="550" w:type="pct"/>
            <w:tcBorders>
              <w:top w:val="nil"/>
              <w:left w:val="nil"/>
              <w:bottom w:val="nil"/>
              <w:right w:val="nil"/>
            </w:tcBorders>
            <w:shd w:val="clear" w:color="auto" w:fill="auto"/>
            <w:noWrap/>
            <w:vAlign w:val="center"/>
          </w:tcPr>
          <w:p>
            <w:pPr>
              <w:widowControl/>
              <w:jc w:val="left"/>
              <w:rPr>
                <w:rFonts w:ascii="Times New Roman" w:hAnsi="Times New Roman" w:eastAsia="仿宋" w:cs="Times New Roman"/>
                <w:kern w:val="0"/>
                <w:sz w:val="20"/>
                <w:szCs w:val="20"/>
              </w:rPr>
            </w:pPr>
          </w:p>
        </w:tc>
        <w:tc>
          <w:tcPr>
            <w:tcW w:w="550" w:type="pct"/>
            <w:tcBorders>
              <w:top w:val="nil"/>
              <w:left w:val="nil"/>
              <w:bottom w:val="nil"/>
              <w:right w:val="nil"/>
            </w:tcBorders>
            <w:shd w:val="clear" w:color="auto" w:fill="auto"/>
            <w:noWrap/>
            <w:vAlign w:val="center"/>
          </w:tcPr>
          <w:p>
            <w:pPr>
              <w:widowControl/>
              <w:jc w:val="left"/>
              <w:rPr>
                <w:rFonts w:ascii="Times New Roman" w:hAnsi="Times New Roman" w:eastAsia="仿宋" w:cs="Times New Roman"/>
                <w:kern w:val="0"/>
                <w:sz w:val="20"/>
                <w:szCs w:val="20"/>
              </w:rPr>
            </w:pPr>
          </w:p>
        </w:tc>
        <w:tc>
          <w:tcPr>
            <w:tcW w:w="625" w:type="pct"/>
            <w:tcBorders>
              <w:top w:val="nil"/>
              <w:left w:val="nil"/>
              <w:bottom w:val="nil"/>
              <w:right w:val="nil"/>
            </w:tcBorders>
            <w:shd w:val="clear" w:color="auto" w:fill="auto"/>
            <w:noWrap/>
            <w:vAlign w:val="center"/>
          </w:tcPr>
          <w:p>
            <w:pPr>
              <w:widowControl/>
              <w:jc w:val="left"/>
              <w:rPr>
                <w:rFonts w:ascii="Times New Roman" w:hAnsi="Times New Roman" w:eastAsia="仿宋" w:cs="Times New Roman"/>
                <w:kern w:val="0"/>
                <w:sz w:val="20"/>
                <w:szCs w:val="20"/>
              </w:rPr>
            </w:pPr>
          </w:p>
        </w:tc>
      </w:tr>
      <w:bookmarkEnd w:id="18"/>
    </w:tbl>
    <w:p>
      <w:pPr>
        <w:shd w:val="clear" w:color="auto" w:fill="FFFFFF"/>
        <w:tabs>
          <w:tab w:val="left" w:pos="2127"/>
          <w:tab w:val="left" w:pos="2410"/>
        </w:tabs>
        <w:rPr>
          <w:rFonts w:ascii="Times New Roman" w:hAnsi="Times New Roman" w:eastAsia="仿宋"/>
          <w:sz w:val="32"/>
          <w:szCs w:val="32"/>
          <w:shd w:val="clear" w:color="auto" w:fill="FFFFFF"/>
        </w:rPr>
        <w:sectPr>
          <w:footerReference r:id="rId3" w:type="default"/>
          <w:pgSz w:w="11906" w:h="16838"/>
          <w:pgMar w:top="1701" w:right="1418" w:bottom="1701" w:left="1418" w:header="851" w:footer="992" w:gutter="0"/>
          <w:pgNumType w:fmt="numberInDash"/>
          <w:cols w:space="425" w:num="1"/>
          <w:docGrid w:type="lines" w:linePitch="312" w:charSpace="0"/>
        </w:sectPr>
      </w:pPr>
    </w:p>
    <w:p>
      <w:pPr>
        <w:spacing w:line="400" w:lineRule="exact"/>
        <w:rPr>
          <w:rFonts w:ascii="Times New Roman" w:hAnsi="Times New Roman" w:eastAsia="仿宋"/>
          <w:b/>
          <w:bCs/>
          <w:sz w:val="32"/>
          <w:szCs w:val="32"/>
          <w:shd w:val="clear" w:color="auto" w:fill="FFFFFF"/>
        </w:rPr>
      </w:pPr>
      <w:r>
        <w:rPr>
          <w:rFonts w:hint="eastAsia" w:ascii="Times New Roman" w:hAnsi="Times New Roman" w:eastAsia="仿宋"/>
          <w:b/>
          <w:bCs/>
          <w:sz w:val="32"/>
          <w:szCs w:val="32"/>
          <w:shd w:val="clear" w:color="auto" w:fill="FFFFFF"/>
        </w:rPr>
        <w:t>附件2-</w:t>
      </w:r>
      <w:r>
        <w:rPr>
          <w:rFonts w:ascii="Times New Roman" w:hAnsi="Times New Roman" w:eastAsia="仿宋"/>
          <w:b/>
          <w:bCs/>
          <w:sz w:val="32"/>
          <w:szCs w:val="32"/>
          <w:shd w:val="clear" w:color="auto" w:fill="FFFFFF"/>
        </w:rPr>
        <w:t>7</w:t>
      </w:r>
    </w:p>
    <w:p>
      <w:pPr>
        <w:widowControl/>
        <w:spacing w:line="500" w:lineRule="exact"/>
        <w:jc w:val="center"/>
        <w:rPr>
          <w:rFonts w:ascii="Times New Roman" w:hAnsi="Times New Roman" w:eastAsia="仿宋" w:cs="Tahoma"/>
          <w:b/>
          <w:bCs/>
          <w:kern w:val="0"/>
          <w:sz w:val="44"/>
          <w:szCs w:val="44"/>
        </w:rPr>
      </w:pPr>
      <w:r>
        <w:rPr>
          <w:rFonts w:hint="eastAsia" w:ascii="Times New Roman" w:hAnsi="Times New Roman" w:eastAsia="仿宋" w:cs="Tahoma"/>
          <w:b/>
          <w:bCs/>
          <w:kern w:val="0"/>
          <w:sz w:val="44"/>
          <w:szCs w:val="44"/>
        </w:rPr>
        <w:t>调查结果确认表</w:t>
      </w:r>
    </w:p>
    <w:p>
      <w:pPr>
        <w:widowControl/>
        <w:jc w:val="center"/>
        <w:rPr>
          <w:rFonts w:ascii="Times New Roman" w:hAnsi="Times New Roman" w:eastAsia="仿宋" w:cs="宋体"/>
          <w:b/>
          <w:bCs/>
          <w:kern w:val="0"/>
          <w:sz w:val="24"/>
          <w:szCs w:val="24"/>
        </w:rPr>
      </w:pPr>
      <w:r>
        <w:rPr>
          <w:rFonts w:hint="eastAsia" w:ascii="Times New Roman" w:hAnsi="Times New Roman" w:eastAsia="仿宋" w:cs="宋体"/>
          <w:b/>
          <w:bCs/>
          <w:kern w:val="0"/>
          <w:sz w:val="24"/>
          <w:szCs w:val="24"/>
        </w:rPr>
        <w:t>（格式范本）</w:t>
      </w:r>
    </w:p>
    <w:tbl>
      <w:tblPr>
        <w:tblStyle w:val="13"/>
        <w:tblW w:w="455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1595"/>
        <w:gridCol w:w="1229"/>
        <w:gridCol w:w="1787"/>
        <w:gridCol w:w="1012"/>
        <w:gridCol w:w="2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783" w:type="pct"/>
          <w:trHeight w:val="397" w:hRule="atLeast"/>
        </w:trPr>
        <w:tc>
          <w:tcPr>
            <w:tcW w:w="3216" w:type="pct"/>
            <w:gridSpan w:val="4"/>
            <w:tcBorders>
              <w:top w:val="nil"/>
              <w:left w:val="nil"/>
              <w:right w:val="nil"/>
            </w:tcBorders>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Tahoma"/>
                <w:kern w:val="0"/>
                <w:sz w:val="24"/>
                <w:szCs w:val="24"/>
              </w:rPr>
              <w:t>权利人：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序号</w:t>
            </w:r>
          </w:p>
        </w:tc>
        <w:tc>
          <w:tcPr>
            <w:tcW w:w="942" w:type="pct"/>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资产名称</w:t>
            </w:r>
          </w:p>
        </w:tc>
        <w:tc>
          <w:tcPr>
            <w:tcW w:w="726" w:type="pct"/>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资产类别</w:t>
            </w:r>
          </w:p>
        </w:tc>
        <w:tc>
          <w:tcPr>
            <w:tcW w:w="1055" w:type="pct"/>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规格尺寸</w:t>
            </w:r>
          </w:p>
        </w:tc>
        <w:tc>
          <w:tcPr>
            <w:tcW w:w="598" w:type="pct"/>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单位</w:t>
            </w:r>
          </w:p>
        </w:tc>
        <w:tc>
          <w:tcPr>
            <w:tcW w:w="1184" w:type="pct"/>
            <w:shd w:val="clear" w:color="auto" w:fill="auto"/>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数量（工程量）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4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26"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055"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59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118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p>
        </w:tc>
        <w:tc>
          <w:tcPr>
            <w:tcW w:w="942" w:type="pct"/>
            <w:shd w:val="clear" w:color="auto" w:fill="auto"/>
            <w:noWrap/>
            <w:vAlign w:val="center"/>
          </w:tcPr>
          <w:p>
            <w:pPr>
              <w:widowControl/>
              <w:jc w:val="left"/>
              <w:rPr>
                <w:rFonts w:ascii="Times New Roman" w:hAnsi="Times New Roman" w:eastAsia="仿宋" w:cs="宋体"/>
                <w:kern w:val="0"/>
                <w:sz w:val="22"/>
              </w:rPr>
            </w:pPr>
          </w:p>
        </w:tc>
        <w:tc>
          <w:tcPr>
            <w:tcW w:w="726" w:type="pct"/>
            <w:shd w:val="clear" w:color="auto" w:fill="auto"/>
            <w:noWrap/>
            <w:vAlign w:val="center"/>
          </w:tcPr>
          <w:p>
            <w:pPr>
              <w:widowControl/>
              <w:jc w:val="left"/>
              <w:rPr>
                <w:rFonts w:ascii="Times New Roman" w:hAnsi="Times New Roman" w:eastAsia="仿宋" w:cs="宋体"/>
                <w:kern w:val="0"/>
                <w:sz w:val="22"/>
              </w:rPr>
            </w:pPr>
          </w:p>
        </w:tc>
        <w:tc>
          <w:tcPr>
            <w:tcW w:w="1055" w:type="pct"/>
            <w:shd w:val="clear" w:color="auto" w:fill="auto"/>
            <w:noWrap/>
            <w:vAlign w:val="center"/>
          </w:tcPr>
          <w:p>
            <w:pPr>
              <w:widowControl/>
              <w:jc w:val="left"/>
              <w:rPr>
                <w:rFonts w:ascii="Times New Roman" w:hAnsi="Times New Roman" w:eastAsia="仿宋" w:cs="宋体"/>
                <w:kern w:val="0"/>
                <w:sz w:val="22"/>
              </w:rPr>
            </w:pPr>
          </w:p>
        </w:tc>
        <w:tc>
          <w:tcPr>
            <w:tcW w:w="598" w:type="pct"/>
            <w:shd w:val="clear" w:color="auto" w:fill="auto"/>
            <w:noWrap/>
            <w:vAlign w:val="center"/>
          </w:tcPr>
          <w:p>
            <w:pPr>
              <w:widowControl/>
              <w:jc w:val="left"/>
              <w:rPr>
                <w:rFonts w:ascii="Times New Roman" w:hAnsi="Times New Roman" w:eastAsia="仿宋" w:cs="宋体"/>
                <w:kern w:val="0"/>
                <w:sz w:val="22"/>
              </w:rPr>
            </w:pPr>
          </w:p>
        </w:tc>
        <w:tc>
          <w:tcPr>
            <w:tcW w:w="1184" w:type="pct"/>
            <w:shd w:val="clear" w:color="auto" w:fill="auto"/>
            <w:noWrap/>
            <w:vAlign w:val="center"/>
          </w:tcPr>
          <w:p>
            <w:pPr>
              <w:widowControl/>
              <w:jc w:val="left"/>
              <w:rPr>
                <w:rFonts w:ascii="Times New Roman" w:hAnsi="Times New Roman" w:eastAsia="仿宋"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p>
        </w:tc>
        <w:tc>
          <w:tcPr>
            <w:tcW w:w="942" w:type="pct"/>
            <w:shd w:val="clear" w:color="auto" w:fill="auto"/>
            <w:noWrap/>
            <w:vAlign w:val="center"/>
          </w:tcPr>
          <w:p>
            <w:pPr>
              <w:widowControl/>
              <w:jc w:val="left"/>
              <w:rPr>
                <w:rFonts w:ascii="Times New Roman" w:hAnsi="Times New Roman" w:eastAsia="仿宋" w:cs="宋体"/>
                <w:kern w:val="0"/>
                <w:sz w:val="22"/>
              </w:rPr>
            </w:pPr>
          </w:p>
        </w:tc>
        <w:tc>
          <w:tcPr>
            <w:tcW w:w="726" w:type="pct"/>
            <w:shd w:val="clear" w:color="auto" w:fill="auto"/>
            <w:noWrap/>
            <w:vAlign w:val="center"/>
          </w:tcPr>
          <w:p>
            <w:pPr>
              <w:widowControl/>
              <w:jc w:val="left"/>
              <w:rPr>
                <w:rFonts w:ascii="Times New Roman" w:hAnsi="Times New Roman" w:eastAsia="仿宋" w:cs="宋体"/>
                <w:kern w:val="0"/>
                <w:sz w:val="22"/>
              </w:rPr>
            </w:pPr>
          </w:p>
        </w:tc>
        <w:tc>
          <w:tcPr>
            <w:tcW w:w="1055" w:type="pct"/>
            <w:shd w:val="clear" w:color="auto" w:fill="auto"/>
            <w:noWrap/>
            <w:vAlign w:val="center"/>
          </w:tcPr>
          <w:p>
            <w:pPr>
              <w:widowControl/>
              <w:jc w:val="left"/>
              <w:rPr>
                <w:rFonts w:ascii="Times New Roman" w:hAnsi="Times New Roman" w:eastAsia="仿宋" w:cs="宋体"/>
                <w:kern w:val="0"/>
                <w:sz w:val="22"/>
              </w:rPr>
            </w:pPr>
          </w:p>
        </w:tc>
        <w:tc>
          <w:tcPr>
            <w:tcW w:w="598" w:type="pct"/>
            <w:shd w:val="clear" w:color="auto" w:fill="auto"/>
            <w:noWrap/>
            <w:vAlign w:val="center"/>
          </w:tcPr>
          <w:p>
            <w:pPr>
              <w:widowControl/>
              <w:jc w:val="left"/>
              <w:rPr>
                <w:rFonts w:ascii="Times New Roman" w:hAnsi="Times New Roman" w:eastAsia="仿宋" w:cs="宋体"/>
                <w:kern w:val="0"/>
                <w:sz w:val="22"/>
              </w:rPr>
            </w:pPr>
          </w:p>
        </w:tc>
        <w:tc>
          <w:tcPr>
            <w:tcW w:w="1184" w:type="pct"/>
            <w:shd w:val="clear" w:color="auto" w:fill="auto"/>
            <w:noWrap/>
            <w:vAlign w:val="center"/>
          </w:tcPr>
          <w:p>
            <w:pPr>
              <w:widowControl/>
              <w:jc w:val="left"/>
              <w:rPr>
                <w:rFonts w:ascii="Times New Roman" w:hAnsi="Times New Roman" w:eastAsia="仿宋"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2" w:type="pct"/>
            <w:shd w:val="clear" w:color="auto" w:fill="auto"/>
            <w:noWrap/>
            <w:vAlign w:val="center"/>
          </w:tcPr>
          <w:p>
            <w:pPr>
              <w:widowControl/>
              <w:jc w:val="left"/>
              <w:rPr>
                <w:rFonts w:ascii="Times New Roman" w:hAnsi="Times New Roman" w:eastAsia="仿宋" w:cs="宋体"/>
                <w:kern w:val="0"/>
                <w:sz w:val="22"/>
              </w:rPr>
            </w:pPr>
          </w:p>
        </w:tc>
        <w:tc>
          <w:tcPr>
            <w:tcW w:w="942" w:type="pct"/>
            <w:shd w:val="clear" w:color="auto" w:fill="auto"/>
            <w:noWrap/>
            <w:vAlign w:val="center"/>
          </w:tcPr>
          <w:p>
            <w:pPr>
              <w:widowControl/>
              <w:jc w:val="left"/>
              <w:rPr>
                <w:rFonts w:ascii="Times New Roman" w:hAnsi="Times New Roman" w:eastAsia="仿宋" w:cs="宋体"/>
                <w:kern w:val="0"/>
                <w:sz w:val="22"/>
              </w:rPr>
            </w:pPr>
          </w:p>
        </w:tc>
        <w:tc>
          <w:tcPr>
            <w:tcW w:w="726" w:type="pct"/>
            <w:shd w:val="clear" w:color="auto" w:fill="auto"/>
            <w:noWrap/>
            <w:vAlign w:val="center"/>
          </w:tcPr>
          <w:p>
            <w:pPr>
              <w:widowControl/>
              <w:jc w:val="left"/>
              <w:rPr>
                <w:rFonts w:ascii="Times New Roman" w:hAnsi="Times New Roman" w:eastAsia="仿宋" w:cs="宋体"/>
                <w:kern w:val="0"/>
                <w:sz w:val="22"/>
              </w:rPr>
            </w:pPr>
          </w:p>
        </w:tc>
        <w:tc>
          <w:tcPr>
            <w:tcW w:w="1055" w:type="pct"/>
            <w:shd w:val="clear" w:color="auto" w:fill="auto"/>
            <w:noWrap/>
            <w:vAlign w:val="center"/>
          </w:tcPr>
          <w:p>
            <w:pPr>
              <w:widowControl/>
              <w:jc w:val="left"/>
              <w:rPr>
                <w:rFonts w:ascii="Times New Roman" w:hAnsi="Times New Roman" w:eastAsia="仿宋" w:cs="宋体"/>
                <w:kern w:val="0"/>
                <w:sz w:val="22"/>
              </w:rPr>
            </w:pPr>
          </w:p>
        </w:tc>
        <w:tc>
          <w:tcPr>
            <w:tcW w:w="598" w:type="pct"/>
            <w:shd w:val="clear" w:color="auto" w:fill="auto"/>
            <w:noWrap/>
            <w:vAlign w:val="center"/>
          </w:tcPr>
          <w:p>
            <w:pPr>
              <w:widowControl/>
              <w:jc w:val="left"/>
              <w:rPr>
                <w:rFonts w:ascii="Times New Roman" w:hAnsi="Times New Roman" w:eastAsia="仿宋" w:cs="宋体"/>
                <w:kern w:val="0"/>
                <w:sz w:val="22"/>
              </w:rPr>
            </w:pPr>
          </w:p>
        </w:tc>
        <w:tc>
          <w:tcPr>
            <w:tcW w:w="1184" w:type="pct"/>
            <w:shd w:val="clear" w:color="auto" w:fill="auto"/>
            <w:noWrap/>
            <w:vAlign w:val="center"/>
          </w:tcPr>
          <w:p>
            <w:pPr>
              <w:widowControl/>
              <w:jc w:val="left"/>
              <w:rPr>
                <w:rFonts w:ascii="Times New Roman" w:hAnsi="Times New Roman" w:eastAsia="仿宋" w:cs="宋体"/>
                <w:kern w:val="0"/>
                <w:sz w:val="22"/>
              </w:rPr>
            </w:pPr>
          </w:p>
        </w:tc>
      </w:tr>
    </w:tbl>
    <w:p>
      <w:pPr>
        <w:spacing w:line="360" w:lineRule="auto"/>
        <w:jc w:val="left"/>
        <w:rPr>
          <w:rFonts w:ascii="Times New Roman" w:hAnsi="Times New Roman" w:eastAsia="仿宋" w:cs="Tahoma"/>
          <w:kern w:val="0"/>
          <w:sz w:val="24"/>
          <w:szCs w:val="24"/>
        </w:rPr>
      </w:pPr>
      <w:r>
        <w:rPr>
          <w:rFonts w:hint="eastAsia" w:ascii="Times New Roman" w:hAnsi="Times New Roman" w:eastAsia="仿宋" w:cs="Tahoma"/>
          <w:kern w:val="0"/>
          <w:sz w:val="24"/>
          <w:szCs w:val="24"/>
        </w:rPr>
        <w:t xml:space="preserve">权利人（签名、手印）： 村小组、村委会（签名、盖章）： </w:t>
      </w:r>
    </w:p>
    <w:p>
      <w:pPr>
        <w:spacing w:line="360" w:lineRule="auto"/>
        <w:jc w:val="left"/>
        <w:rPr>
          <w:rFonts w:ascii="Times New Roman" w:hAnsi="Times New Roman" w:eastAsia="仿宋" w:cs="Tahoma"/>
          <w:kern w:val="0"/>
          <w:sz w:val="24"/>
          <w:szCs w:val="24"/>
        </w:rPr>
      </w:pPr>
    </w:p>
    <w:p>
      <w:pPr>
        <w:spacing w:line="360" w:lineRule="auto"/>
        <w:jc w:val="left"/>
        <w:rPr>
          <w:rFonts w:ascii="Times New Roman" w:hAnsi="Times New Roman" w:eastAsia="仿宋" w:cs="Tahoma"/>
          <w:kern w:val="0"/>
          <w:sz w:val="24"/>
          <w:szCs w:val="24"/>
        </w:rPr>
      </w:pPr>
      <w:bookmarkStart w:id="28" w:name="_Hlk80686006"/>
      <w:r>
        <w:rPr>
          <w:rFonts w:hint="eastAsia" w:ascii="Times New Roman" w:hAnsi="Times New Roman" w:eastAsia="仿宋" w:cs="Tahoma"/>
          <w:kern w:val="0"/>
          <w:sz w:val="24"/>
          <w:szCs w:val="24"/>
        </w:rPr>
        <w:t>日期：                  日期：</w:t>
      </w:r>
    </w:p>
    <w:bookmarkEnd w:id="28"/>
    <w:p>
      <w:pPr>
        <w:spacing w:line="360" w:lineRule="auto"/>
        <w:jc w:val="left"/>
        <w:rPr>
          <w:rFonts w:ascii="Times New Roman" w:hAnsi="Times New Roman" w:eastAsia="仿宋" w:cs="Tahoma"/>
          <w:kern w:val="0"/>
          <w:sz w:val="24"/>
          <w:szCs w:val="24"/>
        </w:rPr>
      </w:pPr>
    </w:p>
    <w:p>
      <w:pPr>
        <w:spacing w:line="360" w:lineRule="auto"/>
        <w:jc w:val="left"/>
        <w:rPr>
          <w:rFonts w:ascii="Times New Roman" w:hAnsi="Times New Roman" w:eastAsia="仿宋" w:cs="Tahoma"/>
          <w:kern w:val="0"/>
          <w:sz w:val="24"/>
          <w:szCs w:val="24"/>
        </w:rPr>
      </w:pPr>
    </w:p>
    <w:p>
      <w:pPr>
        <w:spacing w:line="360" w:lineRule="auto"/>
        <w:jc w:val="left"/>
        <w:rPr>
          <w:rFonts w:ascii="Times New Roman" w:hAnsi="Times New Roman" w:eastAsia="仿宋" w:cs="Tahoma"/>
          <w:kern w:val="0"/>
          <w:sz w:val="24"/>
          <w:szCs w:val="24"/>
        </w:rPr>
      </w:pPr>
      <w:r>
        <w:rPr>
          <w:rFonts w:hint="eastAsia" w:ascii="Times New Roman" w:hAnsi="Times New Roman" w:eastAsia="仿宋" w:cs="Tahoma"/>
          <w:kern w:val="0"/>
          <w:sz w:val="24"/>
          <w:szCs w:val="24"/>
        </w:rPr>
        <w:t>镇 人民政府</w:t>
      </w:r>
      <w:bookmarkStart w:id="29" w:name="_Hlk80685992"/>
      <w:r>
        <w:rPr>
          <w:rFonts w:hint="eastAsia" w:ascii="Times New Roman" w:hAnsi="Times New Roman" w:eastAsia="仿宋" w:cs="Tahoma"/>
          <w:kern w:val="0"/>
          <w:sz w:val="24"/>
          <w:szCs w:val="24"/>
        </w:rPr>
        <w:t>（签名、盖章）</w:t>
      </w:r>
      <w:bookmarkEnd w:id="29"/>
      <w:r>
        <w:rPr>
          <w:rFonts w:hint="eastAsia" w:ascii="Times New Roman" w:hAnsi="Times New Roman" w:eastAsia="仿宋" w:cs="Tahoma"/>
          <w:kern w:val="0"/>
          <w:sz w:val="24"/>
          <w:szCs w:val="24"/>
        </w:rPr>
        <w:t>：审核单位（签名、盖章）：</w:t>
      </w:r>
    </w:p>
    <w:p>
      <w:pPr>
        <w:spacing w:line="360" w:lineRule="auto"/>
        <w:jc w:val="left"/>
        <w:rPr>
          <w:rFonts w:ascii="Times New Roman" w:hAnsi="Times New Roman" w:eastAsia="仿宋" w:cs="Tahoma"/>
          <w:kern w:val="0"/>
          <w:sz w:val="24"/>
          <w:szCs w:val="24"/>
        </w:rPr>
      </w:pPr>
    </w:p>
    <w:p>
      <w:pPr>
        <w:spacing w:line="360" w:lineRule="auto"/>
        <w:jc w:val="left"/>
        <w:rPr>
          <w:rFonts w:ascii="Times New Roman" w:hAnsi="Times New Roman" w:eastAsia="仿宋" w:cs="Tahoma"/>
          <w:kern w:val="0"/>
          <w:sz w:val="24"/>
          <w:szCs w:val="24"/>
        </w:rPr>
      </w:pPr>
      <w:r>
        <w:rPr>
          <w:rFonts w:hint="eastAsia" w:ascii="Times New Roman" w:hAnsi="Times New Roman" w:eastAsia="仿宋" w:cs="Tahoma"/>
          <w:kern w:val="0"/>
          <w:sz w:val="24"/>
          <w:szCs w:val="24"/>
        </w:rPr>
        <w:t>日期：                       日期：</w:t>
      </w:r>
    </w:p>
    <w:p>
      <w:pPr>
        <w:shd w:val="clear" w:color="auto" w:fill="FFFFFF"/>
        <w:tabs>
          <w:tab w:val="left" w:pos="2127"/>
          <w:tab w:val="left" w:pos="2410"/>
        </w:tabs>
        <w:rPr>
          <w:rFonts w:ascii="Times New Roman" w:hAnsi="Times New Roman" w:eastAsia="仿宋" w:cs="Tahoma"/>
          <w:kern w:val="0"/>
          <w:sz w:val="24"/>
          <w:szCs w:val="24"/>
        </w:rPr>
      </w:pPr>
    </w:p>
    <w:p>
      <w:pPr>
        <w:shd w:val="clear" w:color="auto" w:fill="FFFFFF"/>
        <w:tabs>
          <w:tab w:val="left" w:pos="2127"/>
          <w:tab w:val="left" w:pos="2410"/>
        </w:tabs>
        <w:rPr>
          <w:rFonts w:ascii="Times New Roman" w:hAnsi="Times New Roman" w:eastAsia="仿宋"/>
          <w:sz w:val="32"/>
          <w:szCs w:val="32"/>
          <w:shd w:val="clear" w:color="auto" w:fill="FFFFFF"/>
        </w:rPr>
      </w:pPr>
    </w:p>
    <w:p>
      <w:pPr>
        <w:shd w:val="clear" w:color="auto" w:fill="FFFFFF"/>
        <w:tabs>
          <w:tab w:val="left" w:pos="2127"/>
          <w:tab w:val="left" w:pos="2410"/>
        </w:tabs>
        <w:rPr>
          <w:rFonts w:ascii="Times New Roman" w:hAnsi="Times New Roman" w:eastAsia="仿宋"/>
          <w:sz w:val="32"/>
          <w:szCs w:val="32"/>
          <w:shd w:val="clear" w:color="auto" w:fill="FFFFFF"/>
        </w:rPr>
      </w:pPr>
    </w:p>
    <w:p>
      <w:pPr>
        <w:shd w:val="clear" w:color="auto" w:fill="FFFFFF"/>
        <w:tabs>
          <w:tab w:val="left" w:pos="2127"/>
          <w:tab w:val="left" w:pos="2410"/>
        </w:tabs>
        <w:rPr>
          <w:rFonts w:ascii="Times New Roman" w:hAnsi="Times New Roman" w:eastAsia="仿宋"/>
          <w:sz w:val="32"/>
          <w:szCs w:val="32"/>
          <w:shd w:val="clear" w:color="auto" w:fill="FFFFFF"/>
        </w:rPr>
      </w:pPr>
    </w:p>
    <w:p>
      <w:pPr>
        <w:spacing w:line="400" w:lineRule="exact"/>
        <w:rPr>
          <w:rFonts w:ascii="Times New Roman" w:hAnsi="Times New Roman" w:eastAsia="仿宋"/>
          <w:b/>
          <w:bCs/>
          <w:sz w:val="32"/>
          <w:szCs w:val="32"/>
          <w:shd w:val="clear" w:color="auto" w:fill="FFFFFF"/>
        </w:rPr>
      </w:pPr>
      <w:r>
        <w:rPr>
          <w:rFonts w:hint="eastAsia" w:ascii="Times New Roman" w:hAnsi="Times New Roman" w:eastAsia="仿宋"/>
          <w:b/>
          <w:bCs/>
          <w:sz w:val="32"/>
          <w:szCs w:val="32"/>
          <w:shd w:val="clear" w:color="auto" w:fill="FFFFFF"/>
        </w:rPr>
        <w:t>附件2-</w:t>
      </w:r>
      <w:r>
        <w:rPr>
          <w:rFonts w:ascii="Times New Roman" w:hAnsi="Times New Roman" w:eastAsia="仿宋"/>
          <w:b/>
          <w:bCs/>
          <w:sz w:val="32"/>
          <w:szCs w:val="32"/>
          <w:shd w:val="clear" w:color="auto" w:fill="FFFFFF"/>
        </w:rPr>
        <w:t>8</w:t>
      </w:r>
    </w:p>
    <w:p>
      <w:pPr>
        <w:widowControl/>
        <w:spacing w:line="500" w:lineRule="exact"/>
        <w:jc w:val="center"/>
        <w:rPr>
          <w:rFonts w:ascii="Times New Roman" w:hAnsi="Times New Roman" w:eastAsia="仿宋" w:cs="Tahoma"/>
          <w:b/>
          <w:bCs/>
          <w:color w:val="000000" w:themeColor="text1"/>
          <w:kern w:val="0"/>
          <w:sz w:val="44"/>
          <w:szCs w:val="44"/>
          <w:highlight w:val="none"/>
          <w14:textFill>
            <w14:solidFill>
              <w14:schemeClr w14:val="tx1"/>
            </w14:solidFill>
          </w14:textFill>
        </w:rPr>
      </w:pPr>
      <w:r>
        <w:rPr>
          <w:rFonts w:hint="eastAsia" w:ascii="Times New Roman" w:hAnsi="Times New Roman" w:eastAsia="仿宋" w:cs="Tahoma"/>
          <w:b/>
          <w:bCs/>
          <w:color w:val="000000" w:themeColor="text1"/>
          <w:kern w:val="0"/>
          <w:sz w:val="44"/>
          <w:szCs w:val="44"/>
          <w:highlight w:val="none"/>
          <w14:textFill>
            <w14:solidFill>
              <w14:schemeClr w14:val="tx1"/>
            </w14:solidFill>
          </w14:textFill>
        </w:rPr>
        <w:t>征地补偿登记表</w:t>
      </w:r>
    </w:p>
    <w:p>
      <w:pPr>
        <w:widowControl/>
        <w:jc w:val="center"/>
        <w:rPr>
          <w:rFonts w:ascii="Times New Roman" w:hAnsi="Times New Roman" w:eastAsia="仿宋" w:cs="宋体"/>
          <w:b/>
          <w:bCs/>
          <w:kern w:val="0"/>
          <w:sz w:val="24"/>
          <w:szCs w:val="24"/>
        </w:rPr>
      </w:pPr>
      <w:r>
        <w:rPr>
          <w:rFonts w:hint="eastAsia" w:ascii="Times New Roman" w:hAnsi="Times New Roman" w:eastAsia="仿宋" w:cs="宋体"/>
          <w:b/>
          <w:bCs/>
          <w:kern w:val="0"/>
          <w:sz w:val="24"/>
          <w:szCs w:val="24"/>
        </w:rPr>
        <w:t>（格式范本）</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2"/>
        <w:gridCol w:w="1307"/>
        <w:gridCol w:w="1307"/>
        <w:gridCol w:w="1307"/>
        <w:gridCol w:w="1307"/>
        <w:gridCol w:w="1787"/>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7"/>
            <w:tcBorders>
              <w:top w:val="nil"/>
              <w:left w:val="nil"/>
              <w:bottom w:val="nil"/>
              <w:right w:val="nil"/>
            </w:tcBorders>
            <w:shd w:val="clear" w:color="auto" w:fill="auto"/>
            <w:noWrap/>
            <w:vAlign w:val="center"/>
          </w:tcPr>
          <w:p>
            <w:pPr>
              <w:widowControl/>
              <w:jc w:val="left"/>
              <w:rPr>
                <w:rFonts w:ascii="Times New Roman" w:hAnsi="Times New Roman" w:eastAsia="仿宋" w:cs="宋体"/>
                <w:kern w:val="0"/>
                <w:sz w:val="22"/>
              </w:rPr>
            </w:pPr>
            <w:r>
              <w:rPr>
                <w:rFonts w:ascii="Times New Roman" w:hAnsi="Times New Roman" w:eastAsia="仿宋" w:cs="Tahoma"/>
                <w:kern w:val="0"/>
                <w:sz w:val="24"/>
                <w:szCs w:val="24"/>
              </w:rPr>
              <w:t>征地项目名称：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30" w:type="pct"/>
            <w:gridSpan w:val="4"/>
            <w:tcBorders>
              <w:top w:val="nil"/>
              <w:left w:val="nil"/>
              <w:right w:val="nil"/>
            </w:tcBorders>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Tahoma"/>
                <w:kern w:val="0"/>
                <w:sz w:val="24"/>
                <w:szCs w:val="24"/>
              </w:rPr>
              <w:t>权利人：</w:t>
            </w:r>
          </w:p>
        </w:tc>
        <w:tc>
          <w:tcPr>
            <w:tcW w:w="2370" w:type="pct"/>
            <w:gridSpan w:val="3"/>
            <w:tcBorders>
              <w:top w:val="nil"/>
              <w:left w:val="nil"/>
              <w:right w:val="nil"/>
            </w:tcBorders>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Tahoma"/>
                <w:kern w:val="0"/>
                <w:sz w:val="24"/>
                <w:szCs w:val="24"/>
              </w:rPr>
              <w:t>所在村小组：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序号</w:t>
            </w:r>
          </w:p>
        </w:tc>
        <w:tc>
          <w:tcPr>
            <w:tcW w:w="704" w:type="pct"/>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资产名称</w:t>
            </w:r>
          </w:p>
        </w:tc>
        <w:tc>
          <w:tcPr>
            <w:tcW w:w="704" w:type="pct"/>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资产类别</w:t>
            </w:r>
          </w:p>
        </w:tc>
        <w:tc>
          <w:tcPr>
            <w:tcW w:w="1307" w:type="dxa"/>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单位</w:t>
            </w:r>
          </w:p>
        </w:tc>
        <w:tc>
          <w:tcPr>
            <w:tcW w:w="1307" w:type="dxa"/>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数量（工程量）</w:t>
            </w:r>
          </w:p>
        </w:tc>
        <w:tc>
          <w:tcPr>
            <w:tcW w:w="1788" w:type="dxa"/>
            <w:shd w:val="clear" w:color="auto" w:fill="auto"/>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color w:val="000000" w:themeColor="text1"/>
                <w:kern w:val="0"/>
                <w:sz w:val="22"/>
                <w14:textFill>
                  <w14:solidFill>
                    <w14:schemeClr w14:val="tx1"/>
                  </w14:solidFill>
                </w14:textFill>
              </w:rPr>
              <w:t>补偿金额（元</w:t>
            </w:r>
            <w:r>
              <w:rPr>
                <w:rFonts w:hint="eastAsia" w:ascii="Times New Roman" w:hAnsi="Times New Roman" w:eastAsia="仿宋" w:cs="宋体"/>
                <w:kern w:val="0"/>
                <w:sz w:val="22"/>
              </w:rPr>
              <w:t>）</w:t>
            </w:r>
          </w:p>
        </w:tc>
        <w:tc>
          <w:tcPr>
            <w:tcW w:w="1308" w:type="dxa"/>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补偿依据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962"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c>
          <w:tcPr>
            <w:tcW w:w="704" w:type="pct"/>
            <w:shd w:val="clear" w:color="auto" w:fill="auto"/>
            <w:noWrap/>
            <w:vAlign w:val="center"/>
          </w:tcPr>
          <w:p>
            <w:pPr>
              <w:widowControl/>
              <w:jc w:val="left"/>
              <w:rPr>
                <w:rFonts w:ascii="Times New Roman" w:hAnsi="Times New Roman" w:eastAsia="仿宋" w:cs="宋体"/>
                <w:kern w:val="0"/>
                <w:sz w:val="22"/>
              </w:rPr>
            </w:pPr>
            <w:r>
              <w:rPr>
                <w:rFonts w:hint="eastAsia" w:ascii="Times New Roman" w:hAnsi="Times New Roman" w:eastAsia="仿宋"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962"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962"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c>
          <w:tcPr>
            <w:tcW w:w="962" w:type="pct"/>
            <w:shd w:val="clear" w:color="auto" w:fill="auto"/>
            <w:noWrap/>
            <w:vAlign w:val="center"/>
          </w:tcPr>
          <w:p>
            <w:pPr>
              <w:widowControl/>
              <w:jc w:val="left"/>
              <w:rPr>
                <w:rFonts w:ascii="Times New Roman" w:hAnsi="Times New Roman" w:eastAsia="仿宋" w:cs="宋体"/>
                <w:kern w:val="0"/>
                <w:sz w:val="22"/>
              </w:rPr>
            </w:pPr>
          </w:p>
        </w:tc>
        <w:tc>
          <w:tcPr>
            <w:tcW w:w="704" w:type="pct"/>
            <w:shd w:val="clear" w:color="auto" w:fill="auto"/>
            <w:noWrap/>
            <w:vAlign w:val="center"/>
          </w:tcPr>
          <w:p>
            <w:pPr>
              <w:widowControl/>
              <w:jc w:val="left"/>
              <w:rPr>
                <w:rFonts w:ascii="Times New Roman" w:hAnsi="Times New Roman" w:eastAsia="仿宋" w:cs="宋体"/>
                <w:kern w:val="0"/>
                <w:sz w:val="22"/>
              </w:rPr>
            </w:pPr>
          </w:p>
        </w:tc>
      </w:tr>
    </w:tbl>
    <w:p>
      <w:pPr>
        <w:spacing w:line="360" w:lineRule="auto"/>
        <w:jc w:val="left"/>
        <w:rPr>
          <w:rFonts w:ascii="Times New Roman" w:hAnsi="Times New Roman" w:eastAsia="仿宋" w:cs="Tahoma"/>
          <w:kern w:val="0"/>
          <w:sz w:val="24"/>
          <w:szCs w:val="24"/>
        </w:rPr>
      </w:pPr>
      <w:r>
        <w:rPr>
          <w:rFonts w:hint="eastAsia" w:ascii="Times New Roman" w:hAnsi="Times New Roman" w:eastAsia="仿宋" w:cs="Tahoma"/>
          <w:kern w:val="0"/>
          <w:sz w:val="24"/>
          <w:szCs w:val="24"/>
        </w:rPr>
        <w:t xml:space="preserve">权利人（签名、手印）：           村小组、村委会（签名、盖章）： </w:t>
      </w:r>
    </w:p>
    <w:p>
      <w:pPr>
        <w:spacing w:line="360" w:lineRule="auto"/>
        <w:jc w:val="left"/>
        <w:rPr>
          <w:rFonts w:ascii="Times New Roman" w:hAnsi="Times New Roman" w:eastAsia="仿宋" w:cs="Tahoma"/>
          <w:kern w:val="0"/>
          <w:sz w:val="24"/>
          <w:szCs w:val="24"/>
        </w:rPr>
      </w:pPr>
    </w:p>
    <w:p>
      <w:pPr>
        <w:spacing w:line="360" w:lineRule="auto"/>
        <w:jc w:val="left"/>
        <w:rPr>
          <w:rFonts w:ascii="Times New Roman" w:hAnsi="Times New Roman" w:eastAsia="仿宋" w:cs="Tahoma"/>
          <w:kern w:val="0"/>
          <w:sz w:val="24"/>
          <w:szCs w:val="24"/>
        </w:rPr>
      </w:pPr>
      <w:r>
        <w:rPr>
          <w:rFonts w:hint="eastAsia" w:ascii="Times New Roman" w:hAnsi="Times New Roman" w:eastAsia="仿宋" w:cs="Tahoma"/>
          <w:kern w:val="0"/>
          <w:sz w:val="24"/>
          <w:szCs w:val="24"/>
        </w:rPr>
        <w:t>日期：                            日期：</w:t>
      </w:r>
    </w:p>
    <w:p>
      <w:pPr>
        <w:spacing w:line="360" w:lineRule="auto"/>
        <w:jc w:val="left"/>
        <w:rPr>
          <w:rFonts w:ascii="Times New Roman" w:hAnsi="Times New Roman" w:eastAsia="仿宋" w:cs="Tahoma"/>
          <w:kern w:val="0"/>
          <w:sz w:val="24"/>
          <w:szCs w:val="24"/>
        </w:rPr>
      </w:pPr>
    </w:p>
    <w:p>
      <w:pPr>
        <w:spacing w:line="360" w:lineRule="auto"/>
        <w:jc w:val="left"/>
        <w:rPr>
          <w:rFonts w:ascii="Times New Roman" w:hAnsi="Times New Roman" w:eastAsia="仿宋" w:cs="Tahoma"/>
          <w:kern w:val="0"/>
          <w:sz w:val="24"/>
          <w:szCs w:val="24"/>
        </w:rPr>
      </w:pPr>
    </w:p>
    <w:p>
      <w:pPr>
        <w:spacing w:line="360" w:lineRule="auto"/>
        <w:jc w:val="left"/>
        <w:rPr>
          <w:rFonts w:ascii="Times New Roman" w:hAnsi="Times New Roman" w:eastAsia="仿宋" w:cs="Tahoma"/>
          <w:kern w:val="0"/>
          <w:sz w:val="24"/>
          <w:szCs w:val="24"/>
        </w:rPr>
      </w:pPr>
      <w:r>
        <w:rPr>
          <w:rFonts w:hint="eastAsia" w:ascii="Times New Roman" w:hAnsi="Times New Roman" w:eastAsia="仿宋" w:cs="Tahoma"/>
          <w:kern w:val="0"/>
          <w:sz w:val="24"/>
          <w:szCs w:val="24"/>
        </w:rPr>
        <w:t>镇 人民政府（签名、盖章）：      审核单位（签名、盖章）：</w:t>
      </w:r>
    </w:p>
    <w:p>
      <w:pPr>
        <w:spacing w:line="360" w:lineRule="auto"/>
        <w:jc w:val="left"/>
        <w:rPr>
          <w:rFonts w:ascii="Times New Roman" w:hAnsi="Times New Roman" w:eastAsia="仿宋" w:cs="Tahoma"/>
          <w:kern w:val="0"/>
          <w:sz w:val="24"/>
          <w:szCs w:val="24"/>
        </w:rPr>
      </w:pPr>
    </w:p>
    <w:p>
      <w:pPr>
        <w:spacing w:line="360" w:lineRule="auto"/>
        <w:jc w:val="left"/>
        <w:rPr>
          <w:rFonts w:ascii="Times New Roman" w:hAnsi="Times New Roman" w:eastAsia="仿宋"/>
          <w:sz w:val="32"/>
          <w:szCs w:val="32"/>
          <w:shd w:val="clear" w:color="auto" w:fill="FFFFFF"/>
        </w:rPr>
        <w:sectPr>
          <w:pgSz w:w="11906" w:h="16838"/>
          <w:pgMar w:top="1701" w:right="1418" w:bottom="1701" w:left="1418" w:header="851" w:footer="992" w:gutter="0"/>
          <w:pgNumType w:fmt="numberInDash"/>
          <w:cols w:space="425" w:num="1"/>
          <w:docGrid w:type="lines" w:linePitch="312" w:charSpace="0"/>
        </w:sectPr>
      </w:pPr>
      <w:r>
        <w:rPr>
          <w:rFonts w:hint="eastAsia" w:ascii="Times New Roman" w:hAnsi="Times New Roman" w:eastAsia="仿宋" w:cs="Tahoma"/>
          <w:kern w:val="0"/>
          <w:sz w:val="24"/>
          <w:szCs w:val="24"/>
        </w:rPr>
        <w:t>日期：                            日期</w:t>
      </w:r>
    </w:p>
    <w:p>
      <w:pPr>
        <w:shd w:val="clear" w:color="auto" w:fill="FFFFFF"/>
        <w:tabs>
          <w:tab w:val="left" w:pos="2127"/>
          <w:tab w:val="left" w:pos="2410"/>
        </w:tabs>
        <w:outlineLvl w:val="0"/>
        <w:rPr>
          <w:rFonts w:ascii="Times New Roman" w:hAnsi="Times New Roman" w:eastAsia="仿宋"/>
          <w:sz w:val="32"/>
          <w:szCs w:val="32"/>
          <w:shd w:val="clear" w:color="auto" w:fill="FFFFFF"/>
        </w:rPr>
      </w:pPr>
      <w:r>
        <w:rPr>
          <w:rFonts w:hint="eastAsia" w:ascii="Times New Roman" w:hAnsi="Times New Roman" w:eastAsia="仿宋"/>
          <w:sz w:val="32"/>
          <w:szCs w:val="32"/>
          <w:shd w:val="clear" w:color="auto" w:fill="FFFFFF"/>
        </w:rPr>
        <w:t>附件3</w:t>
      </w:r>
    </w:p>
    <w:p>
      <w:pPr>
        <w:shd w:val="clear" w:color="auto" w:fill="FFFFFF"/>
        <w:tabs>
          <w:tab w:val="left" w:pos="2127"/>
          <w:tab w:val="left" w:pos="2410"/>
        </w:tabs>
        <w:jc w:val="center"/>
        <w:rPr>
          <w:rFonts w:ascii="Times New Roman" w:hAnsi="Times New Roman" w:eastAsia="仿宋"/>
          <w:b/>
          <w:bCs/>
          <w:sz w:val="44"/>
          <w:szCs w:val="44"/>
          <w:shd w:val="clear" w:color="auto" w:fill="FFFFFF"/>
        </w:rPr>
      </w:pPr>
      <w:r>
        <w:rPr>
          <w:rFonts w:hint="eastAsia" w:ascii="Times New Roman" w:hAnsi="Times New Roman" w:eastAsia="仿宋"/>
          <w:b/>
          <w:bCs/>
          <w:sz w:val="44"/>
          <w:szCs w:val="44"/>
          <w:shd w:val="clear" w:color="auto" w:fill="FFFFFF"/>
        </w:rPr>
        <w:t>办理补偿登记资料清单</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shd w:val="clear" w:color="auto" w:fill="FFFFFF"/>
        </w:rPr>
        <w:t>居民身份证</w:t>
      </w:r>
      <w:r>
        <w:rPr>
          <w:rFonts w:ascii="Times New Roman" w:hAnsi="Times New Roman" w:eastAsia="仿宋" w:cs="Times New Roman"/>
          <w:kern w:val="0"/>
          <w:sz w:val="32"/>
          <w:szCs w:val="32"/>
        </w:rPr>
        <w:t>或者其他身份证件材料；</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户口簿；</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结婚证；</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土地、房屋权属证明材料，包括：《不动产权证》《房地产权证》《土地使用证》《房屋所有权证》及建（构）筑物用地资料、建设报建资料、批准文件、凭证等；</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土地承包合同、土地承包经营权证、林权证等；</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土地租赁合同；</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房屋租赁合同；</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营业执照及其他经营证照；</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水域滩涂养殖使用证、海域使用证；</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工程预结算资料、施工合同、工程验收资料、资产购买合同和发票等；</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土地、房屋、建（构）筑物、设备、存货、青苗等补偿申报清单；</w:t>
      </w:r>
    </w:p>
    <w:p>
      <w:pPr>
        <w:numPr>
          <w:ilvl w:val="0"/>
          <w:numId w:val="16"/>
        </w:numPr>
        <w:tabs>
          <w:tab w:val="left" w:pos="1418"/>
        </w:tabs>
        <w:spacing w:line="560" w:lineRule="exact"/>
        <w:ind w:left="0"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与房屋、其他地上附着物和青苗补偿有关的其他资料。</w:t>
      </w:r>
    </w:p>
    <w:p>
      <w:pPr>
        <w:spacing w:line="560" w:lineRule="exact"/>
        <w:ind w:firstLine="640" w:firstLineChars="200"/>
        <w:rPr>
          <w:rFonts w:ascii="Times New Roman" w:hAnsi="Times New Roman" w:eastAsia="仿宋" w:cs="Times New Roman"/>
          <w:kern w:val="0"/>
          <w:sz w:val="32"/>
          <w:szCs w:val="32"/>
          <w:shd w:val="clear" w:color="auto" w:fill="FFFFFF"/>
        </w:rPr>
      </w:pPr>
      <w:r>
        <w:rPr>
          <w:rFonts w:ascii="Times New Roman" w:hAnsi="Times New Roman" w:eastAsia="仿宋" w:cs="Times New Roman"/>
          <w:kern w:val="0"/>
          <w:sz w:val="32"/>
          <w:szCs w:val="32"/>
          <w:shd w:val="clear" w:color="auto" w:fill="FFFFFF"/>
        </w:rPr>
        <w:t>拟征收土地的所有权人、使用权人应当提交上述资料的原件和复印件，经</w:t>
      </w:r>
      <w:r>
        <w:rPr>
          <w:rFonts w:hint="eastAsia" w:ascii="Times New Roman" w:hAnsi="Times New Roman" w:eastAsia="仿宋" w:cs="Times New Roman"/>
          <w:kern w:val="0"/>
          <w:sz w:val="32"/>
          <w:szCs w:val="32"/>
          <w:shd w:val="clear" w:color="auto" w:fill="FFFFFF"/>
        </w:rPr>
        <w:t xml:space="preserve">镇 </w:t>
      </w:r>
      <w:r>
        <w:rPr>
          <w:rFonts w:ascii="Times New Roman" w:hAnsi="Times New Roman" w:eastAsia="仿宋" w:cs="Times New Roman"/>
          <w:kern w:val="0"/>
          <w:sz w:val="32"/>
          <w:szCs w:val="32"/>
          <w:shd w:val="clear" w:color="auto" w:fill="FFFFFF"/>
        </w:rPr>
        <w:t>人民政府有关工作人员核对一致后，在复印件上注明“与原件核对一致”，并由资料提交人和核对人共同签名确认后留存，原件退还资料提交人。</w:t>
      </w: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shd w:val="clear" w:color="auto" w:fill="FFFFFF"/>
        <w:tabs>
          <w:tab w:val="left" w:pos="2127"/>
          <w:tab w:val="left" w:pos="2410"/>
        </w:tabs>
        <w:outlineLvl w:val="0"/>
        <w:rPr>
          <w:rFonts w:ascii="Times New Roman" w:hAnsi="Times New Roman" w:eastAsia="仿宋"/>
          <w:sz w:val="32"/>
          <w:szCs w:val="32"/>
          <w:shd w:val="clear" w:color="auto" w:fill="FFFFFF"/>
        </w:rPr>
      </w:pPr>
      <w:r>
        <w:rPr>
          <w:rFonts w:hint="eastAsia" w:ascii="Times New Roman" w:hAnsi="Times New Roman" w:eastAsia="仿宋"/>
          <w:sz w:val="32"/>
          <w:szCs w:val="32"/>
          <w:shd w:val="clear" w:color="auto" w:fill="FFFFFF"/>
        </w:rPr>
        <w:t>附件4</w:t>
      </w:r>
    </w:p>
    <w:p>
      <w:pPr>
        <w:widowControl/>
        <w:jc w:val="center"/>
        <w:rPr>
          <w:rFonts w:ascii="Times New Roman" w:hAnsi="Times New Roman" w:eastAsia="仿宋" w:cs="宋体"/>
          <w:kern w:val="0"/>
          <w:sz w:val="36"/>
          <w:szCs w:val="36"/>
        </w:rPr>
      </w:pPr>
      <w:r>
        <w:rPr>
          <w:rFonts w:hint="eastAsia" w:ascii="Times New Roman" w:hAnsi="Times New Roman" w:eastAsia="仿宋" w:cs="宋体"/>
          <w:kern w:val="0"/>
          <w:sz w:val="36"/>
          <w:szCs w:val="36"/>
        </w:rPr>
        <w:t>伯公庙、土地公等补偿</w:t>
      </w:r>
    </w:p>
    <w:tbl>
      <w:tblPr>
        <w:tblStyle w:val="13"/>
        <w:tblW w:w="9240" w:type="dxa"/>
        <w:tblInd w:w="93" w:type="dxa"/>
        <w:tblLayout w:type="autofit"/>
        <w:tblCellMar>
          <w:top w:w="0" w:type="dxa"/>
          <w:left w:w="108" w:type="dxa"/>
          <w:bottom w:w="0" w:type="dxa"/>
          <w:right w:w="108" w:type="dxa"/>
        </w:tblCellMar>
      </w:tblPr>
      <w:tblGrid>
        <w:gridCol w:w="1080"/>
        <w:gridCol w:w="2260"/>
        <w:gridCol w:w="2860"/>
        <w:gridCol w:w="3040"/>
      </w:tblGrid>
      <w:tr>
        <w:tblPrEx>
          <w:tblCellMar>
            <w:top w:w="0" w:type="dxa"/>
            <w:left w:w="108" w:type="dxa"/>
            <w:bottom w:w="0" w:type="dxa"/>
            <w:right w:w="108" w:type="dxa"/>
          </w:tblCellMar>
        </w:tblPrEx>
        <w:trPr>
          <w:trHeight w:val="480"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档次　</w:t>
            </w:r>
          </w:p>
        </w:tc>
        <w:tc>
          <w:tcPr>
            <w:tcW w:w="22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类型</w:t>
            </w:r>
          </w:p>
        </w:tc>
        <w:tc>
          <w:tcPr>
            <w:tcW w:w="2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补偿标准</w:t>
            </w:r>
          </w:p>
        </w:tc>
        <w:tc>
          <w:tcPr>
            <w:tcW w:w="30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备注</w:t>
            </w:r>
          </w:p>
        </w:tc>
      </w:tr>
      <w:tr>
        <w:tblPrEx>
          <w:tblCellMar>
            <w:top w:w="0" w:type="dxa"/>
            <w:left w:w="108" w:type="dxa"/>
            <w:bottom w:w="0" w:type="dxa"/>
            <w:right w:w="108" w:type="dxa"/>
          </w:tblCellMar>
        </w:tblPrEx>
        <w:trPr>
          <w:trHeight w:val="51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1</w:t>
            </w:r>
          </w:p>
        </w:tc>
        <w:tc>
          <w:tcPr>
            <w:tcW w:w="22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无围蔽、无上盖</w:t>
            </w:r>
          </w:p>
        </w:tc>
        <w:tc>
          <w:tcPr>
            <w:tcW w:w="28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1000元/个</w:t>
            </w:r>
          </w:p>
        </w:tc>
        <w:tc>
          <w:tcPr>
            <w:tcW w:w="30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无调整</w:t>
            </w:r>
          </w:p>
        </w:tc>
      </w:tr>
      <w:tr>
        <w:tblPrEx>
          <w:tblCellMar>
            <w:top w:w="0" w:type="dxa"/>
            <w:left w:w="108" w:type="dxa"/>
            <w:bottom w:w="0" w:type="dxa"/>
            <w:right w:w="108" w:type="dxa"/>
          </w:tblCellMar>
        </w:tblPrEx>
        <w:trPr>
          <w:trHeight w:val="52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2</w:t>
            </w:r>
          </w:p>
        </w:tc>
        <w:tc>
          <w:tcPr>
            <w:tcW w:w="22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三面围蔽，有上盖</w:t>
            </w:r>
          </w:p>
        </w:tc>
        <w:tc>
          <w:tcPr>
            <w:tcW w:w="28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1500元/个（1 立方及以下）</w:t>
            </w:r>
          </w:p>
        </w:tc>
        <w:tc>
          <w:tcPr>
            <w:tcW w:w="30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宋体"/>
                <w:kern w:val="0"/>
                <w:sz w:val="22"/>
              </w:rPr>
            </w:pPr>
            <w:r>
              <w:rPr>
                <w:rFonts w:hint="eastAsia" w:ascii="Times New Roman" w:hAnsi="Times New Roman" w:eastAsia="仿宋" w:cs="宋体"/>
                <w:kern w:val="0"/>
                <w:sz w:val="22"/>
              </w:rPr>
              <w:t>每增加1立方增加600元。</w:t>
            </w:r>
          </w:p>
        </w:tc>
      </w:tr>
    </w:tbl>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spacing w:val="-10"/>
          <w:sz w:val="32"/>
          <w:szCs w:val="32"/>
          <w:shd w:val="clear" w:color="auto" w:fill="FFFFFF"/>
        </w:rPr>
      </w:pPr>
    </w:p>
    <w:p>
      <w:pPr>
        <w:pStyle w:val="26"/>
        <w:spacing w:before="0" w:beforeAutospacing="0" w:after="0" w:afterAutospacing="0" w:line="520" w:lineRule="exact"/>
        <w:jc w:val="both"/>
        <w:rPr>
          <w:rFonts w:ascii="Times New Roman" w:hAnsi="Times New Roman" w:eastAsia="仿宋" w:cs="Times New Roman"/>
          <w:color w:val="000000" w:themeColor="text1"/>
          <w:spacing w:val="-10"/>
          <w:sz w:val="32"/>
          <w:szCs w:val="32"/>
          <w:shd w:val="clear" w:color="auto" w:fill="FFFFFF"/>
          <w14:textFill>
            <w14:solidFill>
              <w14:schemeClr w14:val="tx1"/>
            </w14:solidFill>
          </w14:textFill>
        </w:rPr>
      </w:pPr>
      <w:r>
        <w:rPr>
          <w:rFonts w:hint="eastAsia" w:ascii="Times New Roman" w:hAnsi="Times New Roman" w:eastAsia="仿宋" w:cs="Times New Roman"/>
          <w:color w:val="000000" w:themeColor="text1"/>
          <w:spacing w:val="-10"/>
          <w:sz w:val="32"/>
          <w:szCs w:val="32"/>
          <w:shd w:val="clear" w:color="auto" w:fill="FFFFFF"/>
          <w14:textFill>
            <w14:solidFill>
              <w14:schemeClr w14:val="tx1"/>
            </w14:solidFill>
          </w14:textFill>
        </w:rPr>
        <w:t>附件5</w:t>
      </w:r>
    </w:p>
    <w:p>
      <w:pPr>
        <w:widowControl/>
        <w:jc w:val="center"/>
        <w:rPr>
          <w:rFonts w:ascii="Times New Roman" w:hAnsi="Times New Roman" w:eastAsia="仿宋" w:cs="宋体"/>
          <w:color w:val="000000" w:themeColor="text1"/>
          <w:kern w:val="0"/>
          <w:sz w:val="36"/>
          <w:szCs w:val="36"/>
          <w14:textFill>
            <w14:solidFill>
              <w14:schemeClr w14:val="tx1"/>
            </w14:solidFill>
          </w14:textFill>
        </w:rPr>
      </w:pPr>
      <w:r>
        <w:rPr>
          <w:rFonts w:hint="eastAsia" w:ascii="Times New Roman" w:hAnsi="Times New Roman" w:eastAsia="仿宋" w:cs="宋体"/>
          <w:color w:val="000000" w:themeColor="text1"/>
          <w:kern w:val="0"/>
          <w:sz w:val="36"/>
          <w:szCs w:val="36"/>
          <w14:textFill>
            <w14:solidFill>
              <w14:schemeClr w14:val="tx1"/>
            </w14:solidFill>
          </w14:textFill>
        </w:rPr>
        <w:t>清点工作收费标准</w:t>
      </w:r>
    </w:p>
    <w:p>
      <w:pPr>
        <w:widowControl/>
        <w:jc w:val="center"/>
        <w:rPr>
          <w:rFonts w:ascii="Times New Roman" w:hAnsi="Times New Roman" w:eastAsia="仿宋" w:cs="宋体"/>
          <w:color w:val="000000" w:themeColor="text1"/>
          <w:kern w:val="0"/>
          <w:sz w:val="32"/>
          <w:szCs w:val="32"/>
          <w14:textFill>
            <w14:solidFill>
              <w14:schemeClr w14:val="tx1"/>
            </w14:solidFill>
          </w14:textFill>
        </w:rPr>
      </w:pPr>
      <w:r>
        <w:rPr>
          <w:rFonts w:hint="eastAsia" w:ascii="Times New Roman" w:hAnsi="Times New Roman" w:eastAsia="仿宋" w:cs="宋体"/>
          <w:color w:val="000000" w:themeColor="text1"/>
          <w:kern w:val="0"/>
          <w:sz w:val="32"/>
          <w:szCs w:val="32"/>
          <w14:textFill>
            <w14:solidFill>
              <w14:schemeClr w14:val="tx1"/>
            </w14:solidFill>
          </w14:textFill>
        </w:rPr>
        <w:t>一、苗木清点收费准</w:t>
      </w:r>
    </w:p>
    <w:tbl>
      <w:tblPr>
        <w:tblStyle w:val="13"/>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3118"/>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560" w:type="dxa"/>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档次</w:t>
            </w:r>
          </w:p>
        </w:tc>
        <w:tc>
          <w:tcPr>
            <w:tcW w:w="3118" w:type="dxa"/>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种植面积</w:t>
            </w:r>
          </w:p>
        </w:tc>
        <w:tc>
          <w:tcPr>
            <w:tcW w:w="2410" w:type="dxa"/>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计费标准</w:t>
            </w:r>
          </w:p>
        </w:tc>
        <w:tc>
          <w:tcPr>
            <w:tcW w:w="2126" w:type="dxa"/>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1560" w:type="dxa"/>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1</w:t>
            </w:r>
          </w:p>
        </w:tc>
        <w:tc>
          <w:tcPr>
            <w:tcW w:w="3118" w:type="dxa"/>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5亩（含）以下</w:t>
            </w:r>
          </w:p>
        </w:tc>
        <w:tc>
          <w:tcPr>
            <w:tcW w:w="2410" w:type="dxa"/>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800元/亩</w:t>
            </w:r>
          </w:p>
        </w:tc>
        <w:tc>
          <w:tcPr>
            <w:tcW w:w="2126" w:type="dxa"/>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560" w:type="dxa"/>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2</w:t>
            </w:r>
          </w:p>
        </w:tc>
        <w:tc>
          <w:tcPr>
            <w:tcW w:w="3118" w:type="dxa"/>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5亩以上</w:t>
            </w:r>
          </w:p>
        </w:tc>
        <w:tc>
          <w:tcPr>
            <w:tcW w:w="2410" w:type="dxa"/>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600元/亩</w:t>
            </w:r>
          </w:p>
        </w:tc>
        <w:tc>
          <w:tcPr>
            <w:tcW w:w="2126" w:type="dxa"/>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p>
        </w:tc>
      </w:tr>
    </w:tbl>
    <w:p>
      <w:pPr>
        <w:rPr>
          <w:rFonts w:ascii="Times New Roman" w:hAnsi="Times New Roman" w:eastAsia="仿宋"/>
          <w:color w:val="000000" w:themeColor="text1"/>
          <w14:textFill>
            <w14:solidFill>
              <w14:schemeClr w14:val="tx1"/>
            </w14:solidFill>
          </w14:textFill>
        </w:rPr>
      </w:pPr>
    </w:p>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32"/>
          <w:szCs w:val="32"/>
          <w14:textFill>
            <w14:solidFill>
              <w14:schemeClr w14:val="tx1"/>
            </w14:solidFill>
          </w14:textFill>
        </w:rPr>
        <w:t>二、存货、设备清点收费标准</w:t>
      </w:r>
    </w:p>
    <w:tbl>
      <w:tblPr>
        <w:tblStyle w:val="13"/>
        <w:tblW w:w="9110" w:type="dxa"/>
        <w:jc w:val="center"/>
        <w:tblLayout w:type="fixed"/>
        <w:tblCellMar>
          <w:top w:w="0" w:type="dxa"/>
          <w:left w:w="108" w:type="dxa"/>
          <w:bottom w:w="0" w:type="dxa"/>
          <w:right w:w="108" w:type="dxa"/>
        </w:tblCellMar>
      </w:tblPr>
      <w:tblGrid>
        <w:gridCol w:w="1560"/>
        <w:gridCol w:w="3260"/>
        <w:gridCol w:w="2164"/>
        <w:gridCol w:w="2126"/>
      </w:tblGrid>
      <w:tr>
        <w:tblPrEx>
          <w:tblCellMar>
            <w:top w:w="0" w:type="dxa"/>
            <w:left w:w="108" w:type="dxa"/>
            <w:bottom w:w="0" w:type="dxa"/>
            <w:right w:w="108" w:type="dxa"/>
          </w:tblCellMar>
        </w:tblPrEx>
        <w:trPr>
          <w:trHeight w:val="420" w:hRule="atLeast"/>
          <w:jc w:val="center"/>
        </w:trPr>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档次</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存放面积</w:t>
            </w:r>
          </w:p>
        </w:tc>
        <w:tc>
          <w:tcPr>
            <w:tcW w:w="21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计费标准</w:t>
            </w:r>
          </w:p>
        </w:tc>
        <w:tc>
          <w:tcPr>
            <w:tcW w:w="2126"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420" w:hRule="atLeast"/>
          <w:jc w:val="center"/>
        </w:trPr>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1</w:t>
            </w:r>
          </w:p>
        </w:tc>
        <w:tc>
          <w:tcPr>
            <w:tcW w:w="3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1000平方米以下</w:t>
            </w:r>
          </w:p>
        </w:tc>
        <w:tc>
          <w:tcPr>
            <w:tcW w:w="216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5元/平方米</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435" w:hRule="atLeast"/>
          <w:jc w:val="center"/>
        </w:trPr>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2</w:t>
            </w:r>
          </w:p>
        </w:tc>
        <w:tc>
          <w:tcPr>
            <w:tcW w:w="3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1000（含）平方米以上</w:t>
            </w:r>
          </w:p>
        </w:tc>
        <w:tc>
          <w:tcPr>
            <w:tcW w:w="216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4元/平方米</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cs="宋体"/>
                <w:color w:val="000000" w:themeColor="text1"/>
                <w:kern w:val="0"/>
                <w:sz w:val="24"/>
                <w14:textFill>
                  <w14:solidFill>
                    <w14:schemeClr w14:val="tx1"/>
                  </w14:solidFill>
                </w14:textFill>
              </w:rPr>
            </w:pPr>
          </w:p>
        </w:tc>
      </w:tr>
    </w:tbl>
    <w:p>
      <w:pPr>
        <w:rPr>
          <w:rFonts w:ascii="Times New Roman" w:hAnsi="Times New Roman" w:eastAsia="仿宋"/>
          <w:color w:val="000000" w:themeColor="text1"/>
          <w14:textFill>
            <w14:solidFill>
              <w14:schemeClr w14:val="tx1"/>
            </w14:solidFill>
          </w14:textFill>
        </w:rPr>
      </w:pPr>
    </w:p>
    <w:p>
      <w:pPr>
        <w:widowControl/>
        <w:jc w:val="left"/>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说明：1 镇人民政府委托清点的，清点费用在镇人民政府（街道办事处、管委会）征地工作经费中列支</w:t>
      </w:r>
    </w:p>
    <w:tbl>
      <w:tblPr>
        <w:tblStyle w:val="13"/>
        <w:tblW w:w="8364" w:type="dxa"/>
        <w:tblInd w:w="108" w:type="dxa"/>
        <w:tblLayout w:type="fixed"/>
        <w:tblCellMar>
          <w:top w:w="0" w:type="dxa"/>
          <w:left w:w="108" w:type="dxa"/>
          <w:bottom w:w="0" w:type="dxa"/>
          <w:right w:w="108" w:type="dxa"/>
        </w:tblCellMar>
      </w:tblPr>
      <w:tblGrid>
        <w:gridCol w:w="8364"/>
      </w:tblGrid>
      <w:tr>
        <w:tblPrEx>
          <w:tblCellMar>
            <w:top w:w="0" w:type="dxa"/>
            <w:left w:w="108" w:type="dxa"/>
            <w:bottom w:w="0" w:type="dxa"/>
            <w:right w:w="108" w:type="dxa"/>
          </w:tblCellMar>
        </w:tblPrEx>
        <w:trPr>
          <w:trHeight w:val="450" w:hRule="atLeast"/>
        </w:trPr>
        <w:tc>
          <w:tcPr>
            <w:tcW w:w="6521" w:type="dxa"/>
            <w:tcBorders>
              <w:top w:val="nil"/>
              <w:left w:val="nil"/>
              <w:bottom w:val="nil"/>
              <w:right w:val="nil"/>
            </w:tcBorders>
            <w:shd w:val="clear" w:color="auto" w:fill="auto"/>
            <w:vAlign w:val="center"/>
          </w:tcPr>
          <w:p>
            <w:pPr>
              <w:widowControl/>
              <w:jc w:val="left"/>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 xml:space="preserve">    2.按差额定标准累进计算收费，每户收费额不足800元的按800元收费。（例如:某青苗清点项目,种植面积0.5亩,清点费用为800*0.5=400元，低于800元，按800元收费；另一设备清点项目，厂房面积2300平方米，按照本收费标准，其中1000平方米，按5元/平方米计费，共5000元；剩余1300平方米按4元/平方米计费，共5200元，本项目设备清点费用合计为10200元)。</w:t>
            </w:r>
          </w:p>
        </w:tc>
      </w:tr>
      <w:tr>
        <w:tblPrEx>
          <w:tblCellMar>
            <w:top w:w="0" w:type="dxa"/>
            <w:left w:w="108" w:type="dxa"/>
            <w:bottom w:w="0" w:type="dxa"/>
            <w:right w:w="108" w:type="dxa"/>
          </w:tblCellMar>
        </w:tblPrEx>
        <w:trPr>
          <w:trHeight w:val="420" w:hRule="atLeast"/>
        </w:trPr>
        <w:tc>
          <w:tcPr>
            <w:tcW w:w="6521" w:type="dxa"/>
            <w:tcBorders>
              <w:top w:val="nil"/>
              <w:left w:val="nil"/>
              <w:bottom w:val="nil"/>
              <w:right w:val="nil"/>
            </w:tcBorders>
            <w:shd w:val="clear" w:color="auto" w:fill="auto"/>
            <w:vAlign w:val="center"/>
          </w:tcPr>
          <w:p>
            <w:pPr>
              <w:widowControl/>
              <w:ind w:firstLine="480"/>
              <w:jc w:val="left"/>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3.苗木清点工作包括：鉴定苗木品种、清点苗木数量和测量苗木规格等。</w:t>
            </w:r>
          </w:p>
          <w:p>
            <w:pPr>
              <w:widowControl/>
              <w:ind w:firstLine="480"/>
              <w:jc w:val="left"/>
              <w:rPr>
                <w:rFonts w:ascii="Times New Roman" w:hAnsi="Times New Roman" w:eastAsia="仿宋" w:cs="宋体"/>
                <w:color w:val="000000" w:themeColor="text1"/>
                <w:kern w:val="0"/>
                <w:sz w:val="24"/>
                <w14:textFill>
                  <w14:solidFill>
                    <w14:schemeClr w14:val="tx1"/>
                  </w14:solidFill>
                </w14:textFill>
              </w:rPr>
            </w:pPr>
            <w:r>
              <w:rPr>
                <w:rFonts w:hint="eastAsia" w:ascii="Times New Roman" w:hAnsi="Times New Roman" w:eastAsia="仿宋" w:cs="宋体"/>
                <w:color w:val="000000" w:themeColor="text1"/>
                <w:kern w:val="0"/>
                <w:sz w:val="24"/>
                <w14:textFill>
                  <w14:solidFill>
                    <w14:schemeClr w14:val="tx1"/>
                  </w14:solidFill>
                </w14:textFill>
              </w:rPr>
              <w:t>4.存放面积是指正常存放货物和安装设备的房屋建筑面积或占地面积。</w:t>
            </w:r>
          </w:p>
        </w:tc>
      </w:tr>
    </w:tbl>
    <w:p>
      <w:pPr>
        <w:rPr>
          <w:rFonts w:ascii="Times New Roman" w:hAnsi="Times New Roman" w:eastAsia="仿宋"/>
          <w:color w:val="000000" w:themeColor="text1"/>
          <w14:textFill>
            <w14:solidFill>
              <w14:schemeClr w14:val="tx1"/>
            </w14:solidFill>
          </w14:textFill>
        </w:rPr>
      </w:pPr>
    </w:p>
    <w:p>
      <w:pPr>
        <w:rPr>
          <w:rFonts w:ascii="Times New Roman" w:hAnsi="Times New Roman" w:eastAsia="仿宋"/>
          <w:color w:val="000000" w:themeColor="text1"/>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Times New Roman" w:hAnsi="Times New Roman" w:eastAsia="仿宋" w:cs="宋体"/>
          <w:color w:val="000000" w:themeColor="text1"/>
          <w:kern w:val="0"/>
          <w:sz w:val="24"/>
          <w14:textFill>
            <w14:solidFill>
              <w14:schemeClr w14:val="tx1"/>
            </w14:solidFill>
          </w14:textFill>
        </w:rPr>
      </w:pPr>
    </w:p>
    <w:p>
      <w:pP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附件6</w:t>
      </w:r>
    </w:p>
    <w:p>
      <w:pPr>
        <w:widowControl/>
        <w:jc w:val="left"/>
        <w:rPr>
          <w:rFonts w:ascii="宋体" w:hAnsi="宋体" w:cs="宋体"/>
          <w:color w:val="000000" w:themeColor="text1"/>
          <w:kern w:val="0"/>
          <w:sz w:val="24"/>
          <w14:textFill>
            <w14:solidFill>
              <w14:schemeClr w14:val="tx1"/>
            </w14:solidFill>
          </w14:textFill>
        </w:rPr>
      </w:pPr>
    </w:p>
    <w:p>
      <w:pPr>
        <w:widowControl/>
        <w:jc w:val="center"/>
        <w:rPr>
          <w:rFonts w:ascii="宋体" w:hAnsi="宋体" w:cs="宋体"/>
          <w:b/>
          <w:color w:val="000000" w:themeColor="text1"/>
          <w:kern w:val="0"/>
          <w:sz w:val="32"/>
          <w:szCs w:val="32"/>
          <w14:textFill>
            <w14:solidFill>
              <w14:schemeClr w14:val="tx1"/>
            </w14:solidFill>
          </w14:textFill>
        </w:rPr>
      </w:pPr>
      <w:r>
        <w:rPr>
          <w:rFonts w:ascii="宋体" w:hAnsi="宋体" w:cs="宋体"/>
          <w:b/>
          <w:color w:val="000000" w:themeColor="text1"/>
          <w:kern w:val="0"/>
          <w:sz w:val="32"/>
          <w:szCs w:val="32"/>
          <w14:textFill>
            <w14:solidFill>
              <w14:schemeClr w14:val="tx1"/>
            </w14:solidFill>
          </w14:textFill>
        </w:rPr>
        <w:t>社会稳定风险评估收费</w:t>
      </w:r>
      <w:r>
        <w:rPr>
          <w:rFonts w:hint="eastAsia" w:ascii="宋体" w:hAnsi="宋体" w:cs="宋体"/>
          <w:b/>
          <w:color w:val="000000" w:themeColor="text1"/>
          <w:kern w:val="0"/>
          <w:sz w:val="32"/>
          <w:szCs w:val="32"/>
          <w14:textFill>
            <w14:solidFill>
              <w14:schemeClr w14:val="tx1"/>
            </w14:solidFill>
          </w14:textFill>
        </w:rPr>
        <w:t>标准</w:t>
      </w:r>
    </w:p>
    <w:p>
      <w:pPr>
        <w:widowControl/>
        <w:spacing w:line="5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（一）按拆迁户数或安置人口数</w:t>
      </w:r>
    </w:p>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按照拆迁户数或安置人口数，分 7 档计费。其中简易评估1万元/宗；拆迁户数50户以内的按照5万元/宗计费，其他分段收费标准是在上一分段最高收费的基础上，按照增量值*级别单价计算增加值。</w:t>
      </w:r>
    </w:p>
    <w:tbl>
      <w:tblPr>
        <w:tblStyle w:val="13"/>
        <w:tblW w:w="8349" w:type="dxa"/>
        <w:jc w:val="center"/>
        <w:tblLayout w:type="fixed"/>
        <w:tblCellMar>
          <w:top w:w="0" w:type="dxa"/>
          <w:left w:w="108" w:type="dxa"/>
          <w:bottom w:w="0" w:type="dxa"/>
          <w:right w:w="108" w:type="dxa"/>
        </w:tblCellMar>
      </w:tblPr>
      <w:tblGrid>
        <w:gridCol w:w="1074"/>
        <w:gridCol w:w="2269"/>
        <w:gridCol w:w="2625"/>
        <w:gridCol w:w="2381"/>
      </w:tblGrid>
      <w:tr>
        <w:tblPrEx>
          <w:tblCellMar>
            <w:top w:w="0" w:type="dxa"/>
            <w:left w:w="108" w:type="dxa"/>
            <w:bottom w:w="0" w:type="dxa"/>
            <w:right w:w="108" w:type="dxa"/>
          </w:tblCellMar>
        </w:tblPrEx>
        <w:trPr>
          <w:trHeight w:val="27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级别</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项目规模</w:t>
            </w:r>
          </w:p>
        </w:tc>
        <w:tc>
          <w:tcPr>
            <w:tcW w:w="2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收费标准</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取值范围</w:t>
            </w:r>
          </w:p>
        </w:tc>
      </w:tr>
      <w:tr>
        <w:tblPrEx>
          <w:tblCellMar>
            <w:top w:w="0" w:type="dxa"/>
            <w:left w:w="108" w:type="dxa"/>
            <w:bottom w:w="0" w:type="dxa"/>
            <w:right w:w="108" w:type="dxa"/>
          </w:tblCellMar>
        </w:tblPrEx>
        <w:trPr>
          <w:trHeight w:val="27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简易评估程序</w:t>
            </w:r>
          </w:p>
        </w:tc>
        <w:tc>
          <w:tcPr>
            <w:tcW w:w="2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1万元/宗</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1万元/宗</w:t>
            </w:r>
          </w:p>
        </w:tc>
      </w:tr>
      <w:tr>
        <w:tblPrEx>
          <w:tblCellMar>
            <w:top w:w="0" w:type="dxa"/>
            <w:left w:w="108" w:type="dxa"/>
            <w:bottom w:w="0" w:type="dxa"/>
            <w:right w:w="108" w:type="dxa"/>
          </w:tblCellMar>
        </w:tblPrEx>
        <w:trPr>
          <w:trHeight w:val="27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拆迁50户以内</w:t>
            </w:r>
          </w:p>
        </w:tc>
        <w:tc>
          <w:tcPr>
            <w:tcW w:w="2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5万元/宗</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5万元/宗</w:t>
            </w:r>
          </w:p>
        </w:tc>
      </w:tr>
      <w:tr>
        <w:tblPrEx>
          <w:tblCellMar>
            <w:top w:w="0" w:type="dxa"/>
            <w:left w:w="108" w:type="dxa"/>
            <w:bottom w:w="0" w:type="dxa"/>
            <w:right w:w="108" w:type="dxa"/>
          </w:tblCellMar>
        </w:tblPrEx>
        <w:trPr>
          <w:trHeight w:val="54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拆迁51-100户</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5万元+（实际值-50）*800元</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6.08-9万元/宗</w:t>
            </w:r>
          </w:p>
        </w:tc>
      </w:tr>
      <w:tr>
        <w:tblPrEx>
          <w:tblCellMar>
            <w:top w:w="0" w:type="dxa"/>
            <w:left w:w="108" w:type="dxa"/>
            <w:bottom w:w="0" w:type="dxa"/>
            <w:right w:w="108" w:type="dxa"/>
          </w:tblCellMar>
        </w:tblPrEx>
        <w:trPr>
          <w:trHeight w:val="54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拆迁101-200户</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9万元+（实际值-100）*700元</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9.07-16万元/宗</w:t>
            </w:r>
          </w:p>
        </w:tc>
      </w:tr>
      <w:tr>
        <w:tblPrEx>
          <w:tblCellMar>
            <w:top w:w="0" w:type="dxa"/>
            <w:left w:w="108" w:type="dxa"/>
            <w:bottom w:w="0" w:type="dxa"/>
            <w:right w:w="108" w:type="dxa"/>
          </w:tblCellMar>
        </w:tblPrEx>
        <w:trPr>
          <w:trHeight w:val="54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拆迁201-300户</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16万元+（实际值-200）*500元</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16.05-21万元/宗</w:t>
            </w:r>
          </w:p>
        </w:tc>
      </w:tr>
      <w:tr>
        <w:tblPrEx>
          <w:tblCellMar>
            <w:top w:w="0" w:type="dxa"/>
            <w:left w:w="108" w:type="dxa"/>
            <w:bottom w:w="0" w:type="dxa"/>
            <w:right w:w="108" w:type="dxa"/>
          </w:tblCellMar>
        </w:tblPrEx>
        <w:trPr>
          <w:trHeight w:val="54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拆迁301-500户</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21万元+（实际值-300）*300元</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21.03-27万元/宗</w:t>
            </w:r>
          </w:p>
        </w:tc>
      </w:tr>
      <w:tr>
        <w:tblPrEx>
          <w:tblCellMar>
            <w:top w:w="0" w:type="dxa"/>
            <w:left w:w="108" w:type="dxa"/>
            <w:bottom w:w="0" w:type="dxa"/>
            <w:right w:w="108" w:type="dxa"/>
          </w:tblCellMar>
        </w:tblPrEx>
        <w:trPr>
          <w:trHeight w:val="27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拆迁500户以上</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30万</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30万</w:t>
            </w:r>
          </w:p>
        </w:tc>
      </w:tr>
    </w:tbl>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（二）按拆迁建筑面积</w:t>
      </w:r>
    </w:p>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按照每户约 300 平方米建筑面积，分段级别对应拆迁户数分段级别。其中简易评估1万元/宗；拆迁建筑面积15000平方米以内的按照6万元/宗计费，其他分段收费标准是在上一分段最高收费的基础上，按照增量值*级别单价计算增加值。</w:t>
      </w:r>
    </w:p>
    <w:tbl>
      <w:tblPr>
        <w:tblStyle w:val="13"/>
        <w:tblW w:w="90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0"/>
        <w:gridCol w:w="4038"/>
        <w:gridCol w:w="2052"/>
        <w:gridCol w:w="1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89" w:hRule="atLeast"/>
          <w:tblHeader/>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级别</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项目规模</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单宗收费标准</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取值范围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简易评估程序</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1万元</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1万元/宗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拆迁建筑面积 15000 平方米以内</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6万元</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6万元/宗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拆迁建筑面积 15001-30000 平方米</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 万元+（实际值</w:t>
            </w:r>
          </w:p>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-15000）*3 元</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6-10.5万元/宗</w:t>
            </w:r>
          </w:p>
        </w:tc>
      </w:tr>
    </w:tbl>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按照拆迁户数或安置人口数，分 7 档计费。其中简易评估1万元/宗；拆迁户数50户以内的按照5万元/宗计费，其他分段收费标准是在上一分段最高收费的基础上，按照增量值*级别单价计算增加值。</w:t>
      </w:r>
    </w:p>
    <w:tbl>
      <w:tblPr>
        <w:tblStyle w:val="13"/>
        <w:tblW w:w="8349" w:type="dxa"/>
        <w:jc w:val="center"/>
        <w:tblLayout w:type="fixed"/>
        <w:tblCellMar>
          <w:top w:w="0" w:type="dxa"/>
          <w:left w:w="108" w:type="dxa"/>
          <w:bottom w:w="0" w:type="dxa"/>
          <w:right w:w="108" w:type="dxa"/>
        </w:tblCellMar>
      </w:tblPr>
      <w:tblGrid>
        <w:gridCol w:w="1074"/>
        <w:gridCol w:w="2269"/>
        <w:gridCol w:w="2625"/>
        <w:gridCol w:w="2381"/>
      </w:tblGrid>
      <w:tr>
        <w:tblPrEx>
          <w:tblCellMar>
            <w:top w:w="0" w:type="dxa"/>
            <w:left w:w="108" w:type="dxa"/>
            <w:bottom w:w="0" w:type="dxa"/>
            <w:right w:w="108" w:type="dxa"/>
          </w:tblCellMar>
        </w:tblPrEx>
        <w:trPr>
          <w:trHeight w:val="27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级别</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项目规模</w:t>
            </w:r>
          </w:p>
        </w:tc>
        <w:tc>
          <w:tcPr>
            <w:tcW w:w="2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收费标准</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取值范围</w:t>
            </w:r>
          </w:p>
        </w:tc>
      </w:tr>
      <w:tr>
        <w:tblPrEx>
          <w:tblCellMar>
            <w:top w:w="0" w:type="dxa"/>
            <w:left w:w="108" w:type="dxa"/>
            <w:bottom w:w="0" w:type="dxa"/>
            <w:right w:w="108" w:type="dxa"/>
          </w:tblCellMar>
        </w:tblPrEx>
        <w:trPr>
          <w:trHeight w:val="27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简易评估程序</w:t>
            </w:r>
          </w:p>
        </w:tc>
        <w:tc>
          <w:tcPr>
            <w:tcW w:w="2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1万元/宗</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1万元/宗</w:t>
            </w:r>
          </w:p>
        </w:tc>
      </w:tr>
      <w:tr>
        <w:tblPrEx>
          <w:tblCellMar>
            <w:top w:w="0" w:type="dxa"/>
            <w:left w:w="108" w:type="dxa"/>
            <w:bottom w:w="0" w:type="dxa"/>
            <w:right w:w="108" w:type="dxa"/>
          </w:tblCellMar>
        </w:tblPrEx>
        <w:trPr>
          <w:trHeight w:val="27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拆迁50户以内</w:t>
            </w:r>
          </w:p>
        </w:tc>
        <w:tc>
          <w:tcPr>
            <w:tcW w:w="2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5万元/宗</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5万元/宗</w:t>
            </w:r>
          </w:p>
        </w:tc>
      </w:tr>
      <w:tr>
        <w:tblPrEx>
          <w:tblCellMar>
            <w:top w:w="0" w:type="dxa"/>
            <w:left w:w="108" w:type="dxa"/>
            <w:bottom w:w="0" w:type="dxa"/>
            <w:right w:w="108" w:type="dxa"/>
          </w:tblCellMar>
        </w:tblPrEx>
        <w:trPr>
          <w:trHeight w:val="54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拆迁51-100户</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5万元+（实际值-50）*800元</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6.08-9万元/宗</w:t>
            </w:r>
          </w:p>
        </w:tc>
      </w:tr>
      <w:tr>
        <w:tblPrEx>
          <w:tblCellMar>
            <w:top w:w="0" w:type="dxa"/>
            <w:left w:w="108" w:type="dxa"/>
            <w:bottom w:w="0" w:type="dxa"/>
            <w:right w:w="108" w:type="dxa"/>
          </w:tblCellMar>
        </w:tblPrEx>
        <w:trPr>
          <w:trHeight w:val="54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拆迁101-200户</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9万元+（实际值-100）*700元</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9.07-16万元/宗</w:t>
            </w:r>
          </w:p>
        </w:tc>
      </w:tr>
      <w:tr>
        <w:tblPrEx>
          <w:tblCellMar>
            <w:top w:w="0" w:type="dxa"/>
            <w:left w:w="108" w:type="dxa"/>
            <w:bottom w:w="0" w:type="dxa"/>
            <w:right w:w="108" w:type="dxa"/>
          </w:tblCellMar>
        </w:tblPrEx>
        <w:trPr>
          <w:trHeight w:val="54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拆迁201-300户</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16万元+（实际值-200）*500元</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16.05-21万元/宗</w:t>
            </w:r>
          </w:p>
        </w:tc>
      </w:tr>
      <w:tr>
        <w:tblPrEx>
          <w:tblCellMar>
            <w:top w:w="0" w:type="dxa"/>
            <w:left w:w="108" w:type="dxa"/>
            <w:bottom w:w="0" w:type="dxa"/>
            <w:right w:w="108" w:type="dxa"/>
          </w:tblCellMar>
        </w:tblPrEx>
        <w:trPr>
          <w:trHeight w:val="54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拆迁301-500户</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21万元+（实际值-300）*300元</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21.03-27万元/宗</w:t>
            </w:r>
          </w:p>
        </w:tc>
      </w:tr>
      <w:tr>
        <w:tblPrEx>
          <w:tblCellMar>
            <w:top w:w="0" w:type="dxa"/>
            <w:left w:w="108" w:type="dxa"/>
            <w:bottom w:w="0" w:type="dxa"/>
            <w:right w:w="108" w:type="dxa"/>
          </w:tblCellMar>
        </w:tblPrEx>
        <w:trPr>
          <w:trHeight w:val="270" w:hRule="atLeast"/>
          <w:jc w:val="center"/>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拆迁500户以上</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30万</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30万</w:t>
            </w:r>
          </w:p>
        </w:tc>
      </w:tr>
    </w:tbl>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（二）按拆迁建筑面积</w:t>
      </w:r>
    </w:p>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按照每户约 300 平方米建筑面积，分段级别对应拆迁户数分段级别。其中简易评估1万元/宗；拆迁建筑面积15000平方米以内的按照6万元/宗计费，其他分段收费标准是在上一分段最高收费的基础上，按照增量值*级别单价计算增加值。</w:t>
      </w:r>
    </w:p>
    <w:tbl>
      <w:tblPr>
        <w:tblStyle w:val="13"/>
        <w:tblW w:w="90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0"/>
        <w:gridCol w:w="4038"/>
        <w:gridCol w:w="2052"/>
        <w:gridCol w:w="1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89" w:hRule="atLeast"/>
          <w:tblHeader/>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级别</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项目规模</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单宗收费标准</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取值范围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简易评估程序</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1万元</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1万元/宗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拆迁建筑面积 15000 平方米以内</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6万元</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6万元/宗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拆迁建筑面积 15001-30000 平方米</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 万元+（实际值</w:t>
            </w:r>
          </w:p>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-15000）*3 元</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6-10.5万元/宗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4</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拆迁建筑面积 30001-60000 平方米</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10.5 万+（实际值</w:t>
            </w:r>
          </w:p>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-30000）*2</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10.5-16.5万</w:t>
            </w:r>
          </w:p>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5</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拆迁建筑面积 60001-100000 平方米</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16.5 万+（实际值</w:t>
            </w:r>
          </w:p>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-60000）*1.5</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16.5-22万元</w:t>
            </w:r>
          </w:p>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拆迁建筑面积100001-150000 平方米</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22 万+（实际值</w:t>
            </w:r>
          </w:p>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-100000）*1.0</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22-27万元/宗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7" w:hRule="atLeast"/>
          <w:jc w:val="center"/>
        </w:trPr>
        <w:tc>
          <w:tcPr>
            <w:tcW w:w="103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7</w:t>
            </w:r>
          </w:p>
        </w:tc>
        <w:tc>
          <w:tcPr>
            <w:tcW w:w="403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拆迁建筑面积 150000 平方米以上</w:t>
            </w:r>
          </w:p>
        </w:tc>
        <w:tc>
          <w:tcPr>
            <w:tcW w:w="205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30 万</w:t>
            </w:r>
          </w:p>
        </w:tc>
        <w:tc>
          <w:tcPr>
            <w:tcW w:w="1916"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30 万元/宗</w:t>
            </w:r>
          </w:p>
        </w:tc>
      </w:tr>
    </w:tbl>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（三）按征地面积</w:t>
      </w:r>
    </w:p>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征地面积分段级别对应拆迁户数分段级别。其中简易评估 1 万元/宗；征地面积≤50亩的按照6万元/宗计费，其他分段收费标准是在上一分段最高收费的基础上，按照增量值*级别单价计算增加值。</w:t>
      </w:r>
    </w:p>
    <w:tbl>
      <w:tblPr>
        <w:tblStyle w:val="13"/>
        <w:tblW w:w="905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0"/>
        <w:gridCol w:w="3495"/>
        <w:gridCol w:w="2568"/>
        <w:gridCol w:w="1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130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级别</w:t>
            </w:r>
          </w:p>
        </w:tc>
        <w:tc>
          <w:tcPr>
            <w:tcW w:w="349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项目规模</w:t>
            </w:r>
          </w:p>
        </w:tc>
        <w:tc>
          <w:tcPr>
            <w:tcW w:w="256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单宗收费标准</w:t>
            </w:r>
          </w:p>
        </w:tc>
        <w:tc>
          <w:tcPr>
            <w:tcW w:w="168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收费范围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atLeast"/>
          <w:jc w:val="center"/>
        </w:trPr>
        <w:tc>
          <w:tcPr>
            <w:tcW w:w="130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349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简易评估程序</w:t>
            </w:r>
          </w:p>
        </w:tc>
        <w:tc>
          <w:tcPr>
            <w:tcW w:w="256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1万元/宗</w:t>
            </w:r>
          </w:p>
        </w:tc>
        <w:tc>
          <w:tcPr>
            <w:tcW w:w="168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 万元/宗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130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349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征地面积≤50 亩</w:t>
            </w:r>
          </w:p>
        </w:tc>
        <w:tc>
          <w:tcPr>
            <w:tcW w:w="256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5万元/宗</w:t>
            </w:r>
          </w:p>
        </w:tc>
        <w:tc>
          <w:tcPr>
            <w:tcW w:w="168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5 万元/宗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2" w:hRule="atLeast"/>
          <w:jc w:val="center"/>
        </w:trPr>
        <w:tc>
          <w:tcPr>
            <w:tcW w:w="130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w:t>
            </w:r>
          </w:p>
        </w:tc>
        <w:tc>
          <w:tcPr>
            <w:tcW w:w="349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征地面积 51-100 亩</w:t>
            </w:r>
          </w:p>
        </w:tc>
        <w:tc>
          <w:tcPr>
            <w:tcW w:w="256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5万元+（实际值-50）*800 元</w:t>
            </w:r>
          </w:p>
        </w:tc>
        <w:tc>
          <w:tcPr>
            <w:tcW w:w="168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6.08-9 万元/宗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jc w:val="center"/>
        </w:trPr>
        <w:tc>
          <w:tcPr>
            <w:tcW w:w="130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4</w:t>
            </w:r>
          </w:p>
        </w:tc>
        <w:tc>
          <w:tcPr>
            <w:tcW w:w="349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征地面积 101-200 亩</w:t>
            </w:r>
          </w:p>
        </w:tc>
        <w:tc>
          <w:tcPr>
            <w:tcW w:w="256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9万+（实际值-100）*700 元</w:t>
            </w:r>
          </w:p>
        </w:tc>
        <w:tc>
          <w:tcPr>
            <w:tcW w:w="168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9.07-16万元</w:t>
            </w:r>
          </w:p>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7" w:hRule="atLeast"/>
          <w:jc w:val="center"/>
        </w:trPr>
        <w:tc>
          <w:tcPr>
            <w:tcW w:w="130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5</w:t>
            </w:r>
          </w:p>
        </w:tc>
        <w:tc>
          <w:tcPr>
            <w:tcW w:w="349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征地面积 201-300 亩</w:t>
            </w:r>
          </w:p>
        </w:tc>
        <w:tc>
          <w:tcPr>
            <w:tcW w:w="256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16万+（实际值-200）*500 元</w:t>
            </w:r>
          </w:p>
        </w:tc>
        <w:tc>
          <w:tcPr>
            <w:tcW w:w="168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16.05-21万</w:t>
            </w:r>
          </w:p>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元/宗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jc w:val="center"/>
        </w:trPr>
        <w:tc>
          <w:tcPr>
            <w:tcW w:w="130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w:t>
            </w:r>
          </w:p>
        </w:tc>
        <w:tc>
          <w:tcPr>
            <w:tcW w:w="349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征地面积 301-500 亩</w:t>
            </w:r>
          </w:p>
        </w:tc>
        <w:tc>
          <w:tcPr>
            <w:tcW w:w="256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21万+（实际值-300）*300 元</w:t>
            </w:r>
          </w:p>
        </w:tc>
        <w:tc>
          <w:tcPr>
            <w:tcW w:w="168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21.03 万-27万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1300"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7</w:t>
            </w:r>
          </w:p>
        </w:tc>
        <w:tc>
          <w:tcPr>
            <w:tcW w:w="349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征地面积 500 亩以上</w:t>
            </w:r>
          </w:p>
        </w:tc>
        <w:tc>
          <w:tcPr>
            <w:tcW w:w="256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30万</w:t>
            </w:r>
          </w:p>
        </w:tc>
        <w:tc>
          <w:tcPr>
            <w:tcW w:w="1688"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30万</w:t>
            </w:r>
          </w:p>
        </w:tc>
      </w:tr>
    </w:tbl>
    <w:p>
      <w:pPr>
        <w:widowControl/>
        <w:spacing w:line="5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二、分档收费调整系数</w:t>
      </w:r>
    </w:p>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（一）行业调整系数</w:t>
      </w:r>
    </w:p>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在上述基准收费标准的基础上，对单独选址项目用地，按照重点领域建设项目的划分，按照下表的具体划分标准乘以相应的调整系数，进行调整；对于成片开发用地或其他未确定项目用地，行业调整系数按1.0计算。</w:t>
      </w:r>
    </w:p>
    <w:tbl>
      <w:tblPr>
        <w:tblStyle w:val="13"/>
        <w:tblW w:w="0" w:type="auto"/>
        <w:tblInd w:w="318" w:type="dxa"/>
        <w:tblLayout w:type="fixed"/>
        <w:tblCellMar>
          <w:top w:w="0" w:type="dxa"/>
          <w:left w:w="0" w:type="dxa"/>
          <w:bottom w:w="0" w:type="dxa"/>
          <w:right w:w="0" w:type="dxa"/>
        </w:tblCellMar>
      </w:tblPr>
      <w:tblGrid>
        <w:gridCol w:w="5076"/>
        <w:gridCol w:w="3383"/>
      </w:tblGrid>
      <w:tr>
        <w:trPr>
          <w:trHeight w:val="525" w:hRule="exact"/>
          <w:tblHeader/>
        </w:trPr>
        <w:tc>
          <w:tcPr>
            <w:tcW w:w="50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重点领域建设项目分类</w:t>
            </w:r>
          </w:p>
        </w:tc>
        <w:tc>
          <w:tcPr>
            <w:tcW w:w="33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调整系数</w:t>
            </w:r>
          </w:p>
        </w:tc>
      </w:tr>
      <w:tr>
        <w:tblPrEx>
          <w:tblCellMar>
            <w:top w:w="0" w:type="dxa"/>
            <w:left w:w="0" w:type="dxa"/>
            <w:bottom w:w="0" w:type="dxa"/>
            <w:right w:w="0" w:type="dxa"/>
          </w:tblCellMar>
        </w:tblPrEx>
        <w:trPr>
          <w:trHeight w:val="471" w:hRule="exact"/>
        </w:trPr>
        <w:tc>
          <w:tcPr>
            <w:tcW w:w="50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环境设施</w:t>
            </w:r>
          </w:p>
        </w:tc>
        <w:tc>
          <w:tcPr>
            <w:tcW w:w="33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1.2</w:t>
            </w:r>
          </w:p>
        </w:tc>
      </w:tr>
      <w:tr>
        <w:tblPrEx>
          <w:tblCellMar>
            <w:top w:w="0" w:type="dxa"/>
            <w:left w:w="0" w:type="dxa"/>
            <w:bottom w:w="0" w:type="dxa"/>
            <w:right w:w="0" w:type="dxa"/>
          </w:tblCellMar>
        </w:tblPrEx>
        <w:trPr>
          <w:trHeight w:val="471" w:hRule="exact"/>
        </w:trPr>
        <w:tc>
          <w:tcPr>
            <w:tcW w:w="50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能源</w:t>
            </w:r>
          </w:p>
        </w:tc>
        <w:tc>
          <w:tcPr>
            <w:tcW w:w="33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1.2</w:t>
            </w:r>
          </w:p>
        </w:tc>
      </w:tr>
      <w:tr>
        <w:tblPrEx>
          <w:tblCellMar>
            <w:top w:w="0" w:type="dxa"/>
            <w:left w:w="0" w:type="dxa"/>
            <w:bottom w:w="0" w:type="dxa"/>
            <w:right w:w="0" w:type="dxa"/>
          </w:tblCellMar>
        </w:tblPrEx>
        <w:trPr>
          <w:trHeight w:val="471" w:hRule="exact"/>
        </w:trPr>
        <w:tc>
          <w:tcPr>
            <w:tcW w:w="50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工业</w:t>
            </w:r>
          </w:p>
        </w:tc>
        <w:tc>
          <w:tcPr>
            <w:tcW w:w="33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1.0</w:t>
            </w:r>
          </w:p>
        </w:tc>
      </w:tr>
      <w:tr>
        <w:trPr>
          <w:trHeight w:val="471" w:hRule="exact"/>
        </w:trPr>
        <w:tc>
          <w:tcPr>
            <w:tcW w:w="50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社会事业</w:t>
            </w:r>
          </w:p>
        </w:tc>
        <w:tc>
          <w:tcPr>
            <w:tcW w:w="33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1.0</w:t>
            </w:r>
          </w:p>
        </w:tc>
      </w:tr>
      <w:tr>
        <w:trPr>
          <w:trHeight w:val="471" w:hRule="exact"/>
        </w:trPr>
        <w:tc>
          <w:tcPr>
            <w:tcW w:w="50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交通运输</w:t>
            </w:r>
          </w:p>
        </w:tc>
        <w:tc>
          <w:tcPr>
            <w:tcW w:w="33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1.0</w:t>
            </w:r>
          </w:p>
        </w:tc>
      </w:tr>
      <w:tr>
        <w:trPr>
          <w:trHeight w:val="471" w:hRule="exact"/>
        </w:trPr>
        <w:tc>
          <w:tcPr>
            <w:tcW w:w="50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农业</w:t>
            </w:r>
          </w:p>
        </w:tc>
        <w:tc>
          <w:tcPr>
            <w:tcW w:w="33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1.0</w:t>
            </w:r>
          </w:p>
        </w:tc>
      </w:tr>
      <w:tr>
        <w:trPr>
          <w:trHeight w:val="514" w:hRule="exact"/>
        </w:trPr>
        <w:tc>
          <w:tcPr>
            <w:tcW w:w="50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其它</w:t>
            </w:r>
          </w:p>
        </w:tc>
        <w:tc>
          <w:tcPr>
            <w:tcW w:w="33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1.0</w:t>
            </w:r>
          </w:p>
        </w:tc>
      </w:tr>
    </w:tbl>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（二）社会稳定风险敏感程度调整系数</w:t>
      </w:r>
    </w:p>
    <w:p>
      <w:pPr>
        <w:pStyle w:val="6"/>
        <w:spacing w:line="540" w:lineRule="exact"/>
        <w:ind w:firstLine="480" w:firstLineChars="200"/>
        <w:rPr>
          <w:rFonts w:ascii="宋体" w:hAnsi="宋体" w:cs="宋体" w:eastAsiaTheme="minorEastAsia"/>
          <w:color w:val="000000"/>
          <w:kern w:val="0"/>
          <w:sz w:val="24"/>
          <w:szCs w:val="22"/>
          <w:lang w:val="en-US" w:bidi="ar-SA"/>
        </w:rPr>
      </w:pPr>
      <w:r>
        <w:rPr>
          <w:rFonts w:hint="eastAsia" w:ascii="宋体" w:hAnsi="宋体" w:cs="宋体" w:eastAsiaTheme="minorEastAsia"/>
          <w:color w:val="000000"/>
          <w:kern w:val="0"/>
          <w:sz w:val="24"/>
          <w:szCs w:val="22"/>
          <w:lang w:val="en-US" w:bidi="ar-SA"/>
        </w:rPr>
        <w:t>在上述收费标准的基础上，根据项目社会稳定风险评估敏感程度，按照下表的具体划分标准乘以相应的调整系数，进行调整：</w:t>
      </w:r>
    </w:p>
    <w:tbl>
      <w:tblPr>
        <w:tblStyle w:val="13"/>
        <w:tblW w:w="0" w:type="auto"/>
        <w:tblInd w:w="136" w:type="dxa"/>
        <w:tblLayout w:type="fixed"/>
        <w:tblCellMar>
          <w:top w:w="0" w:type="dxa"/>
          <w:left w:w="0" w:type="dxa"/>
          <w:bottom w:w="0" w:type="dxa"/>
          <w:right w:w="0" w:type="dxa"/>
        </w:tblCellMar>
      </w:tblPr>
      <w:tblGrid>
        <w:gridCol w:w="6532"/>
        <w:gridCol w:w="2287"/>
      </w:tblGrid>
      <w:tr>
        <w:trPr>
          <w:trHeight w:val="526" w:hRule="exact"/>
        </w:trPr>
        <w:tc>
          <w:tcPr>
            <w:tcW w:w="65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社会稳定风险敏感程度</w:t>
            </w:r>
          </w:p>
        </w:tc>
        <w:tc>
          <w:tcPr>
            <w:tcW w:w="22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调整系数</w:t>
            </w:r>
          </w:p>
        </w:tc>
      </w:tr>
      <w:tr>
        <w:tblPrEx>
          <w:tblCellMar>
            <w:top w:w="0" w:type="dxa"/>
            <w:left w:w="0" w:type="dxa"/>
            <w:bottom w:w="0" w:type="dxa"/>
            <w:right w:w="0" w:type="dxa"/>
          </w:tblCellMar>
        </w:tblPrEx>
        <w:trPr>
          <w:trHeight w:val="540" w:hRule="exact"/>
        </w:trPr>
        <w:tc>
          <w:tcPr>
            <w:tcW w:w="65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已公告，项目前期已发生群众集体上访等群体性事件的项目</w:t>
            </w:r>
          </w:p>
        </w:tc>
        <w:tc>
          <w:tcPr>
            <w:tcW w:w="22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1.2</w:t>
            </w:r>
          </w:p>
        </w:tc>
      </w:tr>
      <w:tr>
        <w:tblPrEx>
          <w:tblCellMar>
            <w:top w:w="0" w:type="dxa"/>
            <w:left w:w="0" w:type="dxa"/>
            <w:bottom w:w="0" w:type="dxa"/>
            <w:right w:w="0" w:type="dxa"/>
          </w:tblCellMar>
        </w:tblPrEx>
        <w:trPr>
          <w:trHeight w:val="454" w:hRule="exact"/>
        </w:trPr>
        <w:tc>
          <w:tcPr>
            <w:tcW w:w="65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尚未公告，项目社会稳定风险尚不确定的项目</w:t>
            </w:r>
          </w:p>
        </w:tc>
        <w:tc>
          <w:tcPr>
            <w:tcW w:w="22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1.0</w:t>
            </w:r>
          </w:p>
        </w:tc>
      </w:tr>
      <w:tr>
        <w:tblPrEx>
          <w:tblCellMar>
            <w:top w:w="0" w:type="dxa"/>
            <w:left w:w="0" w:type="dxa"/>
            <w:bottom w:w="0" w:type="dxa"/>
            <w:right w:w="0" w:type="dxa"/>
          </w:tblCellMar>
        </w:tblPrEx>
        <w:trPr>
          <w:trHeight w:val="514" w:hRule="exact"/>
        </w:trPr>
        <w:tc>
          <w:tcPr>
            <w:tcW w:w="65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已公告，未发现重大社会稳定风险隐患的项目</w:t>
            </w:r>
          </w:p>
        </w:tc>
        <w:tc>
          <w:tcPr>
            <w:tcW w:w="22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0.8</w:t>
            </w:r>
          </w:p>
        </w:tc>
      </w:tr>
    </w:tbl>
    <w:p>
      <w:pPr>
        <w:pStyle w:val="6"/>
        <w:spacing w:line="357" w:lineRule="auto"/>
        <w:ind w:left="116" w:right="378" w:firstLine="564"/>
      </w:pPr>
      <w:r>
        <w:t>按上述调整系数对征地项目社会稳定风险评估咨询服务收</w:t>
      </w:r>
      <w:r>
        <w:rPr>
          <w:spacing w:val="-2"/>
        </w:rPr>
        <w:t>费进行调整后，公式为：编制评估费用=相应档次的基准费用*</w:t>
      </w:r>
      <w:r>
        <w:t>行业调整系数*社会稳定风险敏感程度调整系数</w:t>
      </w:r>
      <w:r>
        <w:rPr>
          <w:rFonts w:hint="eastAsia"/>
        </w:rPr>
        <w:t>。</w:t>
      </w:r>
    </w:p>
    <w:p>
      <w:pPr>
        <w:widowControl/>
        <w:ind w:firstLine="422" w:firstLineChars="200"/>
        <w:jc w:val="left"/>
        <w:rPr>
          <w:rFonts w:ascii="宋体" w:hAnsi="宋体" w:cs="宋体"/>
          <w:b/>
          <w:bCs/>
          <w:color w:val="000000"/>
          <w:kern w:val="0"/>
          <w:szCs w:val="21"/>
        </w:rPr>
      </w:pPr>
      <w:r>
        <w:rPr>
          <w:rFonts w:hint="eastAsia" w:ascii="宋体" w:hAnsi="宋体" w:cs="宋体"/>
          <w:b/>
          <w:bCs/>
          <w:color w:val="000000"/>
          <w:kern w:val="0"/>
          <w:szCs w:val="21"/>
        </w:rPr>
        <w:t>注：上述收费标准参考《惠州市征地项目社会稳定风险评估咨询服务收费暂行规定》。</w:t>
      </w:r>
    </w:p>
    <w:sectPr>
      <w:footerReference r:id="rId4" w:type="default"/>
      <w:footerReference r:id="rId5" w:type="even"/>
      <w:pgSz w:w="11906" w:h="16838"/>
      <w:pgMar w:top="1701" w:right="1418" w:bottom="1701" w:left="141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965094"/>
    </w:sdtPr>
    <w:sdtContent>
      <w:p>
        <w:pPr>
          <w:pStyle w:val="9"/>
          <w:jc w:val="center"/>
        </w:pPr>
        <w:r>
          <w:fldChar w:fldCharType="begin"/>
        </w:r>
        <w:r>
          <w:instrText xml:space="preserve"> PAGE   \* MERGEFORMAT </w:instrText>
        </w:r>
        <w:r>
          <w:fldChar w:fldCharType="separate"/>
        </w:r>
        <w:r>
          <w:rPr>
            <w:lang w:val="zh-CN"/>
          </w:rPr>
          <w:t>-</w:t>
        </w:r>
        <w:r>
          <w:t xml:space="preserve"> 39 -</w:t>
        </w:r>
        <w:r>
          <w:fldChar w:fldCharType="end"/>
        </w: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w:t>
    </w:r>
    <w:r>
      <w:t xml:space="preserve"> 46 -</w:t>
    </w:r>
    <w:r>
      <w:fldChar w:fldCharType="end"/>
    </w:r>
  </w:p>
  <w:p>
    <w:pPr>
      <w:pStyle w:val="9"/>
      <w:wordWrap w:val="0"/>
      <w:jc w:val="right"/>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szCs w:val="24"/>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700334"/>
    <w:multiLevelType w:val="multilevel"/>
    <w:tmpl w:val="00700334"/>
    <w:lvl w:ilvl="0" w:tentative="0">
      <w:start w:val="1"/>
      <w:numFmt w:val="chineseCountingThousand"/>
      <w:lvlText w:val="(%1)"/>
      <w:lvlJc w:val="left"/>
      <w:pPr>
        <w:ind w:left="1060" w:hanging="420"/>
      </w:pPr>
    </w:lvl>
    <w:lvl w:ilvl="1" w:tentative="0">
      <w:start w:val="1"/>
      <w:numFmt w:val="lowerLetter"/>
      <w:lvlText w:val="%2)"/>
      <w:lvlJc w:val="left"/>
      <w:pPr>
        <w:ind w:left="1480" w:hanging="420"/>
      </w:pPr>
    </w:lvl>
    <w:lvl w:ilvl="2" w:tentative="0">
      <w:start w:val="1"/>
      <w:numFmt w:val="chineseCountingThousand"/>
      <w:lvlText w:val="(%3)"/>
      <w:lvlJc w:val="left"/>
      <w:pPr>
        <w:ind w:left="1900" w:hanging="420"/>
      </w:pPr>
      <w:rPr>
        <w:rFonts w:ascii="仿宋" w:hAnsi="仿宋" w:eastAsia="仿宋"/>
      </w:r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01BF1D64"/>
    <w:multiLevelType w:val="multilevel"/>
    <w:tmpl w:val="01BF1D64"/>
    <w:lvl w:ilvl="0" w:tentative="0">
      <w:start w:val="1"/>
      <w:numFmt w:val="chineseCountingThousand"/>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chineseCountingThousand"/>
      <w:lvlText w:val="(%4)"/>
      <w:lvlJc w:val="left"/>
      <w:pPr>
        <w:ind w:left="2320" w:hanging="420"/>
      </w:pPr>
      <w:rPr>
        <w:rFonts w:ascii="仿宋" w:hAnsi="仿宋" w:eastAsia="仿宋"/>
      </w:r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05831FA9"/>
    <w:multiLevelType w:val="multilevel"/>
    <w:tmpl w:val="05831FA9"/>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7491FC7"/>
    <w:multiLevelType w:val="multilevel"/>
    <w:tmpl w:val="07491FC7"/>
    <w:lvl w:ilvl="0" w:tentative="0">
      <w:start w:val="1"/>
      <w:numFmt w:val="chineseCountingThousand"/>
      <w:lvlText w:val="(%1)"/>
      <w:lvlJc w:val="left"/>
      <w:pPr>
        <w:ind w:left="1060"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0A231188"/>
    <w:multiLevelType w:val="multilevel"/>
    <w:tmpl w:val="0A231188"/>
    <w:lvl w:ilvl="0" w:tentative="0">
      <w:start w:val="1"/>
      <w:numFmt w:val="decimal"/>
      <w:lvlText w:val="%1."/>
      <w:lvlJc w:val="left"/>
      <w:pPr>
        <w:ind w:left="1060"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0AB60F3B"/>
    <w:multiLevelType w:val="multilevel"/>
    <w:tmpl w:val="0AB60F3B"/>
    <w:lvl w:ilvl="0" w:tentative="0">
      <w:start w:val="1"/>
      <w:numFmt w:val="chineseCountingThousand"/>
      <w:lvlText w:val="第%1条"/>
      <w:lvlJc w:val="left"/>
      <w:pPr>
        <w:ind w:left="987" w:hanging="420"/>
      </w:pPr>
      <w:rPr>
        <w:rFonts w:hint="eastAsia" w:ascii="黑体" w:hAnsi="黑体" w:eastAsia="黑体"/>
        <w:b/>
        <w:bCs/>
        <w:color w:val="auto"/>
        <w:sz w:val="32"/>
        <w:szCs w:val="32"/>
        <w:lang w:val="en-US"/>
      </w:rPr>
    </w:lvl>
    <w:lvl w:ilvl="1" w:tentative="0">
      <w:start w:val="1"/>
      <w:numFmt w:val="japaneseCounting"/>
      <w:lvlText w:val="(%2)"/>
      <w:lvlJc w:val="left"/>
      <w:pPr>
        <w:ind w:left="1780" w:hanging="720"/>
      </w:pPr>
      <w:rPr>
        <w:rFonts w:hint="default"/>
      </w:rPr>
    </w:lvl>
    <w:lvl w:ilvl="2" w:tentative="0">
      <w:start w:val="1"/>
      <w:numFmt w:val="japaneseCounting"/>
      <w:lvlText w:val="（%3）"/>
      <w:lvlJc w:val="left"/>
      <w:pPr>
        <w:ind w:left="2560" w:hanging="1080"/>
      </w:pPr>
      <w:rPr>
        <w:rFonts w:hint="default"/>
      </w:r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24C60053"/>
    <w:multiLevelType w:val="multilevel"/>
    <w:tmpl w:val="24C60053"/>
    <w:lvl w:ilvl="0" w:tentative="0">
      <w:start w:val="1"/>
      <w:numFmt w:val="decimal"/>
      <w:lvlText w:val="%1."/>
      <w:lvlJc w:val="left"/>
      <w:pPr>
        <w:ind w:left="1060"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
    <w:nsid w:val="25060EC4"/>
    <w:multiLevelType w:val="multilevel"/>
    <w:tmpl w:val="25060EC4"/>
    <w:lvl w:ilvl="0" w:tentative="0">
      <w:start w:val="1"/>
      <w:numFmt w:val="japaneseCounting"/>
      <w:lvlText w:val="%1、"/>
      <w:lvlJc w:val="left"/>
      <w:pPr>
        <w:ind w:left="178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71205A4"/>
    <w:multiLevelType w:val="multilevel"/>
    <w:tmpl w:val="271205A4"/>
    <w:lvl w:ilvl="0" w:tentative="0">
      <w:start w:val="1"/>
      <w:numFmt w:val="decimal"/>
      <w:lvlText w:val="%1."/>
      <w:lvlJc w:val="left"/>
      <w:pPr>
        <w:ind w:left="1697"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9">
    <w:nsid w:val="3713218B"/>
    <w:multiLevelType w:val="multilevel"/>
    <w:tmpl w:val="3713218B"/>
    <w:lvl w:ilvl="0" w:tentative="0">
      <w:start w:val="1"/>
      <w:numFmt w:val="chineseCountingThousand"/>
      <w:lvlText w:val="(%1)"/>
      <w:lvlJc w:val="left"/>
      <w:pPr>
        <w:ind w:left="1060"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0">
    <w:nsid w:val="3C3C1749"/>
    <w:multiLevelType w:val="multilevel"/>
    <w:tmpl w:val="3C3C1749"/>
    <w:lvl w:ilvl="0" w:tentative="0">
      <w:start w:val="1"/>
      <w:numFmt w:val="decimal"/>
      <w:lvlText w:val="%1."/>
      <w:lvlJc w:val="left"/>
      <w:pPr>
        <w:ind w:left="2121"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1">
    <w:nsid w:val="487162DE"/>
    <w:multiLevelType w:val="multilevel"/>
    <w:tmpl w:val="487162DE"/>
    <w:lvl w:ilvl="0" w:tentative="0">
      <w:start w:val="1"/>
      <w:numFmt w:val="decimal"/>
      <w:lvlText w:val="%1."/>
      <w:lvlJc w:val="left"/>
      <w:pPr>
        <w:ind w:left="2121"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2">
    <w:nsid w:val="57522834"/>
    <w:multiLevelType w:val="multilevel"/>
    <w:tmpl w:val="57522834"/>
    <w:lvl w:ilvl="0" w:tentative="0">
      <w:start w:val="1"/>
      <w:numFmt w:val="chineseCountingThousand"/>
      <w:lvlText w:val="(%1)"/>
      <w:lvlJc w:val="left"/>
      <w:pPr>
        <w:ind w:left="1060"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3">
    <w:nsid w:val="5DC33D8E"/>
    <w:multiLevelType w:val="multilevel"/>
    <w:tmpl w:val="5DC33D8E"/>
    <w:lvl w:ilvl="0" w:tentative="0">
      <w:start w:val="1"/>
      <w:numFmt w:val="chineseCountingThousand"/>
      <w:lvlText w:val="(%1)"/>
      <w:lvlJc w:val="left"/>
      <w:pPr>
        <w:ind w:left="1060"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4">
    <w:nsid w:val="73B124D5"/>
    <w:multiLevelType w:val="multilevel"/>
    <w:tmpl w:val="73B124D5"/>
    <w:lvl w:ilvl="0" w:tentative="0">
      <w:start w:val="1"/>
      <w:numFmt w:val="chineseCountingThousand"/>
      <w:lvlText w:val="(%1)"/>
      <w:lvlJc w:val="left"/>
      <w:pPr>
        <w:ind w:left="1060"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5">
    <w:nsid w:val="7BC44FAF"/>
    <w:multiLevelType w:val="multilevel"/>
    <w:tmpl w:val="7BC44FAF"/>
    <w:lvl w:ilvl="0" w:tentative="0">
      <w:start w:val="1"/>
      <w:numFmt w:val="chineseCountingThousand"/>
      <w:lvlText w:val="(%1)"/>
      <w:lvlJc w:val="left"/>
      <w:pPr>
        <w:ind w:left="1060" w:hanging="420"/>
      </w:pPr>
      <w:rPr>
        <w:rFonts w:ascii="仿宋" w:hAnsi="仿宋" w:eastAsia="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5"/>
  </w:num>
  <w:num w:numId="2">
    <w:abstractNumId w:val="0"/>
  </w:num>
  <w:num w:numId="3">
    <w:abstractNumId w:val="8"/>
  </w:num>
  <w:num w:numId="4">
    <w:abstractNumId w:val="4"/>
  </w:num>
  <w:num w:numId="5">
    <w:abstractNumId w:val="10"/>
  </w:num>
  <w:num w:numId="6">
    <w:abstractNumId w:val="11"/>
  </w:num>
  <w:num w:numId="7">
    <w:abstractNumId w:val="1"/>
  </w:num>
  <w:num w:numId="8">
    <w:abstractNumId w:val="15"/>
  </w:num>
  <w:num w:numId="9">
    <w:abstractNumId w:val="13"/>
  </w:num>
  <w:num w:numId="10">
    <w:abstractNumId w:val="12"/>
  </w:num>
  <w:num w:numId="11">
    <w:abstractNumId w:val="14"/>
  </w:num>
  <w:num w:numId="12">
    <w:abstractNumId w:val="6"/>
  </w:num>
  <w:num w:numId="13">
    <w:abstractNumId w:val="9"/>
  </w:num>
  <w:num w:numId="14">
    <w:abstractNumId w:val="3"/>
  </w:num>
  <w:num w:numId="15">
    <w:abstractNumId w:val="7"/>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Q2MWJhNmNlOThkM2Y3NzI3MGY4NWY1NmFhN2JhOTcifQ=="/>
  </w:docVars>
  <w:rsids>
    <w:rsidRoot w:val="0048007E"/>
    <w:rsid w:val="00000743"/>
    <w:rsid w:val="00000A70"/>
    <w:rsid w:val="00000F9C"/>
    <w:rsid w:val="00005FC8"/>
    <w:rsid w:val="00007288"/>
    <w:rsid w:val="00007EED"/>
    <w:rsid w:val="00010E34"/>
    <w:rsid w:val="00011EC9"/>
    <w:rsid w:val="000129BB"/>
    <w:rsid w:val="00012A2A"/>
    <w:rsid w:val="000133E2"/>
    <w:rsid w:val="0001375E"/>
    <w:rsid w:val="00013AE4"/>
    <w:rsid w:val="00014140"/>
    <w:rsid w:val="000166A8"/>
    <w:rsid w:val="00017F3A"/>
    <w:rsid w:val="00020785"/>
    <w:rsid w:val="000207B2"/>
    <w:rsid w:val="00020D10"/>
    <w:rsid w:val="00023A32"/>
    <w:rsid w:val="0002504F"/>
    <w:rsid w:val="0002553F"/>
    <w:rsid w:val="00025C2B"/>
    <w:rsid w:val="000273D7"/>
    <w:rsid w:val="000274B9"/>
    <w:rsid w:val="000278DA"/>
    <w:rsid w:val="00030D54"/>
    <w:rsid w:val="00031D5E"/>
    <w:rsid w:val="00031FDC"/>
    <w:rsid w:val="0003253A"/>
    <w:rsid w:val="00032614"/>
    <w:rsid w:val="0003353B"/>
    <w:rsid w:val="00033C6C"/>
    <w:rsid w:val="00034B17"/>
    <w:rsid w:val="000359A5"/>
    <w:rsid w:val="0003644F"/>
    <w:rsid w:val="0003743A"/>
    <w:rsid w:val="00037A6A"/>
    <w:rsid w:val="00037C0B"/>
    <w:rsid w:val="00037E73"/>
    <w:rsid w:val="00040471"/>
    <w:rsid w:val="00040517"/>
    <w:rsid w:val="00040D7D"/>
    <w:rsid w:val="00040F1F"/>
    <w:rsid w:val="0004126D"/>
    <w:rsid w:val="00041580"/>
    <w:rsid w:val="00041A20"/>
    <w:rsid w:val="00042511"/>
    <w:rsid w:val="00042DED"/>
    <w:rsid w:val="000433ED"/>
    <w:rsid w:val="00044B76"/>
    <w:rsid w:val="00044FF3"/>
    <w:rsid w:val="0004527F"/>
    <w:rsid w:val="00047B9F"/>
    <w:rsid w:val="00050F11"/>
    <w:rsid w:val="00051E53"/>
    <w:rsid w:val="0005475A"/>
    <w:rsid w:val="00055702"/>
    <w:rsid w:val="00056F6A"/>
    <w:rsid w:val="0005769D"/>
    <w:rsid w:val="00057FC7"/>
    <w:rsid w:val="00060EBD"/>
    <w:rsid w:val="00061F64"/>
    <w:rsid w:val="00063DC5"/>
    <w:rsid w:val="00063EFD"/>
    <w:rsid w:val="00064667"/>
    <w:rsid w:val="00064BB9"/>
    <w:rsid w:val="00064EF6"/>
    <w:rsid w:val="00066672"/>
    <w:rsid w:val="00066B56"/>
    <w:rsid w:val="000670F7"/>
    <w:rsid w:val="00067483"/>
    <w:rsid w:val="000675C9"/>
    <w:rsid w:val="00067855"/>
    <w:rsid w:val="00072760"/>
    <w:rsid w:val="00072963"/>
    <w:rsid w:val="00072FAD"/>
    <w:rsid w:val="0007351E"/>
    <w:rsid w:val="000741FE"/>
    <w:rsid w:val="00074CC6"/>
    <w:rsid w:val="0007508F"/>
    <w:rsid w:val="000757F7"/>
    <w:rsid w:val="00075D7A"/>
    <w:rsid w:val="00077C1D"/>
    <w:rsid w:val="000804F2"/>
    <w:rsid w:val="00080B74"/>
    <w:rsid w:val="000810E1"/>
    <w:rsid w:val="00081737"/>
    <w:rsid w:val="00081C14"/>
    <w:rsid w:val="00081C47"/>
    <w:rsid w:val="00082525"/>
    <w:rsid w:val="00083038"/>
    <w:rsid w:val="00083783"/>
    <w:rsid w:val="00083800"/>
    <w:rsid w:val="00084800"/>
    <w:rsid w:val="00085EFA"/>
    <w:rsid w:val="0008610E"/>
    <w:rsid w:val="00087393"/>
    <w:rsid w:val="000874C8"/>
    <w:rsid w:val="00087690"/>
    <w:rsid w:val="000901E0"/>
    <w:rsid w:val="00090628"/>
    <w:rsid w:val="000923DF"/>
    <w:rsid w:val="00092ABD"/>
    <w:rsid w:val="000934C1"/>
    <w:rsid w:val="000935D2"/>
    <w:rsid w:val="00093DCD"/>
    <w:rsid w:val="00094B00"/>
    <w:rsid w:val="00095140"/>
    <w:rsid w:val="000A2351"/>
    <w:rsid w:val="000A2514"/>
    <w:rsid w:val="000A2702"/>
    <w:rsid w:val="000A2B76"/>
    <w:rsid w:val="000A411F"/>
    <w:rsid w:val="000A4A33"/>
    <w:rsid w:val="000A546E"/>
    <w:rsid w:val="000A54E2"/>
    <w:rsid w:val="000A67D1"/>
    <w:rsid w:val="000A6A4B"/>
    <w:rsid w:val="000A7E0A"/>
    <w:rsid w:val="000B0DC1"/>
    <w:rsid w:val="000B1593"/>
    <w:rsid w:val="000B1BA9"/>
    <w:rsid w:val="000B1E49"/>
    <w:rsid w:val="000B36B2"/>
    <w:rsid w:val="000B3918"/>
    <w:rsid w:val="000B56D3"/>
    <w:rsid w:val="000B6172"/>
    <w:rsid w:val="000C081B"/>
    <w:rsid w:val="000C0C98"/>
    <w:rsid w:val="000C2A5A"/>
    <w:rsid w:val="000C56DC"/>
    <w:rsid w:val="000C6DF4"/>
    <w:rsid w:val="000D05D5"/>
    <w:rsid w:val="000D1F94"/>
    <w:rsid w:val="000D384B"/>
    <w:rsid w:val="000D3A9A"/>
    <w:rsid w:val="000D3D5B"/>
    <w:rsid w:val="000D41C7"/>
    <w:rsid w:val="000D517F"/>
    <w:rsid w:val="000D53C0"/>
    <w:rsid w:val="000D674C"/>
    <w:rsid w:val="000D72FE"/>
    <w:rsid w:val="000E0409"/>
    <w:rsid w:val="000E1AA3"/>
    <w:rsid w:val="000E2263"/>
    <w:rsid w:val="000E377F"/>
    <w:rsid w:val="000E3932"/>
    <w:rsid w:val="000E3FD9"/>
    <w:rsid w:val="000E5D61"/>
    <w:rsid w:val="000E79B6"/>
    <w:rsid w:val="000F1666"/>
    <w:rsid w:val="000F1806"/>
    <w:rsid w:val="000F337C"/>
    <w:rsid w:val="000F381B"/>
    <w:rsid w:val="000F3DB7"/>
    <w:rsid w:val="000F40E1"/>
    <w:rsid w:val="000F50C6"/>
    <w:rsid w:val="000F6EB0"/>
    <w:rsid w:val="000F74BF"/>
    <w:rsid w:val="000F7772"/>
    <w:rsid w:val="000F7ECE"/>
    <w:rsid w:val="00100EA1"/>
    <w:rsid w:val="0010120B"/>
    <w:rsid w:val="00101AC5"/>
    <w:rsid w:val="00101F46"/>
    <w:rsid w:val="00104188"/>
    <w:rsid w:val="00104562"/>
    <w:rsid w:val="00106A7B"/>
    <w:rsid w:val="00111265"/>
    <w:rsid w:val="001117CC"/>
    <w:rsid w:val="00112203"/>
    <w:rsid w:val="0011266B"/>
    <w:rsid w:val="00113B93"/>
    <w:rsid w:val="00113C7E"/>
    <w:rsid w:val="0011574F"/>
    <w:rsid w:val="001158F0"/>
    <w:rsid w:val="001169CE"/>
    <w:rsid w:val="00116A8D"/>
    <w:rsid w:val="0011706E"/>
    <w:rsid w:val="00117813"/>
    <w:rsid w:val="0011790C"/>
    <w:rsid w:val="00117963"/>
    <w:rsid w:val="00117AF4"/>
    <w:rsid w:val="00120027"/>
    <w:rsid w:val="00120443"/>
    <w:rsid w:val="001209D1"/>
    <w:rsid w:val="00121079"/>
    <w:rsid w:val="001233BF"/>
    <w:rsid w:val="00123D5C"/>
    <w:rsid w:val="00123F6C"/>
    <w:rsid w:val="00124621"/>
    <w:rsid w:val="00124884"/>
    <w:rsid w:val="00125D2F"/>
    <w:rsid w:val="0012722A"/>
    <w:rsid w:val="00127651"/>
    <w:rsid w:val="00130778"/>
    <w:rsid w:val="00130F0B"/>
    <w:rsid w:val="00131406"/>
    <w:rsid w:val="0013169D"/>
    <w:rsid w:val="0013183E"/>
    <w:rsid w:val="00132A7F"/>
    <w:rsid w:val="0013341C"/>
    <w:rsid w:val="001339B6"/>
    <w:rsid w:val="001341B6"/>
    <w:rsid w:val="001374A7"/>
    <w:rsid w:val="00137FEA"/>
    <w:rsid w:val="001400BF"/>
    <w:rsid w:val="001405C2"/>
    <w:rsid w:val="00140D8F"/>
    <w:rsid w:val="00141CA9"/>
    <w:rsid w:val="001436A7"/>
    <w:rsid w:val="00143871"/>
    <w:rsid w:val="00145404"/>
    <w:rsid w:val="00145660"/>
    <w:rsid w:val="001464CC"/>
    <w:rsid w:val="00150389"/>
    <w:rsid w:val="00150ADB"/>
    <w:rsid w:val="0015213C"/>
    <w:rsid w:val="00152612"/>
    <w:rsid w:val="00152C24"/>
    <w:rsid w:val="00153962"/>
    <w:rsid w:val="00157048"/>
    <w:rsid w:val="001570FD"/>
    <w:rsid w:val="0016147E"/>
    <w:rsid w:val="00162644"/>
    <w:rsid w:val="001636F3"/>
    <w:rsid w:val="00164B9E"/>
    <w:rsid w:val="0016511B"/>
    <w:rsid w:val="00165A12"/>
    <w:rsid w:val="00166657"/>
    <w:rsid w:val="00166967"/>
    <w:rsid w:val="00166A9F"/>
    <w:rsid w:val="00167563"/>
    <w:rsid w:val="00170347"/>
    <w:rsid w:val="00170A69"/>
    <w:rsid w:val="001718F0"/>
    <w:rsid w:val="00171995"/>
    <w:rsid w:val="00171F74"/>
    <w:rsid w:val="00173A71"/>
    <w:rsid w:val="00174D03"/>
    <w:rsid w:val="00175262"/>
    <w:rsid w:val="00175F16"/>
    <w:rsid w:val="001802D8"/>
    <w:rsid w:val="0018077A"/>
    <w:rsid w:val="00180932"/>
    <w:rsid w:val="00182D19"/>
    <w:rsid w:val="00182D32"/>
    <w:rsid w:val="00183926"/>
    <w:rsid w:val="00184A16"/>
    <w:rsid w:val="00184D83"/>
    <w:rsid w:val="001852C0"/>
    <w:rsid w:val="00186542"/>
    <w:rsid w:val="00186FC3"/>
    <w:rsid w:val="0019015D"/>
    <w:rsid w:val="001901ED"/>
    <w:rsid w:val="001903BC"/>
    <w:rsid w:val="00190C44"/>
    <w:rsid w:val="00190E0A"/>
    <w:rsid w:val="001915CD"/>
    <w:rsid w:val="00191F01"/>
    <w:rsid w:val="001932E2"/>
    <w:rsid w:val="00193CDF"/>
    <w:rsid w:val="00193F57"/>
    <w:rsid w:val="001946FA"/>
    <w:rsid w:val="0019494D"/>
    <w:rsid w:val="00195281"/>
    <w:rsid w:val="00196627"/>
    <w:rsid w:val="00197C9B"/>
    <w:rsid w:val="001A0B9D"/>
    <w:rsid w:val="001A0DB0"/>
    <w:rsid w:val="001A1AAB"/>
    <w:rsid w:val="001A1C31"/>
    <w:rsid w:val="001A1CFB"/>
    <w:rsid w:val="001A1D52"/>
    <w:rsid w:val="001A1F93"/>
    <w:rsid w:val="001A3FC1"/>
    <w:rsid w:val="001A57EC"/>
    <w:rsid w:val="001A6EF1"/>
    <w:rsid w:val="001A76F2"/>
    <w:rsid w:val="001A7D33"/>
    <w:rsid w:val="001A7E44"/>
    <w:rsid w:val="001A7F68"/>
    <w:rsid w:val="001B02DE"/>
    <w:rsid w:val="001B096C"/>
    <w:rsid w:val="001B0B23"/>
    <w:rsid w:val="001B1A86"/>
    <w:rsid w:val="001B1DF6"/>
    <w:rsid w:val="001B258C"/>
    <w:rsid w:val="001B29EA"/>
    <w:rsid w:val="001B2D31"/>
    <w:rsid w:val="001B35F7"/>
    <w:rsid w:val="001B3AB6"/>
    <w:rsid w:val="001B4995"/>
    <w:rsid w:val="001B5020"/>
    <w:rsid w:val="001C01FC"/>
    <w:rsid w:val="001C0AF0"/>
    <w:rsid w:val="001C23A4"/>
    <w:rsid w:val="001C26E5"/>
    <w:rsid w:val="001C372A"/>
    <w:rsid w:val="001C4075"/>
    <w:rsid w:val="001C41F0"/>
    <w:rsid w:val="001C472A"/>
    <w:rsid w:val="001C4F9E"/>
    <w:rsid w:val="001C4FB5"/>
    <w:rsid w:val="001C5610"/>
    <w:rsid w:val="001C7A0A"/>
    <w:rsid w:val="001D023A"/>
    <w:rsid w:val="001D051B"/>
    <w:rsid w:val="001D0832"/>
    <w:rsid w:val="001D29A3"/>
    <w:rsid w:val="001D29FE"/>
    <w:rsid w:val="001D3ADB"/>
    <w:rsid w:val="001D3C9E"/>
    <w:rsid w:val="001D5152"/>
    <w:rsid w:val="001D651F"/>
    <w:rsid w:val="001D6CA1"/>
    <w:rsid w:val="001E1729"/>
    <w:rsid w:val="001E2772"/>
    <w:rsid w:val="001E2F8F"/>
    <w:rsid w:val="001E3696"/>
    <w:rsid w:val="001E4C75"/>
    <w:rsid w:val="001E4DD6"/>
    <w:rsid w:val="001E5395"/>
    <w:rsid w:val="001E53E4"/>
    <w:rsid w:val="001E5CE5"/>
    <w:rsid w:val="001E64F7"/>
    <w:rsid w:val="001E651E"/>
    <w:rsid w:val="001E65C3"/>
    <w:rsid w:val="001E7197"/>
    <w:rsid w:val="001F0A54"/>
    <w:rsid w:val="001F1902"/>
    <w:rsid w:val="001F26D9"/>
    <w:rsid w:val="001F27D9"/>
    <w:rsid w:val="001F3519"/>
    <w:rsid w:val="001F3D85"/>
    <w:rsid w:val="001F4908"/>
    <w:rsid w:val="001F496B"/>
    <w:rsid w:val="001F59AC"/>
    <w:rsid w:val="001F5E09"/>
    <w:rsid w:val="001F68B6"/>
    <w:rsid w:val="001F77A8"/>
    <w:rsid w:val="001F798D"/>
    <w:rsid w:val="00200858"/>
    <w:rsid w:val="0020136D"/>
    <w:rsid w:val="0020243F"/>
    <w:rsid w:val="00202C89"/>
    <w:rsid w:val="0020330C"/>
    <w:rsid w:val="002051EC"/>
    <w:rsid w:val="00205201"/>
    <w:rsid w:val="00205F9C"/>
    <w:rsid w:val="002064FA"/>
    <w:rsid w:val="00207644"/>
    <w:rsid w:val="002107B9"/>
    <w:rsid w:val="00210BA2"/>
    <w:rsid w:val="00211254"/>
    <w:rsid w:val="0021149C"/>
    <w:rsid w:val="00213441"/>
    <w:rsid w:val="00214001"/>
    <w:rsid w:val="00216358"/>
    <w:rsid w:val="00216AA5"/>
    <w:rsid w:val="00216BB6"/>
    <w:rsid w:val="00217377"/>
    <w:rsid w:val="002205EB"/>
    <w:rsid w:val="00220DBF"/>
    <w:rsid w:val="00221727"/>
    <w:rsid w:val="00221CE6"/>
    <w:rsid w:val="00221D24"/>
    <w:rsid w:val="00222A2C"/>
    <w:rsid w:val="0022741A"/>
    <w:rsid w:val="00227485"/>
    <w:rsid w:val="0022795C"/>
    <w:rsid w:val="00227ED2"/>
    <w:rsid w:val="00230CCC"/>
    <w:rsid w:val="00231808"/>
    <w:rsid w:val="00231AB1"/>
    <w:rsid w:val="002321C2"/>
    <w:rsid w:val="00232DA6"/>
    <w:rsid w:val="002354B2"/>
    <w:rsid w:val="00235958"/>
    <w:rsid w:val="002364F9"/>
    <w:rsid w:val="00237098"/>
    <w:rsid w:val="00240B6A"/>
    <w:rsid w:val="0024123A"/>
    <w:rsid w:val="00241254"/>
    <w:rsid w:val="00242528"/>
    <w:rsid w:val="002425CA"/>
    <w:rsid w:val="00243FD5"/>
    <w:rsid w:val="00244981"/>
    <w:rsid w:val="00245D78"/>
    <w:rsid w:val="002466F9"/>
    <w:rsid w:val="00246F9C"/>
    <w:rsid w:val="00247199"/>
    <w:rsid w:val="0025032D"/>
    <w:rsid w:val="002509B0"/>
    <w:rsid w:val="00250C1D"/>
    <w:rsid w:val="002510E1"/>
    <w:rsid w:val="002514AA"/>
    <w:rsid w:val="002514CE"/>
    <w:rsid w:val="002514D0"/>
    <w:rsid w:val="00251D11"/>
    <w:rsid w:val="00251E11"/>
    <w:rsid w:val="00251EA3"/>
    <w:rsid w:val="002527B6"/>
    <w:rsid w:val="00253B1A"/>
    <w:rsid w:val="00253C6A"/>
    <w:rsid w:val="002542B6"/>
    <w:rsid w:val="0025551F"/>
    <w:rsid w:val="00255525"/>
    <w:rsid w:val="00255B6B"/>
    <w:rsid w:val="00256DC9"/>
    <w:rsid w:val="00260015"/>
    <w:rsid w:val="002602C1"/>
    <w:rsid w:val="002608DC"/>
    <w:rsid w:val="00260FBC"/>
    <w:rsid w:val="002610AE"/>
    <w:rsid w:val="00261423"/>
    <w:rsid w:val="0026176E"/>
    <w:rsid w:val="00262345"/>
    <w:rsid w:val="002627D1"/>
    <w:rsid w:val="002630D5"/>
    <w:rsid w:val="0026361C"/>
    <w:rsid w:val="00265249"/>
    <w:rsid w:val="00265407"/>
    <w:rsid w:val="002663B2"/>
    <w:rsid w:val="00266E5A"/>
    <w:rsid w:val="00267808"/>
    <w:rsid w:val="00267987"/>
    <w:rsid w:val="00271636"/>
    <w:rsid w:val="00271714"/>
    <w:rsid w:val="00271BC2"/>
    <w:rsid w:val="0027360F"/>
    <w:rsid w:val="002757E8"/>
    <w:rsid w:val="002758F0"/>
    <w:rsid w:val="00281D21"/>
    <w:rsid w:val="00281F10"/>
    <w:rsid w:val="00282912"/>
    <w:rsid w:val="00282D76"/>
    <w:rsid w:val="00282E26"/>
    <w:rsid w:val="00283904"/>
    <w:rsid w:val="002848A5"/>
    <w:rsid w:val="00285CCB"/>
    <w:rsid w:val="00287349"/>
    <w:rsid w:val="00287DF6"/>
    <w:rsid w:val="002922AB"/>
    <w:rsid w:val="00294205"/>
    <w:rsid w:val="002942EE"/>
    <w:rsid w:val="00294891"/>
    <w:rsid w:val="00294BB4"/>
    <w:rsid w:val="00295354"/>
    <w:rsid w:val="00295A6A"/>
    <w:rsid w:val="00295CB7"/>
    <w:rsid w:val="002965A7"/>
    <w:rsid w:val="002977C6"/>
    <w:rsid w:val="002A019B"/>
    <w:rsid w:val="002A113F"/>
    <w:rsid w:val="002A201D"/>
    <w:rsid w:val="002A21CC"/>
    <w:rsid w:val="002A39F5"/>
    <w:rsid w:val="002A3DD0"/>
    <w:rsid w:val="002A4466"/>
    <w:rsid w:val="002A486A"/>
    <w:rsid w:val="002A5BCD"/>
    <w:rsid w:val="002A672F"/>
    <w:rsid w:val="002A7647"/>
    <w:rsid w:val="002B0102"/>
    <w:rsid w:val="002B1E45"/>
    <w:rsid w:val="002B2FED"/>
    <w:rsid w:val="002B57FD"/>
    <w:rsid w:val="002B5944"/>
    <w:rsid w:val="002C038D"/>
    <w:rsid w:val="002C0F85"/>
    <w:rsid w:val="002C1DF4"/>
    <w:rsid w:val="002C31C8"/>
    <w:rsid w:val="002C425D"/>
    <w:rsid w:val="002C519A"/>
    <w:rsid w:val="002C6380"/>
    <w:rsid w:val="002C6728"/>
    <w:rsid w:val="002C74BC"/>
    <w:rsid w:val="002C755B"/>
    <w:rsid w:val="002C7746"/>
    <w:rsid w:val="002C7900"/>
    <w:rsid w:val="002D0490"/>
    <w:rsid w:val="002D082C"/>
    <w:rsid w:val="002D0A45"/>
    <w:rsid w:val="002D0C73"/>
    <w:rsid w:val="002D2285"/>
    <w:rsid w:val="002D3088"/>
    <w:rsid w:val="002D3341"/>
    <w:rsid w:val="002D49FA"/>
    <w:rsid w:val="002D4B4A"/>
    <w:rsid w:val="002D5005"/>
    <w:rsid w:val="002D55BE"/>
    <w:rsid w:val="002D5E17"/>
    <w:rsid w:val="002D647A"/>
    <w:rsid w:val="002D734B"/>
    <w:rsid w:val="002D7466"/>
    <w:rsid w:val="002D7D78"/>
    <w:rsid w:val="002D7FC8"/>
    <w:rsid w:val="002E079D"/>
    <w:rsid w:val="002E1797"/>
    <w:rsid w:val="002E1C23"/>
    <w:rsid w:val="002E2C9B"/>
    <w:rsid w:val="002E3234"/>
    <w:rsid w:val="002E3B3B"/>
    <w:rsid w:val="002E4B64"/>
    <w:rsid w:val="002E6490"/>
    <w:rsid w:val="002E65A8"/>
    <w:rsid w:val="002E675C"/>
    <w:rsid w:val="002E686A"/>
    <w:rsid w:val="002E7145"/>
    <w:rsid w:val="002E7471"/>
    <w:rsid w:val="002E75A4"/>
    <w:rsid w:val="002F024B"/>
    <w:rsid w:val="002F09E6"/>
    <w:rsid w:val="002F1873"/>
    <w:rsid w:val="002F1F64"/>
    <w:rsid w:val="002F24A4"/>
    <w:rsid w:val="002F24B8"/>
    <w:rsid w:val="002F2EFB"/>
    <w:rsid w:val="002F4B89"/>
    <w:rsid w:val="002F681B"/>
    <w:rsid w:val="002F6C70"/>
    <w:rsid w:val="002F6CA7"/>
    <w:rsid w:val="002F6CE5"/>
    <w:rsid w:val="002F7174"/>
    <w:rsid w:val="002F7689"/>
    <w:rsid w:val="003018EB"/>
    <w:rsid w:val="00302508"/>
    <w:rsid w:val="00306E68"/>
    <w:rsid w:val="00306FF5"/>
    <w:rsid w:val="00307711"/>
    <w:rsid w:val="00307F19"/>
    <w:rsid w:val="00310516"/>
    <w:rsid w:val="003108C8"/>
    <w:rsid w:val="00310932"/>
    <w:rsid w:val="00311518"/>
    <w:rsid w:val="00311F63"/>
    <w:rsid w:val="00313183"/>
    <w:rsid w:val="00316F45"/>
    <w:rsid w:val="00317796"/>
    <w:rsid w:val="003178DA"/>
    <w:rsid w:val="00320337"/>
    <w:rsid w:val="00321ABC"/>
    <w:rsid w:val="003222E9"/>
    <w:rsid w:val="003228A4"/>
    <w:rsid w:val="00322FE1"/>
    <w:rsid w:val="00322FF5"/>
    <w:rsid w:val="00323129"/>
    <w:rsid w:val="00323A37"/>
    <w:rsid w:val="00324883"/>
    <w:rsid w:val="00324B04"/>
    <w:rsid w:val="00324EE1"/>
    <w:rsid w:val="00326365"/>
    <w:rsid w:val="00326485"/>
    <w:rsid w:val="003266B4"/>
    <w:rsid w:val="003269F7"/>
    <w:rsid w:val="00326E89"/>
    <w:rsid w:val="00327484"/>
    <w:rsid w:val="00330FE8"/>
    <w:rsid w:val="00331C75"/>
    <w:rsid w:val="003321F9"/>
    <w:rsid w:val="0033251C"/>
    <w:rsid w:val="00332B52"/>
    <w:rsid w:val="003342F0"/>
    <w:rsid w:val="003348A5"/>
    <w:rsid w:val="0033500D"/>
    <w:rsid w:val="003351C5"/>
    <w:rsid w:val="00335CA0"/>
    <w:rsid w:val="00337479"/>
    <w:rsid w:val="003407E0"/>
    <w:rsid w:val="00343ED6"/>
    <w:rsid w:val="00344486"/>
    <w:rsid w:val="00345A35"/>
    <w:rsid w:val="0034610E"/>
    <w:rsid w:val="00346383"/>
    <w:rsid w:val="00346D75"/>
    <w:rsid w:val="003476D4"/>
    <w:rsid w:val="003506E5"/>
    <w:rsid w:val="00350C09"/>
    <w:rsid w:val="003519F8"/>
    <w:rsid w:val="00352880"/>
    <w:rsid w:val="00353C2D"/>
    <w:rsid w:val="0035510D"/>
    <w:rsid w:val="00356449"/>
    <w:rsid w:val="00357EF8"/>
    <w:rsid w:val="00362411"/>
    <w:rsid w:val="00362FE2"/>
    <w:rsid w:val="00363345"/>
    <w:rsid w:val="00363838"/>
    <w:rsid w:val="00364457"/>
    <w:rsid w:val="00364A25"/>
    <w:rsid w:val="00365DF0"/>
    <w:rsid w:val="00367111"/>
    <w:rsid w:val="0036717C"/>
    <w:rsid w:val="0037135A"/>
    <w:rsid w:val="00371489"/>
    <w:rsid w:val="00371BEC"/>
    <w:rsid w:val="00372F7D"/>
    <w:rsid w:val="0037313B"/>
    <w:rsid w:val="003738BE"/>
    <w:rsid w:val="00374383"/>
    <w:rsid w:val="00374513"/>
    <w:rsid w:val="00374923"/>
    <w:rsid w:val="003757B5"/>
    <w:rsid w:val="00375BF9"/>
    <w:rsid w:val="003765EF"/>
    <w:rsid w:val="00376D92"/>
    <w:rsid w:val="00377753"/>
    <w:rsid w:val="00377BC0"/>
    <w:rsid w:val="00377EB2"/>
    <w:rsid w:val="00381BFA"/>
    <w:rsid w:val="00382858"/>
    <w:rsid w:val="00382F4F"/>
    <w:rsid w:val="003832AD"/>
    <w:rsid w:val="003834B0"/>
    <w:rsid w:val="00383D51"/>
    <w:rsid w:val="00383E1D"/>
    <w:rsid w:val="00384A21"/>
    <w:rsid w:val="00385F59"/>
    <w:rsid w:val="0038678E"/>
    <w:rsid w:val="003869BE"/>
    <w:rsid w:val="00386ADF"/>
    <w:rsid w:val="00387C0B"/>
    <w:rsid w:val="003901CD"/>
    <w:rsid w:val="00391014"/>
    <w:rsid w:val="003913DB"/>
    <w:rsid w:val="00393E72"/>
    <w:rsid w:val="0039440D"/>
    <w:rsid w:val="00394E30"/>
    <w:rsid w:val="00394FFD"/>
    <w:rsid w:val="00395340"/>
    <w:rsid w:val="00395B07"/>
    <w:rsid w:val="00396D10"/>
    <w:rsid w:val="00397D75"/>
    <w:rsid w:val="003A0274"/>
    <w:rsid w:val="003A053C"/>
    <w:rsid w:val="003A134A"/>
    <w:rsid w:val="003A17C7"/>
    <w:rsid w:val="003A2DED"/>
    <w:rsid w:val="003A36A7"/>
    <w:rsid w:val="003A36D4"/>
    <w:rsid w:val="003A5410"/>
    <w:rsid w:val="003A6C88"/>
    <w:rsid w:val="003A6EE6"/>
    <w:rsid w:val="003B17E2"/>
    <w:rsid w:val="003B21C1"/>
    <w:rsid w:val="003B24C5"/>
    <w:rsid w:val="003B3BB1"/>
    <w:rsid w:val="003B471F"/>
    <w:rsid w:val="003B511C"/>
    <w:rsid w:val="003B53CE"/>
    <w:rsid w:val="003B5511"/>
    <w:rsid w:val="003B5FBC"/>
    <w:rsid w:val="003B618E"/>
    <w:rsid w:val="003B78E1"/>
    <w:rsid w:val="003C16C1"/>
    <w:rsid w:val="003C1F8F"/>
    <w:rsid w:val="003C240C"/>
    <w:rsid w:val="003C497E"/>
    <w:rsid w:val="003C4CA5"/>
    <w:rsid w:val="003C6573"/>
    <w:rsid w:val="003C7D56"/>
    <w:rsid w:val="003D0614"/>
    <w:rsid w:val="003D0918"/>
    <w:rsid w:val="003D14B8"/>
    <w:rsid w:val="003D151F"/>
    <w:rsid w:val="003D2693"/>
    <w:rsid w:val="003D3498"/>
    <w:rsid w:val="003D37A8"/>
    <w:rsid w:val="003D4E33"/>
    <w:rsid w:val="003D581F"/>
    <w:rsid w:val="003D641B"/>
    <w:rsid w:val="003D6459"/>
    <w:rsid w:val="003D6659"/>
    <w:rsid w:val="003D6812"/>
    <w:rsid w:val="003E0050"/>
    <w:rsid w:val="003E1347"/>
    <w:rsid w:val="003E2489"/>
    <w:rsid w:val="003E3406"/>
    <w:rsid w:val="003E3925"/>
    <w:rsid w:val="003E3C4C"/>
    <w:rsid w:val="003E4396"/>
    <w:rsid w:val="003E47D4"/>
    <w:rsid w:val="003E5E3E"/>
    <w:rsid w:val="003E5FB4"/>
    <w:rsid w:val="003E6522"/>
    <w:rsid w:val="003E6D3A"/>
    <w:rsid w:val="003F0060"/>
    <w:rsid w:val="003F0132"/>
    <w:rsid w:val="003F03BB"/>
    <w:rsid w:val="003F0CAF"/>
    <w:rsid w:val="003F1BF5"/>
    <w:rsid w:val="003F20F9"/>
    <w:rsid w:val="003F24A9"/>
    <w:rsid w:val="003F2CB8"/>
    <w:rsid w:val="003F309E"/>
    <w:rsid w:val="003F440C"/>
    <w:rsid w:val="003F4737"/>
    <w:rsid w:val="003F4ABA"/>
    <w:rsid w:val="003F663E"/>
    <w:rsid w:val="003F703A"/>
    <w:rsid w:val="003F7BA6"/>
    <w:rsid w:val="003F7F44"/>
    <w:rsid w:val="003F7F76"/>
    <w:rsid w:val="003F7FE2"/>
    <w:rsid w:val="0040017B"/>
    <w:rsid w:val="00401204"/>
    <w:rsid w:val="00401870"/>
    <w:rsid w:val="00401DFB"/>
    <w:rsid w:val="004026D4"/>
    <w:rsid w:val="004028DB"/>
    <w:rsid w:val="004038F3"/>
    <w:rsid w:val="0040403B"/>
    <w:rsid w:val="00404AF0"/>
    <w:rsid w:val="00405B4E"/>
    <w:rsid w:val="00406793"/>
    <w:rsid w:val="004074B8"/>
    <w:rsid w:val="004074CA"/>
    <w:rsid w:val="00407882"/>
    <w:rsid w:val="00410CC8"/>
    <w:rsid w:val="004110E4"/>
    <w:rsid w:val="00411720"/>
    <w:rsid w:val="00411AE2"/>
    <w:rsid w:val="00411C3C"/>
    <w:rsid w:val="004124CD"/>
    <w:rsid w:val="0041256D"/>
    <w:rsid w:val="00412ECA"/>
    <w:rsid w:val="004144B3"/>
    <w:rsid w:val="004158A0"/>
    <w:rsid w:val="00416910"/>
    <w:rsid w:val="00417BBE"/>
    <w:rsid w:val="00420FCC"/>
    <w:rsid w:val="004213D6"/>
    <w:rsid w:val="00422414"/>
    <w:rsid w:val="00422E26"/>
    <w:rsid w:val="0042436C"/>
    <w:rsid w:val="00424FF3"/>
    <w:rsid w:val="00425630"/>
    <w:rsid w:val="00426246"/>
    <w:rsid w:val="00426633"/>
    <w:rsid w:val="00426AC8"/>
    <w:rsid w:val="00427FAE"/>
    <w:rsid w:val="0043128B"/>
    <w:rsid w:val="0043249E"/>
    <w:rsid w:val="004328FA"/>
    <w:rsid w:val="00432CCE"/>
    <w:rsid w:val="00432D30"/>
    <w:rsid w:val="00434786"/>
    <w:rsid w:val="00434EB1"/>
    <w:rsid w:val="00436FA7"/>
    <w:rsid w:val="004372F4"/>
    <w:rsid w:val="00437FAB"/>
    <w:rsid w:val="004400DB"/>
    <w:rsid w:val="00440403"/>
    <w:rsid w:val="0044140C"/>
    <w:rsid w:val="00441661"/>
    <w:rsid w:val="00441C47"/>
    <w:rsid w:val="004428C6"/>
    <w:rsid w:val="00443DF3"/>
    <w:rsid w:val="00444021"/>
    <w:rsid w:val="00445605"/>
    <w:rsid w:val="00446462"/>
    <w:rsid w:val="00447079"/>
    <w:rsid w:val="004472B7"/>
    <w:rsid w:val="004508F5"/>
    <w:rsid w:val="00450D96"/>
    <w:rsid w:val="004517A1"/>
    <w:rsid w:val="00451BD8"/>
    <w:rsid w:val="004537DC"/>
    <w:rsid w:val="004550D1"/>
    <w:rsid w:val="004568B3"/>
    <w:rsid w:val="0045690F"/>
    <w:rsid w:val="004607D5"/>
    <w:rsid w:val="00460E31"/>
    <w:rsid w:val="00461C60"/>
    <w:rsid w:val="00462C26"/>
    <w:rsid w:val="00463EEE"/>
    <w:rsid w:val="0046445A"/>
    <w:rsid w:val="00464B15"/>
    <w:rsid w:val="00465D5C"/>
    <w:rsid w:val="00465E61"/>
    <w:rsid w:val="00466ABD"/>
    <w:rsid w:val="00466B4D"/>
    <w:rsid w:val="00471555"/>
    <w:rsid w:val="00472540"/>
    <w:rsid w:val="00472A69"/>
    <w:rsid w:val="00472D84"/>
    <w:rsid w:val="00473C14"/>
    <w:rsid w:val="004743EB"/>
    <w:rsid w:val="00474CB2"/>
    <w:rsid w:val="00474E3D"/>
    <w:rsid w:val="0047723B"/>
    <w:rsid w:val="0048007E"/>
    <w:rsid w:val="004811BC"/>
    <w:rsid w:val="00482422"/>
    <w:rsid w:val="00483B57"/>
    <w:rsid w:val="00485CFD"/>
    <w:rsid w:val="00486465"/>
    <w:rsid w:val="00486794"/>
    <w:rsid w:val="00486B46"/>
    <w:rsid w:val="00487204"/>
    <w:rsid w:val="00487C88"/>
    <w:rsid w:val="00490E7D"/>
    <w:rsid w:val="00491746"/>
    <w:rsid w:val="00491A10"/>
    <w:rsid w:val="00491EC4"/>
    <w:rsid w:val="0049367C"/>
    <w:rsid w:val="004946EF"/>
    <w:rsid w:val="00494C5E"/>
    <w:rsid w:val="0049555A"/>
    <w:rsid w:val="0049674D"/>
    <w:rsid w:val="004979AC"/>
    <w:rsid w:val="004A0044"/>
    <w:rsid w:val="004A009A"/>
    <w:rsid w:val="004A00D5"/>
    <w:rsid w:val="004A08D4"/>
    <w:rsid w:val="004A0D32"/>
    <w:rsid w:val="004A1167"/>
    <w:rsid w:val="004A1383"/>
    <w:rsid w:val="004A1F38"/>
    <w:rsid w:val="004A2509"/>
    <w:rsid w:val="004A2AE8"/>
    <w:rsid w:val="004A36FC"/>
    <w:rsid w:val="004A7AA3"/>
    <w:rsid w:val="004A7D9F"/>
    <w:rsid w:val="004B07DE"/>
    <w:rsid w:val="004B0E08"/>
    <w:rsid w:val="004B4CB2"/>
    <w:rsid w:val="004B5ADE"/>
    <w:rsid w:val="004B7628"/>
    <w:rsid w:val="004B763E"/>
    <w:rsid w:val="004C0115"/>
    <w:rsid w:val="004C0851"/>
    <w:rsid w:val="004C08AB"/>
    <w:rsid w:val="004C1593"/>
    <w:rsid w:val="004C1C39"/>
    <w:rsid w:val="004C22B1"/>
    <w:rsid w:val="004C23C8"/>
    <w:rsid w:val="004C353E"/>
    <w:rsid w:val="004C3A4E"/>
    <w:rsid w:val="004C5620"/>
    <w:rsid w:val="004C630F"/>
    <w:rsid w:val="004C74C4"/>
    <w:rsid w:val="004D0810"/>
    <w:rsid w:val="004D1484"/>
    <w:rsid w:val="004D17CD"/>
    <w:rsid w:val="004D28AF"/>
    <w:rsid w:val="004D356B"/>
    <w:rsid w:val="004D3C9D"/>
    <w:rsid w:val="004D3E16"/>
    <w:rsid w:val="004D438D"/>
    <w:rsid w:val="004D4DF7"/>
    <w:rsid w:val="004D53AF"/>
    <w:rsid w:val="004D5AB9"/>
    <w:rsid w:val="004D5B8C"/>
    <w:rsid w:val="004D6A55"/>
    <w:rsid w:val="004E0841"/>
    <w:rsid w:val="004E1797"/>
    <w:rsid w:val="004E1DC8"/>
    <w:rsid w:val="004E2772"/>
    <w:rsid w:val="004E2D74"/>
    <w:rsid w:val="004E3569"/>
    <w:rsid w:val="004E45D3"/>
    <w:rsid w:val="004E4F03"/>
    <w:rsid w:val="004E5211"/>
    <w:rsid w:val="004E5D72"/>
    <w:rsid w:val="004F0A81"/>
    <w:rsid w:val="004F0ECF"/>
    <w:rsid w:val="004F13A8"/>
    <w:rsid w:val="004F1C52"/>
    <w:rsid w:val="004F2064"/>
    <w:rsid w:val="004F2485"/>
    <w:rsid w:val="004F360E"/>
    <w:rsid w:val="004F49C3"/>
    <w:rsid w:val="004F4C1E"/>
    <w:rsid w:val="004F5364"/>
    <w:rsid w:val="004F6037"/>
    <w:rsid w:val="004F60E8"/>
    <w:rsid w:val="004F75A2"/>
    <w:rsid w:val="004F789C"/>
    <w:rsid w:val="00501232"/>
    <w:rsid w:val="00501399"/>
    <w:rsid w:val="0050194A"/>
    <w:rsid w:val="00501CF5"/>
    <w:rsid w:val="00502863"/>
    <w:rsid w:val="00504533"/>
    <w:rsid w:val="005059EA"/>
    <w:rsid w:val="00505F60"/>
    <w:rsid w:val="00506219"/>
    <w:rsid w:val="005065A5"/>
    <w:rsid w:val="00507F3C"/>
    <w:rsid w:val="00510168"/>
    <w:rsid w:val="0051037E"/>
    <w:rsid w:val="005103FB"/>
    <w:rsid w:val="00511258"/>
    <w:rsid w:val="00512AA8"/>
    <w:rsid w:val="00513299"/>
    <w:rsid w:val="0051417A"/>
    <w:rsid w:val="00514625"/>
    <w:rsid w:val="00514AE2"/>
    <w:rsid w:val="00514EA2"/>
    <w:rsid w:val="00514FDA"/>
    <w:rsid w:val="00515272"/>
    <w:rsid w:val="00515333"/>
    <w:rsid w:val="00517172"/>
    <w:rsid w:val="00517A37"/>
    <w:rsid w:val="00520DFE"/>
    <w:rsid w:val="00520F70"/>
    <w:rsid w:val="005219C2"/>
    <w:rsid w:val="00522090"/>
    <w:rsid w:val="0052341E"/>
    <w:rsid w:val="005244C2"/>
    <w:rsid w:val="0052483D"/>
    <w:rsid w:val="005248FE"/>
    <w:rsid w:val="00524D25"/>
    <w:rsid w:val="00524DB2"/>
    <w:rsid w:val="00525083"/>
    <w:rsid w:val="005260E0"/>
    <w:rsid w:val="005271BA"/>
    <w:rsid w:val="00530562"/>
    <w:rsid w:val="0053091D"/>
    <w:rsid w:val="00530DAA"/>
    <w:rsid w:val="00530F14"/>
    <w:rsid w:val="00531FFE"/>
    <w:rsid w:val="0053209C"/>
    <w:rsid w:val="00533BFC"/>
    <w:rsid w:val="00533DA4"/>
    <w:rsid w:val="0053422A"/>
    <w:rsid w:val="00535BCA"/>
    <w:rsid w:val="00535BFD"/>
    <w:rsid w:val="005369E0"/>
    <w:rsid w:val="00537183"/>
    <w:rsid w:val="005372F5"/>
    <w:rsid w:val="00537E05"/>
    <w:rsid w:val="005408C1"/>
    <w:rsid w:val="00541F2E"/>
    <w:rsid w:val="005422A6"/>
    <w:rsid w:val="005435BB"/>
    <w:rsid w:val="005456E8"/>
    <w:rsid w:val="005469C3"/>
    <w:rsid w:val="00546AE2"/>
    <w:rsid w:val="00546F1E"/>
    <w:rsid w:val="005478FD"/>
    <w:rsid w:val="00547D71"/>
    <w:rsid w:val="00551471"/>
    <w:rsid w:val="00551751"/>
    <w:rsid w:val="005517EB"/>
    <w:rsid w:val="0055429D"/>
    <w:rsid w:val="00554AB5"/>
    <w:rsid w:val="00555D35"/>
    <w:rsid w:val="005571ED"/>
    <w:rsid w:val="00557501"/>
    <w:rsid w:val="00560F15"/>
    <w:rsid w:val="00561A96"/>
    <w:rsid w:val="005622EC"/>
    <w:rsid w:val="00563B81"/>
    <w:rsid w:val="00564CB8"/>
    <w:rsid w:val="00565190"/>
    <w:rsid w:val="00566BF6"/>
    <w:rsid w:val="005677A9"/>
    <w:rsid w:val="00567B83"/>
    <w:rsid w:val="00567B86"/>
    <w:rsid w:val="0057133E"/>
    <w:rsid w:val="00571A05"/>
    <w:rsid w:val="005723EC"/>
    <w:rsid w:val="00573D35"/>
    <w:rsid w:val="00576057"/>
    <w:rsid w:val="00577653"/>
    <w:rsid w:val="0058029B"/>
    <w:rsid w:val="005812C9"/>
    <w:rsid w:val="005826F2"/>
    <w:rsid w:val="00583849"/>
    <w:rsid w:val="00585CB5"/>
    <w:rsid w:val="00586C81"/>
    <w:rsid w:val="00586FF2"/>
    <w:rsid w:val="00590856"/>
    <w:rsid w:val="00591C5E"/>
    <w:rsid w:val="00592286"/>
    <w:rsid w:val="00592E54"/>
    <w:rsid w:val="00593484"/>
    <w:rsid w:val="005936A1"/>
    <w:rsid w:val="0059385E"/>
    <w:rsid w:val="005939A4"/>
    <w:rsid w:val="00594438"/>
    <w:rsid w:val="00594E96"/>
    <w:rsid w:val="005957B7"/>
    <w:rsid w:val="00596C35"/>
    <w:rsid w:val="00597221"/>
    <w:rsid w:val="00597294"/>
    <w:rsid w:val="005A15FD"/>
    <w:rsid w:val="005A17DE"/>
    <w:rsid w:val="005A2FC5"/>
    <w:rsid w:val="005A69FC"/>
    <w:rsid w:val="005A7B64"/>
    <w:rsid w:val="005B0E2D"/>
    <w:rsid w:val="005B0F49"/>
    <w:rsid w:val="005B25F6"/>
    <w:rsid w:val="005B3063"/>
    <w:rsid w:val="005B3792"/>
    <w:rsid w:val="005B3E9E"/>
    <w:rsid w:val="005B3ECA"/>
    <w:rsid w:val="005B414B"/>
    <w:rsid w:val="005B4904"/>
    <w:rsid w:val="005B6724"/>
    <w:rsid w:val="005C04CE"/>
    <w:rsid w:val="005C0997"/>
    <w:rsid w:val="005C0E56"/>
    <w:rsid w:val="005C14F7"/>
    <w:rsid w:val="005C2E6F"/>
    <w:rsid w:val="005C34F4"/>
    <w:rsid w:val="005C3501"/>
    <w:rsid w:val="005C40A5"/>
    <w:rsid w:val="005C4FF8"/>
    <w:rsid w:val="005C7115"/>
    <w:rsid w:val="005D00E7"/>
    <w:rsid w:val="005D05D1"/>
    <w:rsid w:val="005D1AD6"/>
    <w:rsid w:val="005D3FBA"/>
    <w:rsid w:val="005D4255"/>
    <w:rsid w:val="005D4939"/>
    <w:rsid w:val="005D4AE3"/>
    <w:rsid w:val="005D5CC1"/>
    <w:rsid w:val="005D62A8"/>
    <w:rsid w:val="005D6383"/>
    <w:rsid w:val="005D6490"/>
    <w:rsid w:val="005D6581"/>
    <w:rsid w:val="005D73CC"/>
    <w:rsid w:val="005D76DF"/>
    <w:rsid w:val="005E3B73"/>
    <w:rsid w:val="005E4CD9"/>
    <w:rsid w:val="005E5165"/>
    <w:rsid w:val="005E5F2F"/>
    <w:rsid w:val="005E7977"/>
    <w:rsid w:val="005F241B"/>
    <w:rsid w:val="005F3061"/>
    <w:rsid w:val="005F345A"/>
    <w:rsid w:val="005F5855"/>
    <w:rsid w:val="005F5F81"/>
    <w:rsid w:val="005F6093"/>
    <w:rsid w:val="006004A6"/>
    <w:rsid w:val="006004A9"/>
    <w:rsid w:val="006008C8"/>
    <w:rsid w:val="006017E5"/>
    <w:rsid w:val="00602061"/>
    <w:rsid w:val="0060271C"/>
    <w:rsid w:val="006031F0"/>
    <w:rsid w:val="006044A3"/>
    <w:rsid w:val="0060453E"/>
    <w:rsid w:val="00605C46"/>
    <w:rsid w:val="006069FD"/>
    <w:rsid w:val="006074A9"/>
    <w:rsid w:val="00607658"/>
    <w:rsid w:val="00610159"/>
    <w:rsid w:val="00610BC9"/>
    <w:rsid w:val="00611896"/>
    <w:rsid w:val="00612DD8"/>
    <w:rsid w:val="00613AEE"/>
    <w:rsid w:val="00613C5F"/>
    <w:rsid w:val="00614375"/>
    <w:rsid w:val="0061438D"/>
    <w:rsid w:val="0061449D"/>
    <w:rsid w:val="00614C1B"/>
    <w:rsid w:val="00615189"/>
    <w:rsid w:val="006156DC"/>
    <w:rsid w:val="00615A28"/>
    <w:rsid w:val="0061666D"/>
    <w:rsid w:val="00617A09"/>
    <w:rsid w:val="00617E95"/>
    <w:rsid w:val="0062244D"/>
    <w:rsid w:val="00624113"/>
    <w:rsid w:val="0062587B"/>
    <w:rsid w:val="00625A79"/>
    <w:rsid w:val="00625CED"/>
    <w:rsid w:val="00627410"/>
    <w:rsid w:val="006275E2"/>
    <w:rsid w:val="006302AE"/>
    <w:rsid w:val="00630597"/>
    <w:rsid w:val="00630E45"/>
    <w:rsid w:val="00630F0E"/>
    <w:rsid w:val="006324B1"/>
    <w:rsid w:val="00633485"/>
    <w:rsid w:val="00634171"/>
    <w:rsid w:val="006353EC"/>
    <w:rsid w:val="0063567D"/>
    <w:rsid w:val="0063638B"/>
    <w:rsid w:val="00636AB3"/>
    <w:rsid w:val="006378A2"/>
    <w:rsid w:val="006446CC"/>
    <w:rsid w:val="00645299"/>
    <w:rsid w:val="0064597E"/>
    <w:rsid w:val="0064666A"/>
    <w:rsid w:val="00647C57"/>
    <w:rsid w:val="006502EF"/>
    <w:rsid w:val="00650740"/>
    <w:rsid w:val="006514CA"/>
    <w:rsid w:val="00652687"/>
    <w:rsid w:val="00652948"/>
    <w:rsid w:val="00656123"/>
    <w:rsid w:val="006569E3"/>
    <w:rsid w:val="00657536"/>
    <w:rsid w:val="006600A7"/>
    <w:rsid w:val="006603F9"/>
    <w:rsid w:val="00660BEF"/>
    <w:rsid w:val="00661342"/>
    <w:rsid w:val="006613EF"/>
    <w:rsid w:val="00661CE7"/>
    <w:rsid w:val="006627BB"/>
    <w:rsid w:val="00662A23"/>
    <w:rsid w:val="0066540A"/>
    <w:rsid w:val="006664C6"/>
    <w:rsid w:val="00666803"/>
    <w:rsid w:val="006675F4"/>
    <w:rsid w:val="00667A09"/>
    <w:rsid w:val="00670683"/>
    <w:rsid w:val="00670BAC"/>
    <w:rsid w:val="006727BD"/>
    <w:rsid w:val="00672EB2"/>
    <w:rsid w:val="00674B44"/>
    <w:rsid w:val="0067540C"/>
    <w:rsid w:val="00675613"/>
    <w:rsid w:val="00675BB3"/>
    <w:rsid w:val="00676317"/>
    <w:rsid w:val="006764D7"/>
    <w:rsid w:val="00676AF2"/>
    <w:rsid w:val="00676E6A"/>
    <w:rsid w:val="006774DA"/>
    <w:rsid w:val="006800E5"/>
    <w:rsid w:val="00680381"/>
    <w:rsid w:val="006803BB"/>
    <w:rsid w:val="0068271F"/>
    <w:rsid w:val="0068311A"/>
    <w:rsid w:val="006844E6"/>
    <w:rsid w:val="0068484E"/>
    <w:rsid w:val="00687823"/>
    <w:rsid w:val="00687B19"/>
    <w:rsid w:val="00690BEA"/>
    <w:rsid w:val="00692616"/>
    <w:rsid w:val="006927FD"/>
    <w:rsid w:val="006937A3"/>
    <w:rsid w:val="00694B52"/>
    <w:rsid w:val="0069510B"/>
    <w:rsid w:val="006953BD"/>
    <w:rsid w:val="006953FF"/>
    <w:rsid w:val="00695644"/>
    <w:rsid w:val="006962DA"/>
    <w:rsid w:val="0069685C"/>
    <w:rsid w:val="00696B1E"/>
    <w:rsid w:val="006973DD"/>
    <w:rsid w:val="00697527"/>
    <w:rsid w:val="00697D10"/>
    <w:rsid w:val="006A021E"/>
    <w:rsid w:val="006A1F7D"/>
    <w:rsid w:val="006A227E"/>
    <w:rsid w:val="006A2363"/>
    <w:rsid w:val="006A4175"/>
    <w:rsid w:val="006A4794"/>
    <w:rsid w:val="006A5AA2"/>
    <w:rsid w:val="006A604B"/>
    <w:rsid w:val="006A6B1C"/>
    <w:rsid w:val="006A74B6"/>
    <w:rsid w:val="006A7D99"/>
    <w:rsid w:val="006B32CC"/>
    <w:rsid w:val="006B40B4"/>
    <w:rsid w:val="006B5A2B"/>
    <w:rsid w:val="006B5B9C"/>
    <w:rsid w:val="006B5FD5"/>
    <w:rsid w:val="006B6ACF"/>
    <w:rsid w:val="006B6BD2"/>
    <w:rsid w:val="006C082A"/>
    <w:rsid w:val="006C23DA"/>
    <w:rsid w:val="006C2451"/>
    <w:rsid w:val="006C385D"/>
    <w:rsid w:val="006C3A64"/>
    <w:rsid w:val="006C3CB9"/>
    <w:rsid w:val="006C779E"/>
    <w:rsid w:val="006C7C14"/>
    <w:rsid w:val="006D01F7"/>
    <w:rsid w:val="006D0AE9"/>
    <w:rsid w:val="006D0BBB"/>
    <w:rsid w:val="006D2390"/>
    <w:rsid w:val="006D2CE1"/>
    <w:rsid w:val="006D3D1E"/>
    <w:rsid w:val="006D54DF"/>
    <w:rsid w:val="006D5824"/>
    <w:rsid w:val="006D5C5A"/>
    <w:rsid w:val="006D61D6"/>
    <w:rsid w:val="006D75B5"/>
    <w:rsid w:val="006D7813"/>
    <w:rsid w:val="006E099C"/>
    <w:rsid w:val="006E13CD"/>
    <w:rsid w:val="006E1C28"/>
    <w:rsid w:val="006E20D3"/>
    <w:rsid w:val="006E266D"/>
    <w:rsid w:val="006E26EF"/>
    <w:rsid w:val="006E29A7"/>
    <w:rsid w:val="006E36DB"/>
    <w:rsid w:val="006E4510"/>
    <w:rsid w:val="006E5D69"/>
    <w:rsid w:val="006E5FAA"/>
    <w:rsid w:val="006E686D"/>
    <w:rsid w:val="006E7A39"/>
    <w:rsid w:val="006E7D37"/>
    <w:rsid w:val="006F0685"/>
    <w:rsid w:val="006F0E14"/>
    <w:rsid w:val="006F156A"/>
    <w:rsid w:val="006F2C18"/>
    <w:rsid w:val="006F3C6D"/>
    <w:rsid w:val="006F47F6"/>
    <w:rsid w:val="006F4CDE"/>
    <w:rsid w:val="006F5D0F"/>
    <w:rsid w:val="006F5FB6"/>
    <w:rsid w:val="006F65F1"/>
    <w:rsid w:val="006F6D58"/>
    <w:rsid w:val="007006D8"/>
    <w:rsid w:val="00700AA7"/>
    <w:rsid w:val="00701B4B"/>
    <w:rsid w:val="00702537"/>
    <w:rsid w:val="00702E57"/>
    <w:rsid w:val="00703F71"/>
    <w:rsid w:val="00704478"/>
    <w:rsid w:val="00704755"/>
    <w:rsid w:val="00704B38"/>
    <w:rsid w:val="007057D3"/>
    <w:rsid w:val="00706F24"/>
    <w:rsid w:val="007115BB"/>
    <w:rsid w:val="0071168B"/>
    <w:rsid w:val="00712A2A"/>
    <w:rsid w:val="007132C3"/>
    <w:rsid w:val="007150DF"/>
    <w:rsid w:val="0071581A"/>
    <w:rsid w:val="00715A19"/>
    <w:rsid w:val="00716471"/>
    <w:rsid w:val="007200DE"/>
    <w:rsid w:val="007203B0"/>
    <w:rsid w:val="00720F10"/>
    <w:rsid w:val="00721144"/>
    <w:rsid w:val="007217DA"/>
    <w:rsid w:val="00722546"/>
    <w:rsid w:val="00723EEC"/>
    <w:rsid w:val="00725457"/>
    <w:rsid w:val="00726807"/>
    <w:rsid w:val="00726B94"/>
    <w:rsid w:val="007349A1"/>
    <w:rsid w:val="00735A16"/>
    <w:rsid w:val="00735E70"/>
    <w:rsid w:val="007375EF"/>
    <w:rsid w:val="00741319"/>
    <w:rsid w:val="00741B8E"/>
    <w:rsid w:val="00742ED4"/>
    <w:rsid w:val="007433FA"/>
    <w:rsid w:val="0074400A"/>
    <w:rsid w:val="00744AFE"/>
    <w:rsid w:val="00745EEF"/>
    <w:rsid w:val="00746340"/>
    <w:rsid w:val="00746B80"/>
    <w:rsid w:val="007507B1"/>
    <w:rsid w:val="0075398C"/>
    <w:rsid w:val="00753C81"/>
    <w:rsid w:val="00753E74"/>
    <w:rsid w:val="00755349"/>
    <w:rsid w:val="00755642"/>
    <w:rsid w:val="00755B86"/>
    <w:rsid w:val="007564D8"/>
    <w:rsid w:val="00756B77"/>
    <w:rsid w:val="00757F09"/>
    <w:rsid w:val="00761FD8"/>
    <w:rsid w:val="00763912"/>
    <w:rsid w:val="00763DDB"/>
    <w:rsid w:val="00764A7D"/>
    <w:rsid w:val="00765029"/>
    <w:rsid w:val="0076720A"/>
    <w:rsid w:val="007715C6"/>
    <w:rsid w:val="007717B7"/>
    <w:rsid w:val="00771B99"/>
    <w:rsid w:val="007723A2"/>
    <w:rsid w:val="0077396C"/>
    <w:rsid w:val="00773F8F"/>
    <w:rsid w:val="007747E2"/>
    <w:rsid w:val="00774CE0"/>
    <w:rsid w:val="00775065"/>
    <w:rsid w:val="0077522C"/>
    <w:rsid w:val="007757B4"/>
    <w:rsid w:val="0077693A"/>
    <w:rsid w:val="00777D65"/>
    <w:rsid w:val="00777D87"/>
    <w:rsid w:val="00780B72"/>
    <w:rsid w:val="007821A5"/>
    <w:rsid w:val="00783537"/>
    <w:rsid w:val="00783AE5"/>
    <w:rsid w:val="00783BD0"/>
    <w:rsid w:val="0078521D"/>
    <w:rsid w:val="007859DD"/>
    <w:rsid w:val="00785D26"/>
    <w:rsid w:val="00786217"/>
    <w:rsid w:val="007864EB"/>
    <w:rsid w:val="0078651A"/>
    <w:rsid w:val="00786FB4"/>
    <w:rsid w:val="007901CD"/>
    <w:rsid w:val="0079054F"/>
    <w:rsid w:val="00791FD1"/>
    <w:rsid w:val="00792592"/>
    <w:rsid w:val="00792B55"/>
    <w:rsid w:val="0079745A"/>
    <w:rsid w:val="007A0833"/>
    <w:rsid w:val="007A1765"/>
    <w:rsid w:val="007A1DFC"/>
    <w:rsid w:val="007A1F57"/>
    <w:rsid w:val="007A22BD"/>
    <w:rsid w:val="007A28C0"/>
    <w:rsid w:val="007A2F85"/>
    <w:rsid w:val="007A39C4"/>
    <w:rsid w:val="007A3A25"/>
    <w:rsid w:val="007A5464"/>
    <w:rsid w:val="007A5594"/>
    <w:rsid w:val="007B00F6"/>
    <w:rsid w:val="007B0AC7"/>
    <w:rsid w:val="007B0BAB"/>
    <w:rsid w:val="007B0C7E"/>
    <w:rsid w:val="007B1902"/>
    <w:rsid w:val="007B2138"/>
    <w:rsid w:val="007B31F3"/>
    <w:rsid w:val="007B3D12"/>
    <w:rsid w:val="007B5236"/>
    <w:rsid w:val="007B529E"/>
    <w:rsid w:val="007B5660"/>
    <w:rsid w:val="007B7CEB"/>
    <w:rsid w:val="007B7E94"/>
    <w:rsid w:val="007C0142"/>
    <w:rsid w:val="007C0218"/>
    <w:rsid w:val="007C0CB6"/>
    <w:rsid w:val="007C1C32"/>
    <w:rsid w:val="007C3201"/>
    <w:rsid w:val="007C4034"/>
    <w:rsid w:val="007C61F6"/>
    <w:rsid w:val="007C730E"/>
    <w:rsid w:val="007C74F0"/>
    <w:rsid w:val="007C76ED"/>
    <w:rsid w:val="007C7C13"/>
    <w:rsid w:val="007D058E"/>
    <w:rsid w:val="007D1915"/>
    <w:rsid w:val="007D1CB3"/>
    <w:rsid w:val="007D3E27"/>
    <w:rsid w:val="007D414D"/>
    <w:rsid w:val="007D453E"/>
    <w:rsid w:val="007D550B"/>
    <w:rsid w:val="007D58DE"/>
    <w:rsid w:val="007D5E44"/>
    <w:rsid w:val="007E1286"/>
    <w:rsid w:val="007E19C5"/>
    <w:rsid w:val="007E1CF7"/>
    <w:rsid w:val="007E22FB"/>
    <w:rsid w:val="007E286D"/>
    <w:rsid w:val="007E3830"/>
    <w:rsid w:val="007E5D2E"/>
    <w:rsid w:val="007E6ABC"/>
    <w:rsid w:val="007E7A8B"/>
    <w:rsid w:val="007F0214"/>
    <w:rsid w:val="007F118D"/>
    <w:rsid w:val="007F257A"/>
    <w:rsid w:val="007F38E8"/>
    <w:rsid w:val="007F3BE0"/>
    <w:rsid w:val="007F3E55"/>
    <w:rsid w:val="007F5B93"/>
    <w:rsid w:val="007F646E"/>
    <w:rsid w:val="007F717C"/>
    <w:rsid w:val="007F7A1A"/>
    <w:rsid w:val="00800594"/>
    <w:rsid w:val="0080169B"/>
    <w:rsid w:val="00801B48"/>
    <w:rsid w:val="00801B78"/>
    <w:rsid w:val="00801C87"/>
    <w:rsid w:val="00802052"/>
    <w:rsid w:val="00802A54"/>
    <w:rsid w:val="008036EC"/>
    <w:rsid w:val="00804CB3"/>
    <w:rsid w:val="008050A8"/>
    <w:rsid w:val="00805985"/>
    <w:rsid w:val="00806811"/>
    <w:rsid w:val="00806AC6"/>
    <w:rsid w:val="008070C8"/>
    <w:rsid w:val="00807576"/>
    <w:rsid w:val="008105D7"/>
    <w:rsid w:val="00810784"/>
    <w:rsid w:val="00810A18"/>
    <w:rsid w:val="00810FA4"/>
    <w:rsid w:val="00811917"/>
    <w:rsid w:val="008149B6"/>
    <w:rsid w:val="00815F68"/>
    <w:rsid w:val="00820B68"/>
    <w:rsid w:val="00820B7A"/>
    <w:rsid w:val="00821114"/>
    <w:rsid w:val="008224BD"/>
    <w:rsid w:val="00823148"/>
    <w:rsid w:val="00823D4D"/>
    <w:rsid w:val="0082566C"/>
    <w:rsid w:val="00827A3B"/>
    <w:rsid w:val="00827BEE"/>
    <w:rsid w:val="00827D9D"/>
    <w:rsid w:val="00832811"/>
    <w:rsid w:val="00833359"/>
    <w:rsid w:val="008333B4"/>
    <w:rsid w:val="00833E42"/>
    <w:rsid w:val="00835D75"/>
    <w:rsid w:val="00835EF8"/>
    <w:rsid w:val="00836107"/>
    <w:rsid w:val="008373C8"/>
    <w:rsid w:val="008375AB"/>
    <w:rsid w:val="008401BF"/>
    <w:rsid w:val="00840259"/>
    <w:rsid w:val="0084045C"/>
    <w:rsid w:val="008420C7"/>
    <w:rsid w:val="008429B0"/>
    <w:rsid w:val="00842C39"/>
    <w:rsid w:val="00843146"/>
    <w:rsid w:val="00843B38"/>
    <w:rsid w:val="00844861"/>
    <w:rsid w:val="00844ECD"/>
    <w:rsid w:val="00845BD7"/>
    <w:rsid w:val="00845E46"/>
    <w:rsid w:val="00845EC4"/>
    <w:rsid w:val="008463EC"/>
    <w:rsid w:val="0084667D"/>
    <w:rsid w:val="00850BDA"/>
    <w:rsid w:val="008517EA"/>
    <w:rsid w:val="008540B9"/>
    <w:rsid w:val="00854100"/>
    <w:rsid w:val="00854A95"/>
    <w:rsid w:val="00854D13"/>
    <w:rsid w:val="00854F15"/>
    <w:rsid w:val="008556FA"/>
    <w:rsid w:val="00855C0F"/>
    <w:rsid w:val="00856084"/>
    <w:rsid w:val="008561AD"/>
    <w:rsid w:val="00857093"/>
    <w:rsid w:val="00857452"/>
    <w:rsid w:val="00857B85"/>
    <w:rsid w:val="00860ED2"/>
    <w:rsid w:val="008616C9"/>
    <w:rsid w:val="00862847"/>
    <w:rsid w:val="00863ECC"/>
    <w:rsid w:val="00866E73"/>
    <w:rsid w:val="00870310"/>
    <w:rsid w:val="008713C1"/>
    <w:rsid w:val="00871D53"/>
    <w:rsid w:val="0087218A"/>
    <w:rsid w:val="00872DC5"/>
    <w:rsid w:val="008730AA"/>
    <w:rsid w:val="0087327F"/>
    <w:rsid w:val="00873AF0"/>
    <w:rsid w:val="008741F3"/>
    <w:rsid w:val="00875522"/>
    <w:rsid w:val="008759D2"/>
    <w:rsid w:val="00876D1F"/>
    <w:rsid w:val="00876ED2"/>
    <w:rsid w:val="0087746C"/>
    <w:rsid w:val="00877977"/>
    <w:rsid w:val="008807B5"/>
    <w:rsid w:val="00880A08"/>
    <w:rsid w:val="00880B7A"/>
    <w:rsid w:val="00880BBB"/>
    <w:rsid w:val="00880D61"/>
    <w:rsid w:val="008818A4"/>
    <w:rsid w:val="00884C63"/>
    <w:rsid w:val="00885131"/>
    <w:rsid w:val="0088528B"/>
    <w:rsid w:val="0088581C"/>
    <w:rsid w:val="008870D0"/>
    <w:rsid w:val="0088745F"/>
    <w:rsid w:val="00887477"/>
    <w:rsid w:val="00887E3D"/>
    <w:rsid w:val="0089394F"/>
    <w:rsid w:val="0089431C"/>
    <w:rsid w:val="00896A5E"/>
    <w:rsid w:val="008974B8"/>
    <w:rsid w:val="00897E31"/>
    <w:rsid w:val="008A0C62"/>
    <w:rsid w:val="008A1B05"/>
    <w:rsid w:val="008A2525"/>
    <w:rsid w:val="008A2D48"/>
    <w:rsid w:val="008A3235"/>
    <w:rsid w:val="008A374C"/>
    <w:rsid w:val="008A4151"/>
    <w:rsid w:val="008A49BE"/>
    <w:rsid w:val="008A50A0"/>
    <w:rsid w:val="008A5538"/>
    <w:rsid w:val="008A6C11"/>
    <w:rsid w:val="008B05E5"/>
    <w:rsid w:val="008B137B"/>
    <w:rsid w:val="008B256C"/>
    <w:rsid w:val="008B2F1B"/>
    <w:rsid w:val="008B3D5B"/>
    <w:rsid w:val="008B3FCF"/>
    <w:rsid w:val="008B4C9B"/>
    <w:rsid w:val="008B5E19"/>
    <w:rsid w:val="008B7065"/>
    <w:rsid w:val="008B7601"/>
    <w:rsid w:val="008C0546"/>
    <w:rsid w:val="008C0D12"/>
    <w:rsid w:val="008C488A"/>
    <w:rsid w:val="008C48C1"/>
    <w:rsid w:val="008C531F"/>
    <w:rsid w:val="008C5399"/>
    <w:rsid w:val="008C6725"/>
    <w:rsid w:val="008C6B49"/>
    <w:rsid w:val="008C6F36"/>
    <w:rsid w:val="008D0AA2"/>
    <w:rsid w:val="008D1481"/>
    <w:rsid w:val="008D14FB"/>
    <w:rsid w:val="008D22A8"/>
    <w:rsid w:val="008D398E"/>
    <w:rsid w:val="008D504C"/>
    <w:rsid w:val="008D60E7"/>
    <w:rsid w:val="008D7CD7"/>
    <w:rsid w:val="008E0777"/>
    <w:rsid w:val="008E0C8C"/>
    <w:rsid w:val="008E0D4B"/>
    <w:rsid w:val="008E0F36"/>
    <w:rsid w:val="008E0F81"/>
    <w:rsid w:val="008E1B33"/>
    <w:rsid w:val="008E2724"/>
    <w:rsid w:val="008E3B52"/>
    <w:rsid w:val="008E3D36"/>
    <w:rsid w:val="008E46F2"/>
    <w:rsid w:val="008E5702"/>
    <w:rsid w:val="008E6E8F"/>
    <w:rsid w:val="008E705B"/>
    <w:rsid w:val="008F07CC"/>
    <w:rsid w:val="008F1F3B"/>
    <w:rsid w:val="008F2354"/>
    <w:rsid w:val="008F2826"/>
    <w:rsid w:val="008F31C0"/>
    <w:rsid w:val="008F3261"/>
    <w:rsid w:val="008F4F0E"/>
    <w:rsid w:val="008F50B5"/>
    <w:rsid w:val="008F643D"/>
    <w:rsid w:val="008F7233"/>
    <w:rsid w:val="008F7334"/>
    <w:rsid w:val="008F74B6"/>
    <w:rsid w:val="009000B0"/>
    <w:rsid w:val="00900C59"/>
    <w:rsid w:val="00901196"/>
    <w:rsid w:val="00901404"/>
    <w:rsid w:val="00901884"/>
    <w:rsid w:val="00902707"/>
    <w:rsid w:val="009027B2"/>
    <w:rsid w:val="00902D23"/>
    <w:rsid w:val="009037C7"/>
    <w:rsid w:val="0090400E"/>
    <w:rsid w:val="00904983"/>
    <w:rsid w:val="00905509"/>
    <w:rsid w:val="009062EC"/>
    <w:rsid w:val="00906489"/>
    <w:rsid w:val="009070D3"/>
    <w:rsid w:val="00907B61"/>
    <w:rsid w:val="00910FE7"/>
    <w:rsid w:val="009118B6"/>
    <w:rsid w:val="0091248C"/>
    <w:rsid w:val="009127A2"/>
    <w:rsid w:val="00912C60"/>
    <w:rsid w:val="009132CB"/>
    <w:rsid w:val="00913760"/>
    <w:rsid w:val="00913CAE"/>
    <w:rsid w:val="009141C5"/>
    <w:rsid w:val="00914D28"/>
    <w:rsid w:val="00915329"/>
    <w:rsid w:val="0091564E"/>
    <w:rsid w:val="00915B30"/>
    <w:rsid w:val="009166A3"/>
    <w:rsid w:val="00916802"/>
    <w:rsid w:val="0091766B"/>
    <w:rsid w:val="0092053C"/>
    <w:rsid w:val="009219C6"/>
    <w:rsid w:val="00922F9A"/>
    <w:rsid w:val="00923387"/>
    <w:rsid w:val="009235FF"/>
    <w:rsid w:val="00923D26"/>
    <w:rsid w:val="00923E05"/>
    <w:rsid w:val="00925653"/>
    <w:rsid w:val="00926610"/>
    <w:rsid w:val="0092772C"/>
    <w:rsid w:val="00931182"/>
    <w:rsid w:val="00931286"/>
    <w:rsid w:val="00932592"/>
    <w:rsid w:val="009325DF"/>
    <w:rsid w:val="00932A21"/>
    <w:rsid w:val="00932B64"/>
    <w:rsid w:val="00933506"/>
    <w:rsid w:val="00933CA2"/>
    <w:rsid w:val="00934E8B"/>
    <w:rsid w:val="00935387"/>
    <w:rsid w:val="00936A6E"/>
    <w:rsid w:val="00942DCF"/>
    <w:rsid w:val="00944812"/>
    <w:rsid w:val="00944AF3"/>
    <w:rsid w:val="009455FE"/>
    <w:rsid w:val="00945B09"/>
    <w:rsid w:val="009460E0"/>
    <w:rsid w:val="00946124"/>
    <w:rsid w:val="00946211"/>
    <w:rsid w:val="009464D5"/>
    <w:rsid w:val="009474C5"/>
    <w:rsid w:val="00947B15"/>
    <w:rsid w:val="0095109B"/>
    <w:rsid w:val="00951498"/>
    <w:rsid w:val="0095193E"/>
    <w:rsid w:val="0095388C"/>
    <w:rsid w:val="0095492F"/>
    <w:rsid w:val="00955385"/>
    <w:rsid w:val="00957403"/>
    <w:rsid w:val="00962303"/>
    <w:rsid w:val="00962466"/>
    <w:rsid w:val="00962941"/>
    <w:rsid w:val="00963175"/>
    <w:rsid w:val="0096382C"/>
    <w:rsid w:val="00963B78"/>
    <w:rsid w:val="00965949"/>
    <w:rsid w:val="00966157"/>
    <w:rsid w:val="00966728"/>
    <w:rsid w:val="009667D7"/>
    <w:rsid w:val="00966BCD"/>
    <w:rsid w:val="00967995"/>
    <w:rsid w:val="00970987"/>
    <w:rsid w:val="00970B94"/>
    <w:rsid w:val="00971145"/>
    <w:rsid w:val="0097189E"/>
    <w:rsid w:val="009718C7"/>
    <w:rsid w:val="00972131"/>
    <w:rsid w:val="009721FA"/>
    <w:rsid w:val="009733CD"/>
    <w:rsid w:val="00973746"/>
    <w:rsid w:val="00973CDC"/>
    <w:rsid w:val="00974E58"/>
    <w:rsid w:val="00974FEF"/>
    <w:rsid w:val="00975959"/>
    <w:rsid w:val="00975A91"/>
    <w:rsid w:val="00976527"/>
    <w:rsid w:val="00981530"/>
    <w:rsid w:val="00981993"/>
    <w:rsid w:val="0098287E"/>
    <w:rsid w:val="00983167"/>
    <w:rsid w:val="0098366C"/>
    <w:rsid w:val="00984A27"/>
    <w:rsid w:val="00984BEF"/>
    <w:rsid w:val="009870A6"/>
    <w:rsid w:val="0098732A"/>
    <w:rsid w:val="00987477"/>
    <w:rsid w:val="009878B3"/>
    <w:rsid w:val="00990B14"/>
    <w:rsid w:val="00991573"/>
    <w:rsid w:val="009924E3"/>
    <w:rsid w:val="00992EDB"/>
    <w:rsid w:val="009932CB"/>
    <w:rsid w:val="00993BBD"/>
    <w:rsid w:val="0099459E"/>
    <w:rsid w:val="00995490"/>
    <w:rsid w:val="00995A1D"/>
    <w:rsid w:val="0099610A"/>
    <w:rsid w:val="00996F9B"/>
    <w:rsid w:val="00997480"/>
    <w:rsid w:val="00997739"/>
    <w:rsid w:val="009A1144"/>
    <w:rsid w:val="009A1496"/>
    <w:rsid w:val="009A3007"/>
    <w:rsid w:val="009A3EC7"/>
    <w:rsid w:val="009A40A8"/>
    <w:rsid w:val="009A4EEC"/>
    <w:rsid w:val="009A5164"/>
    <w:rsid w:val="009A558A"/>
    <w:rsid w:val="009A58A5"/>
    <w:rsid w:val="009A6B6E"/>
    <w:rsid w:val="009B118D"/>
    <w:rsid w:val="009B1DDA"/>
    <w:rsid w:val="009B31A9"/>
    <w:rsid w:val="009B3C35"/>
    <w:rsid w:val="009B4B49"/>
    <w:rsid w:val="009B4C1B"/>
    <w:rsid w:val="009B4E1F"/>
    <w:rsid w:val="009B5A63"/>
    <w:rsid w:val="009B65E6"/>
    <w:rsid w:val="009B718E"/>
    <w:rsid w:val="009B7EC2"/>
    <w:rsid w:val="009C024D"/>
    <w:rsid w:val="009C0C5F"/>
    <w:rsid w:val="009C1233"/>
    <w:rsid w:val="009C17CC"/>
    <w:rsid w:val="009C190C"/>
    <w:rsid w:val="009C28FE"/>
    <w:rsid w:val="009C3608"/>
    <w:rsid w:val="009C3E2D"/>
    <w:rsid w:val="009C42C4"/>
    <w:rsid w:val="009C67EE"/>
    <w:rsid w:val="009C68C1"/>
    <w:rsid w:val="009C7ADC"/>
    <w:rsid w:val="009D0BB1"/>
    <w:rsid w:val="009D122C"/>
    <w:rsid w:val="009D1F80"/>
    <w:rsid w:val="009D1F92"/>
    <w:rsid w:val="009D2B28"/>
    <w:rsid w:val="009D38AA"/>
    <w:rsid w:val="009D4683"/>
    <w:rsid w:val="009D5A49"/>
    <w:rsid w:val="009D5CB9"/>
    <w:rsid w:val="009E06AE"/>
    <w:rsid w:val="009E2ADA"/>
    <w:rsid w:val="009E30C1"/>
    <w:rsid w:val="009E3477"/>
    <w:rsid w:val="009E422B"/>
    <w:rsid w:val="009E5939"/>
    <w:rsid w:val="009E6FCB"/>
    <w:rsid w:val="009E7BC4"/>
    <w:rsid w:val="009E7C1D"/>
    <w:rsid w:val="009F0D34"/>
    <w:rsid w:val="009F0FBA"/>
    <w:rsid w:val="009F140C"/>
    <w:rsid w:val="009F1729"/>
    <w:rsid w:val="009F1CA7"/>
    <w:rsid w:val="009F1D02"/>
    <w:rsid w:val="009F23A4"/>
    <w:rsid w:val="009F394D"/>
    <w:rsid w:val="009F3F86"/>
    <w:rsid w:val="009F545F"/>
    <w:rsid w:val="009F5582"/>
    <w:rsid w:val="009F5DCB"/>
    <w:rsid w:val="009F6209"/>
    <w:rsid w:val="009F6DCB"/>
    <w:rsid w:val="009F78CC"/>
    <w:rsid w:val="009F7C97"/>
    <w:rsid w:val="009F7FF7"/>
    <w:rsid w:val="00A00580"/>
    <w:rsid w:val="00A015FD"/>
    <w:rsid w:val="00A02D82"/>
    <w:rsid w:val="00A04BA1"/>
    <w:rsid w:val="00A05803"/>
    <w:rsid w:val="00A0594D"/>
    <w:rsid w:val="00A05C43"/>
    <w:rsid w:val="00A0630C"/>
    <w:rsid w:val="00A0656F"/>
    <w:rsid w:val="00A06BD5"/>
    <w:rsid w:val="00A06C4D"/>
    <w:rsid w:val="00A06C76"/>
    <w:rsid w:val="00A10C69"/>
    <w:rsid w:val="00A1122A"/>
    <w:rsid w:val="00A1233E"/>
    <w:rsid w:val="00A12721"/>
    <w:rsid w:val="00A137BC"/>
    <w:rsid w:val="00A14968"/>
    <w:rsid w:val="00A1536B"/>
    <w:rsid w:val="00A1584A"/>
    <w:rsid w:val="00A1642F"/>
    <w:rsid w:val="00A16C2D"/>
    <w:rsid w:val="00A16DB3"/>
    <w:rsid w:val="00A17F71"/>
    <w:rsid w:val="00A210CE"/>
    <w:rsid w:val="00A2287C"/>
    <w:rsid w:val="00A2366B"/>
    <w:rsid w:val="00A23807"/>
    <w:rsid w:val="00A23B99"/>
    <w:rsid w:val="00A23FED"/>
    <w:rsid w:val="00A2433F"/>
    <w:rsid w:val="00A25423"/>
    <w:rsid w:val="00A25531"/>
    <w:rsid w:val="00A258AF"/>
    <w:rsid w:val="00A26CB5"/>
    <w:rsid w:val="00A319D7"/>
    <w:rsid w:val="00A326BC"/>
    <w:rsid w:val="00A32CBA"/>
    <w:rsid w:val="00A33BEA"/>
    <w:rsid w:val="00A340F7"/>
    <w:rsid w:val="00A34629"/>
    <w:rsid w:val="00A34A87"/>
    <w:rsid w:val="00A37003"/>
    <w:rsid w:val="00A37162"/>
    <w:rsid w:val="00A3778B"/>
    <w:rsid w:val="00A37F6B"/>
    <w:rsid w:val="00A419A4"/>
    <w:rsid w:val="00A42A86"/>
    <w:rsid w:val="00A43850"/>
    <w:rsid w:val="00A43B5E"/>
    <w:rsid w:val="00A451E8"/>
    <w:rsid w:val="00A465CA"/>
    <w:rsid w:val="00A467FE"/>
    <w:rsid w:val="00A46DEE"/>
    <w:rsid w:val="00A472CC"/>
    <w:rsid w:val="00A47462"/>
    <w:rsid w:val="00A524EA"/>
    <w:rsid w:val="00A52D46"/>
    <w:rsid w:val="00A5345B"/>
    <w:rsid w:val="00A53847"/>
    <w:rsid w:val="00A5393C"/>
    <w:rsid w:val="00A53E8B"/>
    <w:rsid w:val="00A54167"/>
    <w:rsid w:val="00A54344"/>
    <w:rsid w:val="00A55EFB"/>
    <w:rsid w:val="00A56328"/>
    <w:rsid w:val="00A567AD"/>
    <w:rsid w:val="00A56A65"/>
    <w:rsid w:val="00A56C09"/>
    <w:rsid w:val="00A57014"/>
    <w:rsid w:val="00A57BEC"/>
    <w:rsid w:val="00A57F88"/>
    <w:rsid w:val="00A615F9"/>
    <w:rsid w:val="00A6269B"/>
    <w:rsid w:val="00A634A6"/>
    <w:rsid w:val="00A63931"/>
    <w:rsid w:val="00A64B83"/>
    <w:rsid w:val="00A6547D"/>
    <w:rsid w:val="00A65603"/>
    <w:rsid w:val="00A65DBB"/>
    <w:rsid w:val="00A660DC"/>
    <w:rsid w:val="00A67680"/>
    <w:rsid w:val="00A67B48"/>
    <w:rsid w:val="00A70F8A"/>
    <w:rsid w:val="00A72C7F"/>
    <w:rsid w:val="00A736F2"/>
    <w:rsid w:val="00A7429F"/>
    <w:rsid w:val="00A746FC"/>
    <w:rsid w:val="00A747E1"/>
    <w:rsid w:val="00A773E0"/>
    <w:rsid w:val="00A81767"/>
    <w:rsid w:val="00A81C83"/>
    <w:rsid w:val="00A82035"/>
    <w:rsid w:val="00A8224D"/>
    <w:rsid w:val="00A824F7"/>
    <w:rsid w:val="00A82804"/>
    <w:rsid w:val="00A83701"/>
    <w:rsid w:val="00A83A05"/>
    <w:rsid w:val="00A84346"/>
    <w:rsid w:val="00A85894"/>
    <w:rsid w:val="00A8644E"/>
    <w:rsid w:val="00A87579"/>
    <w:rsid w:val="00A876CA"/>
    <w:rsid w:val="00A87B93"/>
    <w:rsid w:val="00A90967"/>
    <w:rsid w:val="00A90AC8"/>
    <w:rsid w:val="00A913E6"/>
    <w:rsid w:val="00A918BC"/>
    <w:rsid w:val="00A91BF0"/>
    <w:rsid w:val="00A93081"/>
    <w:rsid w:val="00A9315B"/>
    <w:rsid w:val="00A93C18"/>
    <w:rsid w:val="00A95413"/>
    <w:rsid w:val="00A95EBB"/>
    <w:rsid w:val="00A95FAE"/>
    <w:rsid w:val="00A969D7"/>
    <w:rsid w:val="00A97608"/>
    <w:rsid w:val="00A97986"/>
    <w:rsid w:val="00A97B2E"/>
    <w:rsid w:val="00AA0239"/>
    <w:rsid w:val="00AA0DA7"/>
    <w:rsid w:val="00AA129E"/>
    <w:rsid w:val="00AA1D00"/>
    <w:rsid w:val="00AA1FF8"/>
    <w:rsid w:val="00AA3976"/>
    <w:rsid w:val="00AA4297"/>
    <w:rsid w:val="00AA4990"/>
    <w:rsid w:val="00AA50E3"/>
    <w:rsid w:val="00AA5294"/>
    <w:rsid w:val="00AA5F40"/>
    <w:rsid w:val="00AA6D4F"/>
    <w:rsid w:val="00AA7828"/>
    <w:rsid w:val="00AA7E58"/>
    <w:rsid w:val="00AB0D48"/>
    <w:rsid w:val="00AB1AAE"/>
    <w:rsid w:val="00AB2250"/>
    <w:rsid w:val="00AB2F37"/>
    <w:rsid w:val="00AB35C5"/>
    <w:rsid w:val="00AB3947"/>
    <w:rsid w:val="00AB3D56"/>
    <w:rsid w:val="00AB4EEA"/>
    <w:rsid w:val="00AB5117"/>
    <w:rsid w:val="00AB5C2F"/>
    <w:rsid w:val="00AB7E7F"/>
    <w:rsid w:val="00AB7FAE"/>
    <w:rsid w:val="00AC0CE0"/>
    <w:rsid w:val="00AC0E47"/>
    <w:rsid w:val="00AC10A9"/>
    <w:rsid w:val="00AC29CC"/>
    <w:rsid w:val="00AC3FA8"/>
    <w:rsid w:val="00AC406E"/>
    <w:rsid w:val="00AC46A9"/>
    <w:rsid w:val="00AC4E1F"/>
    <w:rsid w:val="00AC4E9D"/>
    <w:rsid w:val="00AC5682"/>
    <w:rsid w:val="00AC57DA"/>
    <w:rsid w:val="00AC5A71"/>
    <w:rsid w:val="00AC61C6"/>
    <w:rsid w:val="00AC6BED"/>
    <w:rsid w:val="00AC6E89"/>
    <w:rsid w:val="00AC7AC3"/>
    <w:rsid w:val="00AD0228"/>
    <w:rsid w:val="00AD0C5D"/>
    <w:rsid w:val="00AD15F2"/>
    <w:rsid w:val="00AD290D"/>
    <w:rsid w:val="00AD31B1"/>
    <w:rsid w:val="00AD516C"/>
    <w:rsid w:val="00AD579C"/>
    <w:rsid w:val="00AD6BC7"/>
    <w:rsid w:val="00AE0074"/>
    <w:rsid w:val="00AE363C"/>
    <w:rsid w:val="00AE4746"/>
    <w:rsid w:val="00AE61A0"/>
    <w:rsid w:val="00AE6221"/>
    <w:rsid w:val="00AE6CD6"/>
    <w:rsid w:val="00AF25D0"/>
    <w:rsid w:val="00AF2602"/>
    <w:rsid w:val="00AF3F69"/>
    <w:rsid w:val="00AF446B"/>
    <w:rsid w:val="00AF45EB"/>
    <w:rsid w:val="00AF4B50"/>
    <w:rsid w:val="00AF5A94"/>
    <w:rsid w:val="00AF667B"/>
    <w:rsid w:val="00AF66F7"/>
    <w:rsid w:val="00AF670D"/>
    <w:rsid w:val="00AF6A38"/>
    <w:rsid w:val="00AF6B49"/>
    <w:rsid w:val="00AF6FB9"/>
    <w:rsid w:val="00AF773B"/>
    <w:rsid w:val="00B00573"/>
    <w:rsid w:val="00B025DD"/>
    <w:rsid w:val="00B0287C"/>
    <w:rsid w:val="00B03872"/>
    <w:rsid w:val="00B03CC6"/>
    <w:rsid w:val="00B0459E"/>
    <w:rsid w:val="00B05CC2"/>
    <w:rsid w:val="00B06CEA"/>
    <w:rsid w:val="00B074B2"/>
    <w:rsid w:val="00B106E4"/>
    <w:rsid w:val="00B10737"/>
    <w:rsid w:val="00B11216"/>
    <w:rsid w:val="00B1152E"/>
    <w:rsid w:val="00B11825"/>
    <w:rsid w:val="00B1198F"/>
    <w:rsid w:val="00B12369"/>
    <w:rsid w:val="00B13D84"/>
    <w:rsid w:val="00B141B2"/>
    <w:rsid w:val="00B15AB6"/>
    <w:rsid w:val="00B15ADE"/>
    <w:rsid w:val="00B1629D"/>
    <w:rsid w:val="00B16ADA"/>
    <w:rsid w:val="00B174F3"/>
    <w:rsid w:val="00B17787"/>
    <w:rsid w:val="00B21793"/>
    <w:rsid w:val="00B218E0"/>
    <w:rsid w:val="00B226B2"/>
    <w:rsid w:val="00B23380"/>
    <w:rsid w:val="00B235A2"/>
    <w:rsid w:val="00B23A4E"/>
    <w:rsid w:val="00B23B91"/>
    <w:rsid w:val="00B25A7E"/>
    <w:rsid w:val="00B25B29"/>
    <w:rsid w:val="00B25CE1"/>
    <w:rsid w:val="00B25EA0"/>
    <w:rsid w:val="00B2601D"/>
    <w:rsid w:val="00B2629F"/>
    <w:rsid w:val="00B2681D"/>
    <w:rsid w:val="00B279C3"/>
    <w:rsid w:val="00B30470"/>
    <w:rsid w:val="00B3066B"/>
    <w:rsid w:val="00B31727"/>
    <w:rsid w:val="00B3276D"/>
    <w:rsid w:val="00B32C7F"/>
    <w:rsid w:val="00B33E74"/>
    <w:rsid w:val="00B3428E"/>
    <w:rsid w:val="00B34D70"/>
    <w:rsid w:val="00B36D65"/>
    <w:rsid w:val="00B37303"/>
    <w:rsid w:val="00B37590"/>
    <w:rsid w:val="00B37F13"/>
    <w:rsid w:val="00B40191"/>
    <w:rsid w:val="00B402FA"/>
    <w:rsid w:val="00B40F88"/>
    <w:rsid w:val="00B41B2E"/>
    <w:rsid w:val="00B41D38"/>
    <w:rsid w:val="00B43008"/>
    <w:rsid w:val="00B442EF"/>
    <w:rsid w:val="00B4481E"/>
    <w:rsid w:val="00B44CAE"/>
    <w:rsid w:val="00B5000B"/>
    <w:rsid w:val="00B51833"/>
    <w:rsid w:val="00B52A83"/>
    <w:rsid w:val="00B5611F"/>
    <w:rsid w:val="00B61CA8"/>
    <w:rsid w:val="00B62778"/>
    <w:rsid w:val="00B62C61"/>
    <w:rsid w:val="00B63603"/>
    <w:rsid w:val="00B64B81"/>
    <w:rsid w:val="00B658F7"/>
    <w:rsid w:val="00B65F74"/>
    <w:rsid w:val="00B66EED"/>
    <w:rsid w:val="00B673A6"/>
    <w:rsid w:val="00B679BA"/>
    <w:rsid w:val="00B72BA8"/>
    <w:rsid w:val="00B73FE9"/>
    <w:rsid w:val="00B74930"/>
    <w:rsid w:val="00B74E6B"/>
    <w:rsid w:val="00B757D4"/>
    <w:rsid w:val="00B7648E"/>
    <w:rsid w:val="00B80297"/>
    <w:rsid w:val="00B80F22"/>
    <w:rsid w:val="00B818E0"/>
    <w:rsid w:val="00B829A7"/>
    <w:rsid w:val="00B82C21"/>
    <w:rsid w:val="00B82F53"/>
    <w:rsid w:val="00B83BCF"/>
    <w:rsid w:val="00B862C1"/>
    <w:rsid w:val="00B873F1"/>
    <w:rsid w:val="00B9011A"/>
    <w:rsid w:val="00B903DE"/>
    <w:rsid w:val="00B90E88"/>
    <w:rsid w:val="00B9118E"/>
    <w:rsid w:val="00B9177F"/>
    <w:rsid w:val="00B92B2A"/>
    <w:rsid w:val="00B93212"/>
    <w:rsid w:val="00B933C4"/>
    <w:rsid w:val="00B9343D"/>
    <w:rsid w:val="00B941A3"/>
    <w:rsid w:val="00B945C2"/>
    <w:rsid w:val="00B95054"/>
    <w:rsid w:val="00B95D02"/>
    <w:rsid w:val="00B971E4"/>
    <w:rsid w:val="00BA00CD"/>
    <w:rsid w:val="00BA1051"/>
    <w:rsid w:val="00BA1B24"/>
    <w:rsid w:val="00BA336A"/>
    <w:rsid w:val="00BA3966"/>
    <w:rsid w:val="00BA6B52"/>
    <w:rsid w:val="00BA71EA"/>
    <w:rsid w:val="00BA7927"/>
    <w:rsid w:val="00BB22FF"/>
    <w:rsid w:val="00BB2CD8"/>
    <w:rsid w:val="00BB5715"/>
    <w:rsid w:val="00BB576C"/>
    <w:rsid w:val="00BC105F"/>
    <w:rsid w:val="00BC25D1"/>
    <w:rsid w:val="00BC2DE5"/>
    <w:rsid w:val="00BC2FFC"/>
    <w:rsid w:val="00BC31F5"/>
    <w:rsid w:val="00BC361D"/>
    <w:rsid w:val="00BC36A9"/>
    <w:rsid w:val="00BC453F"/>
    <w:rsid w:val="00BC4870"/>
    <w:rsid w:val="00BC5CD1"/>
    <w:rsid w:val="00BC6691"/>
    <w:rsid w:val="00BC75E1"/>
    <w:rsid w:val="00BC7E1F"/>
    <w:rsid w:val="00BC7F87"/>
    <w:rsid w:val="00BD01CE"/>
    <w:rsid w:val="00BD0878"/>
    <w:rsid w:val="00BD0F19"/>
    <w:rsid w:val="00BD182E"/>
    <w:rsid w:val="00BD2383"/>
    <w:rsid w:val="00BD265F"/>
    <w:rsid w:val="00BD408A"/>
    <w:rsid w:val="00BD5377"/>
    <w:rsid w:val="00BD72A1"/>
    <w:rsid w:val="00BE177A"/>
    <w:rsid w:val="00BE201D"/>
    <w:rsid w:val="00BE2A39"/>
    <w:rsid w:val="00BE39EE"/>
    <w:rsid w:val="00BE3EFB"/>
    <w:rsid w:val="00BE4D93"/>
    <w:rsid w:val="00BE663D"/>
    <w:rsid w:val="00BE6AF2"/>
    <w:rsid w:val="00BE7B60"/>
    <w:rsid w:val="00BF0B11"/>
    <w:rsid w:val="00BF1BA8"/>
    <w:rsid w:val="00BF21A1"/>
    <w:rsid w:val="00BF3344"/>
    <w:rsid w:val="00BF38EE"/>
    <w:rsid w:val="00BF3940"/>
    <w:rsid w:val="00BF550A"/>
    <w:rsid w:val="00BF5A72"/>
    <w:rsid w:val="00BF6FCD"/>
    <w:rsid w:val="00BF7318"/>
    <w:rsid w:val="00BF7533"/>
    <w:rsid w:val="00BF75EC"/>
    <w:rsid w:val="00C00457"/>
    <w:rsid w:val="00C015D6"/>
    <w:rsid w:val="00C044DE"/>
    <w:rsid w:val="00C05CEE"/>
    <w:rsid w:val="00C06EAE"/>
    <w:rsid w:val="00C07D7F"/>
    <w:rsid w:val="00C10166"/>
    <w:rsid w:val="00C10753"/>
    <w:rsid w:val="00C10C9C"/>
    <w:rsid w:val="00C111D7"/>
    <w:rsid w:val="00C11AB8"/>
    <w:rsid w:val="00C12742"/>
    <w:rsid w:val="00C14273"/>
    <w:rsid w:val="00C1587C"/>
    <w:rsid w:val="00C15E4B"/>
    <w:rsid w:val="00C16423"/>
    <w:rsid w:val="00C17C5A"/>
    <w:rsid w:val="00C21179"/>
    <w:rsid w:val="00C23420"/>
    <w:rsid w:val="00C24ADD"/>
    <w:rsid w:val="00C24D9C"/>
    <w:rsid w:val="00C26717"/>
    <w:rsid w:val="00C26FC8"/>
    <w:rsid w:val="00C279E6"/>
    <w:rsid w:val="00C27DA0"/>
    <w:rsid w:val="00C32810"/>
    <w:rsid w:val="00C35527"/>
    <w:rsid w:val="00C367BA"/>
    <w:rsid w:val="00C36B0C"/>
    <w:rsid w:val="00C37F2A"/>
    <w:rsid w:val="00C4007D"/>
    <w:rsid w:val="00C40D59"/>
    <w:rsid w:val="00C4104D"/>
    <w:rsid w:val="00C411ED"/>
    <w:rsid w:val="00C41593"/>
    <w:rsid w:val="00C41B73"/>
    <w:rsid w:val="00C4559D"/>
    <w:rsid w:val="00C45CEC"/>
    <w:rsid w:val="00C4668A"/>
    <w:rsid w:val="00C47F14"/>
    <w:rsid w:val="00C47F2B"/>
    <w:rsid w:val="00C504C4"/>
    <w:rsid w:val="00C5148E"/>
    <w:rsid w:val="00C528B7"/>
    <w:rsid w:val="00C52A55"/>
    <w:rsid w:val="00C52BAE"/>
    <w:rsid w:val="00C53C7F"/>
    <w:rsid w:val="00C54A8E"/>
    <w:rsid w:val="00C54B33"/>
    <w:rsid w:val="00C555B4"/>
    <w:rsid w:val="00C57171"/>
    <w:rsid w:val="00C577E9"/>
    <w:rsid w:val="00C57A28"/>
    <w:rsid w:val="00C57A82"/>
    <w:rsid w:val="00C612B7"/>
    <w:rsid w:val="00C61F9B"/>
    <w:rsid w:val="00C622E1"/>
    <w:rsid w:val="00C62431"/>
    <w:rsid w:val="00C63D5F"/>
    <w:rsid w:val="00C64B65"/>
    <w:rsid w:val="00C65687"/>
    <w:rsid w:val="00C66993"/>
    <w:rsid w:val="00C669CA"/>
    <w:rsid w:val="00C66B06"/>
    <w:rsid w:val="00C66BEC"/>
    <w:rsid w:val="00C66C3C"/>
    <w:rsid w:val="00C67C0D"/>
    <w:rsid w:val="00C67C46"/>
    <w:rsid w:val="00C725F2"/>
    <w:rsid w:val="00C73D95"/>
    <w:rsid w:val="00C747B5"/>
    <w:rsid w:val="00C74E1E"/>
    <w:rsid w:val="00C74F57"/>
    <w:rsid w:val="00C75085"/>
    <w:rsid w:val="00C7508E"/>
    <w:rsid w:val="00C753BC"/>
    <w:rsid w:val="00C77352"/>
    <w:rsid w:val="00C77381"/>
    <w:rsid w:val="00C77DFF"/>
    <w:rsid w:val="00C77F0E"/>
    <w:rsid w:val="00C77F98"/>
    <w:rsid w:val="00C80145"/>
    <w:rsid w:val="00C81A89"/>
    <w:rsid w:val="00C82A35"/>
    <w:rsid w:val="00C838C4"/>
    <w:rsid w:val="00C83919"/>
    <w:rsid w:val="00C8392C"/>
    <w:rsid w:val="00C83C2E"/>
    <w:rsid w:val="00C83C70"/>
    <w:rsid w:val="00C8439C"/>
    <w:rsid w:val="00C85CBA"/>
    <w:rsid w:val="00C869DA"/>
    <w:rsid w:val="00C86C39"/>
    <w:rsid w:val="00C87347"/>
    <w:rsid w:val="00C87627"/>
    <w:rsid w:val="00C87B0B"/>
    <w:rsid w:val="00C87FC4"/>
    <w:rsid w:val="00C9142F"/>
    <w:rsid w:val="00C91DAD"/>
    <w:rsid w:val="00C92A88"/>
    <w:rsid w:val="00C937FE"/>
    <w:rsid w:val="00C93B6B"/>
    <w:rsid w:val="00C961F6"/>
    <w:rsid w:val="00CA1880"/>
    <w:rsid w:val="00CA1EF3"/>
    <w:rsid w:val="00CA2751"/>
    <w:rsid w:val="00CA30AE"/>
    <w:rsid w:val="00CA47E7"/>
    <w:rsid w:val="00CA53C4"/>
    <w:rsid w:val="00CA6E1B"/>
    <w:rsid w:val="00CA766A"/>
    <w:rsid w:val="00CB01CA"/>
    <w:rsid w:val="00CB14E5"/>
    <w:rsid w:val="00CB1C64"/>
    <w:rsid w:val="00CB1C74"/>
    <w:rsid w:val="00CB22A1"/>
    <w:rsid w:val="00CB241F"/>
    <w:rsid w:val="00CB24C5"/>
    <w:rsid w:val="00CB2727"/>
    <w:rsid w:val="00CB2A3A"/>
    <w:rsid w:val="00CB2B67"/>
    <w:rsid w:val="00CB46F9"/>
    <w:rsid w:val="00CB4E7A"/>
    <w:rsid w:val="00CB6012"/>
    <w:rsid w:val="00CB638F"/>
    <w:rsid w:val="00CB63B9"/>
    <w:rsid w:val="00CB73A2"/>
    <w:rsid w:val="00CB785E"/>
    <w:rsid w:val="00CB79EC"/>
    <w:rsid w:val="00CC00B6"/>
    <w:rsid w:val="00CC149E"/>
    <w:rsid w:val="00CC1AC0"/>
    <w:rsid w:val="00CC4B4D"/>
    <w:rsid w:val="00CC577B"/>
    <w:rsid w:val="00CC59C1"/>
    <w:rsid w:val="00CC5CFB"/>
    <w:rsid w:val="00CD0282"/>
    <w:rsid w:val="00CD121B"/>
    <w:rsid w:val="00CD2A32"/>
    <w:rsid w:val="00CD2E72"/>
    <w:rsid w:val="00CD2F86"/>
    <w:rsid w:val="00CD6239"/>
    <w:rsid w:val="00CD6E1C"/>
    <w:rsid w:val="00CD7776"/>
    <w:rsid w:val="00CE061D"/>
    <w:rsid w:val="00CE09AE"/>
    <w:rsid w:val="00CE0EA3"/>
    <w:rsid w:val="00CE1640"/>
    <w:rsid w:val="00CE1992"/>
    <w:rsid w:val="00CE1BD1"/>
    <w:rsid w:val="00CE2E1C"/>
    <w:rsid w:val="00CE78B5"/>
    <w:rsid w:val="00CF0BCF"/>
    <w:rsid w:val="00CF0C2D"/>
    <w:rsid w:val="00CF10EE"/>
    <w:rsid w:val="00CF18FC"/>
    <w:rsid w:val="00CF37ED"/>
    <w:rsid w:val="00CF3956"/>
    <w:rsid w:val="00CF4A98"/>
    <w:rsid w:val="00CF4F70"/>
    <w:rsid w:val="00CF5ABA"/>
    <w:rsid w:val="00CF687C"/>
    <w:rsid w:val="00CF6F67"/>
    <w:rsid w:val="00D00A77"/>
    <w:rsid w:val="00D00B5A"/>
    <w:rsid w:val="00D00C13"/>
    <w:rsid w:val="00D01300"/>
    <w:rsid w:val="00D01DA8"/>
    <w:rsid w:val="00D02ACF"/>
    <w:rsid w:val="00D02DFC"/>
    <w:rsid w:val="00D03824"/>
    <w:rsid w:val="00D047D9"/>
    <w:rsid w:val="00D0518A"/>
    <w:rsid w:val="00D054A5"/>
    <w:rsid w:val="00D06499"/>
    <w:rsid w:val="00D10039"/>
    <w:rsid w:val="00D113F0"/>
    <w:rsid w:val="00D11D4E"/>
    <w:rsid w:val="00D12445"/>
    <w:rsid w:val="00D126DE"/>
    <w:rsid w:val="00D131ED"/>
    <w:rsid w:val="00D1498B"/>
    <w:rsid w:val="00D159EA"/>
    <w:rsid w:val="00D1659B"/>
    <w:rsid w:val="00D169B7"/>
    <w:rsid w:val="00D16FAC"/>
    <w:rsid w:val="00D204C3"/>
    <w:rsid w:val="00D20DB3"/>
    <w:rsid w:val="00D222B5"/>
    <w:rsid w:val="00D226BA"/>
    <w:rsid w:val="00D22F5B"/>
    <w:rsid w:val="00D23756"/>
    <w:rsid w:val="00D24AB0"/>
    <w:rsid w:val="00D25663"/>
    <w:rsid w:val="00D25DFD"/>
    <w:rsid w:val="00D26A1B"/>
    <w:rsid w:val="00D272B5"/>
    <w:rsid w:val="00D274A8"/>
    <w:rsid w:val="00D279CD"/>
    <w:rsid w:val="00D27A4F"/>
    <w:rsid w:val="00D27F6B"/>
    <w:rsid w:val="00D307AD"/>
    <w:rsid w:val="00D30A2E"/>
    <w:rsid w:val="00D30DA4"/>
    <w:rsid w:val="00D31D11"/>
    <w:rsid w:val="00D3234A"/>
    <w:rsid w:val="00D3238F"/>
    <w:rsid w:val="00D32B24"/>
    <w:rsid w:val="00D3314E"/>
    <w:rsid w:val="00D338C1"/>
    <w:rsid w:val="00D34705"/>
    <w:rsid w:val="00D34F22"/>
    <w:rsid w:val="00D355D0"/>
    <w:rsid w:val="00D36C43"/>
    <w:rsid w:val="00D373E6"/>
    <w:rsid w:val="00D40FB9"/>
    <w:rsid w:val="00D410A3"/>
    <w:rsid w:val="00D41A62"/>
    <w:rsid w:val="00D42EEE"/>
    <w:rsid w:val="00D43482"/>
    <w:rsid w:val="00D43614"/>
    <w:rsid w:val="00D43E9A"/>
    <w:rsid w:val="00D43F59"/>
    <w:rsid w:val="00D45ADB"/>
    <w:rsid w:val="00D45D33"/>
    <w:rsid w:val="00D46945"/>
    <w:rsid w:val="00D46FB6"/>
    <w:rsid w:val="00D478E3"/>
    <w:rsid w:val="00D47BD7"/>
    <w:rsid w:val="00D50801"/>
    <w:rsid w:val="00D5149D"/>
    <w:rsid w:val="00D51858"/>
    <w:rsid w:val="00D51DFE"/>
    <w:rsid w:val="00D525B0"/>
    <w:rsid w:val="00D52C2E"/>
    <w:rsid w:val="00D548D3"/>
    <w:rsid w:val="00D54E2A"/>
    <w:rsid w:val="00D54F0E"/>
    <w:rsid w:val="00D556A1"/>
    <w:rsid w:val="00D55D64"/>
    <w:rsid w:val="00D56488"/>
    <w:rsid w:val="00D57F20"/>
    <w:rsid w:val="00D60644"/>
    <w:rsid w:val="00D61E4C"/>
    <w:rsid w:val="00D62AF4"/>
    <w:rsid w:val="00D636E1"/>
    <w:rsid w:val="00D63B14"/>
    <w:rsid w:val="00D65814"/>
    <w:rsid w:val="00D65A86"/>
    <w:rsid w:val="00D66548"/>
    <w:rsid w:val="00D66717"/>
    <w:rsid w:val="00D668E0"/>
    <w:rsid w:val="00D6749D"/>
    <w:rsid w:val="00D70BA4"/>
    <w:rsid w:val="00D727AC"/>
    <w:rsid w:val="00D73120"/>
    <w:rsid w:val="00D73483"/>
    <w:rsid w:val="00D73BF3"/>
    <w:rsid w:val="00D74536"/>
    <w:rsid w:val="00D75A76"/>
    <w:rsid w:val="00D76482"/>
    <w:rsid w:val="00D77D9E"/>
    <w:rsid w:val="00D81C26"/>
    <w:rsid w:val="00D8410D"/>
    <w:rsid w:val="00D8463E"/>
    <w:rsid w:val="00D84684"/>
    <w:rsid w:val="00D856C4"/>
    <w:rsid w:val="00D85B57"/>
    <w:rsid w:val="00D90EBD"/>
    <w:rsid w:val="00D92BD4"/>
    <w:rsid w:val="00D92D1B"/>
    <w:rsid w:val="00D93457"/>
    <w:rsid w:val="00D93901"/>
    <w:rsid w:val="00D94C52"/>
    <w:rsid w:val="00D9557F"/>
    <w:rsid w:val="00D95689"/>
    <w:rsid w:val="00D96182"/>
    <w:rsid w:val="00D965E9"/>
    <w:rsid w:val="00D96A87"/>
    <w:rsid w:val="00D975D6"/>
    <w:rsid w:val="00DA00B2"/>
    <w:rsid w:val="00DA097F"/>
    <w:rsid w:val="00DA2E09"/>
    <w:rsid w:val="00DA2EE8"/>
    <w:rsid w:val="00DA53A1"/>
    <w:rsid w:val="00DA64AB"/>
    <w:rsid w:val="00DA7D28"/>
    <w:rsid w:val="00DB09D2"/>
    <w:rsid w:val="00DB19A2"/>
    <w:rsid w:val="00DB267C"/>
    <w:rsid w:val="00DB3BE9"/>
    <w:rsid w:val="00DB3F6D"/>
    <w:rsid w:val="00DB4C5E"/>
    <w:rsid w:val="00DC1B6C"/>
    <w:rsid w:val="00DC1DE1"/>
    <w:rsid w:val="00DC22C4"/>
    <w:rsid w:val="00DC264F"/>
    <w:rsid w:val="00DC2A0F"/>
    <w:rsid w:val="00DC3C42"/>
    <w:rsid w:val="00DC3ED4"/>
    <w:rsid w:val="00DC41B9"/>
    <w:rsid w:val="00DC482C"/>
    <w:rsid w:val="00DC656D"/>
    <w:rsid w:val="00DC66B1"/>
    <w:rsid w:val="00DC6813"/>
    <w:rsid w:val="00DC699D"/>
    <w:rsid w:val="00DC76C3"/>
    <w:rsid w:val="00DD01A3"/>
    <w:rsid w:val="00DD02B8"/>
    <w:rsid w:val="00DD1F04"/>
    <w:rsid w:val="00DD374C"/>
    <w:rsid w:val="00DD55C2"/>
    <w:rsid w:val="00DD57B7"/>
    <w:rsid w:val="00DD74E7"/>
    <w:rsid w:val="00DD792F"/>
    <w:rsid w:val="00DE1DDF"/>
    <w:rsid w:val="00DE253C"/>
    <w:rsid w:val="00DE2E57"/>
    <w:rsid w:val="00DE32D1"/>
    <w:rsid w:val="00DE3AC0"/>
    <w:rsid w:val="00DE44E2"/>
    <w:rsid w:val="00DE48E3"/>
    <w:rsid w:val="00DE4A82"/>
    <w:rsid w:val="00DE5854"/>
    <w:rsid w:val="00DE5EA3"/>
    <w:rsid w:val="00DE5EE7"/>
    <w:rsid w:val="00DE6318"/>
    <w:rsid w:val="00DE6F7D"/>
    <w:rsid w:val="00DE6FE8"/>
    <w:rsid w:val="00DF0A1B"/>
    <w:rsid w:val="00DF0C64"/>
    <w:rsid w:val="00DF1212"/>
    <w:rsid w:val="00DF160F"/>
    <w:rsid w:val="00DF1A1F"/>
    <w:rsid w:val="00DF2228"/>
    <w:rsid w:val="00DF2CB2"/>
    <w:rsid w:val="00DF2FF8"/>
    <w:rsid w:val="00DF4AE8"/>
    <w:rsid w:val="00DF4BB0"/>
    <w:rsid w:val="00DF5DCF"/>
    <w:rsid w:val="00DF6C8C"/>
    <w:rsid w:val="00DF73AD"/>
    <w:rsid w:val="00DF7FB9"/>
    <w:rsid w:val="00E00773"/>
    <w:rsid w:val="00E00F76"/>
    <w:rsid w:val="00E01677"/>
    <w:rsid w:val="00E01912"/>
    <w:rsid w:val="00E035F3"/>
    <w:rsid w:val="00E047D9"/>
    <w:rsid w:val="00E0540E"/>
    <w:rsid w:val="00E06756"/>
    <w:rsid w:val="00E07AE3"/>
    <w:rsid w:val="00E10826"/>
    <w:rsid w:val="00E11D03"/>
    <w:rsid w:val="00E12280"/>
    <w:rsid w:val="00E136B5"/>
    <w:rsid w:val="00E139E2"/>
    <w:rsid w:val="00E1417F"/>
    <w:rsid w:val="00E15599"/>
    <w:rsid w:val="00E15F91"/>
    <w:rsid w:val="00E1624B"/>
    <w:rsid w:val="00E16D52"/>
    <w:rsid w:val="00E17856"/>
    <w:rsid w:val="00E20C57"/>
    <w:rsid w:val="00E229EC"/>
    <w:rsid w:val="00E22F54"/>
    <w:rsid w:val="00E23732"/>
    <w:rsid w:val="00E24529"/>
    <w:rsid w:val="00E25340"/>
    <w:rsid w:val="00E25BD5"/>
    <w:rsid w:val="00E275A3"/>
    <w:rsid w:val="00E31367"/>
    <w:rsid w:val="00E31455"/>
    <w:rsid w:val="00E31F4C"/>
    <w:rsid w:val="00E3240E"/>
    <w:rsid w:val="00E33279"/>
    <w:rsid w:val="00E33DB5"/>
    <w:rsid w:val="00E340C0"/>
    <w:rsid w:val="00E34A99"/>
    <w:rsid w:val="00E359EB"/>
    <w:rsid w:val="00E37F0D"/>
    <w:rsid w:val="00E40CBC"/>
    <w:rsid w:val="00E40F5F"/>
    <w:rsid w:val="00E43022"/>
    <w:rsid w:val="00E431B2"/>
    <w:rsid w:val="00E45CD3"/>
    <w:rsid w:val="00E46B63"/>
    <w:rsid w:val="00E47361"/>
    <w:rsid w:val="00E47B69"/>
    <w:rsid w:val="00E50385"/>
    <w:rsid w:val="00E50CEE"/>
    <w:rsid w:val="00E511A3"/>
    <w:rsid w:val="00E522AB"/>
    <w:rsid w:val="00E53061"/>
    <w:rsid w:val="00E5365F"/>
    <w:rsid w:val="00E539DB"/>
    <w:rsid w:val="00E53C81"/>
    <w:rsid w:val="00E5403B"/>
    <w:rsid w:val="00E549C8"/>
    <w:rsid w:val="00E555FF"/>
    <w:rsid w:val="00E55717"/>
    <w:rsid w:val="00E5597C"/>
    <w:rsid w:val="00E55BE2"/>
    <w:rsid w:val="00E569E9"/>
    <w:rsid w:val="00E56CD8"/>
    <w:rsid w:val="00E57671"/>
    <w:rsid w:val="00E57E28"/>
    <w:rsid w:val="00E60670"/>
    <w:rsid w:val="00E64AED"/>
    <w:rsid w:val="00E654E5"/>
    <w:rsid w:val="00E66100"/>
    <w:rsid w:val="00E662EC"/>
    <w:rsid w:val="00E66303"/>
    <w:rsid w:val="00E66A12"/>
    <w:rsid w:val="00E67338"/>
    <w:rsid w:val="00E70151"/>
    <w:rsid w:val="00E70339"/>
    <w:rsid w:val="00E708F0"/>
    <w:rsid w:val="00E70D38"/>
    <w:rsid w:val="00E71848"/>
    <w:rsid w:val="00E71FF4"/>
    <w:rsid w:val="00E72049"/>
    <w:rsid w:val="00E720FA"/>
    <w:rsid w:val="00E72556"/>
    <w:rsid w:val="00E72DF1"/>
    <w:rsid w:val="00E73CD1"/>
    <w:rsid w:val="00E73D12"/>
    <w:rsid w:val="00E7567E"/>
    <w:rsid w:val="00E76036"/>
    <w:rsid w:val="00E763B9"/>
    <w:rsid w:val="00E76DBD"/>
    <w:rsid w:val="00E772F1"/>
    <w:rsid w:val="00E77884"/>
    <w:rsid w:val="00E803C6"/>
    <w:rsid w:val="00E80D1A"/>
    <w:rsid w:val="00E81FCB"/>
    <w:rsid w:val="00E82BAF"/>
    <w:rsid w:val="00E83655"/>
    <w:rsid w:val="00E83FAB"/>
    <w:rsid w:val="00E84E42"/>
    <w:rsid w:val="00E85B7C"/>
    <w:rsid w:val="00E8781D"/>
    <w:rsid w:val="00E87E82"/>
    <w:rsid w:val="00E90572"/>
    <w:rsid w:val="00E90819"/>
    <w:rsid w:val="00E90916"/>
    <w:rsid w:val="00E91CB6"/>
    <w:rsid w:val="00E923BD"/>
    <w:rsid w:val="00E92684"/>
    <w:rsid w:val="00E92AC8"/>
    <w:rsid w:val="00E9304F"/>
    <w:rsid w:val="00E93A66"/>
    <w:rsid w:val="00E93AA1"/>
    <w:rsid w:val="00E93DD7"/>
    <w:rsid w:val="00E9423D"/>
    <w:rsid w:val="00E94929"/>
    <w:rsid w:val="00E96642"/>
    <w:rsid w:val="00E96DAD"/>
    <w:rsid w:val="00E96DDF"/>
    <w:rsid w:val="00E978BC"/>
    <w:rsid w:val="00EA0077"/>
    <w:rsid w:val="00EA170E"/>
    <w:rsid w:val="00EA3018"/>
    <w:rsid w:val="00EA45A1"/>
    <w:rsid w:val="00EA591A"/>
    <w:rsid w:val="00EA6C93"/>
    <w:rsid w:val="00EB0766"/>
    <w:rsid w:val="00EB2129"/>
    <w:rsid w:val="00EB3039"/>
    <w:rsid w:val="00EB3515"/>
    <w:rsid w:val="00EB3D60"/>
    <w:rsid w:val="00EB3E45"/>
    <w:rsid w:val="00EB4BC3"/>
    <w:rsid w:val="00EB58CF"/>
    <w:rsid w:val="00EB64D0"/>
    <w:rsid w:val="00EB69A7"/>
    <w:rsid w:val="00EB6DB4"/>
    <w:rsid w:val="00EB707F"/>
    <w:rsid w:val="00EB72B5"/>
    <w:rsid w:val="00EC08C7"/>
    <w:rsid w:val="00EC0C71"/>
    <w:rsid w:val="00EC279A"/>
    <w:rsid w:val="00EC3B4E"/>
    <w:rsid w:val="00EC41C8"/>
    <w:rsid w:val="00EC447A"/>
    <w:rsid w:val="00EC455D"/>
    <w:rsid w:val="00EC49C4"/>
    <w:rsid w:val="00EC4B6D"/>
    <w:rsid w:val="00EC5669"/>
    <w:rsid w:val="00EC5802"/>
    <w:rsid w:val="00EC753F"/>
    <w:rsid w:val="00EC776C"/>
    <w:rsid w:val="00ED0C31"/>
    <w:rsid w:val="00ED28C9"/>
    <w:rsid w:val="00ED2A69"/>
    <w:rsid w:val="00ED4F78"/>
    <w:rsid w:val="00ED5688"/>
    <w:rsid w:val="00ED5CAB"/>
    <w:rsid w:val="00ED6069"/>
    <w:rsid w:val="00ED66F0"/>
    <w:rsid w:val="00ED6CC9"/>
    <w:rsid w:val="00ED7663"/>
    <w:rsid w:val="00ED7E14"/>
    <w:rsid w:val="00ED7FCF"/>
    <w:rsid w:val="00EE0E64"/>
    <w:rsid w:val="00EE0F13"/>
    <w:rsid w:val="00EE1445"/>
    <w:rsid w:val="00EE16E0"/>
    <w:rsid w:val="00EE1A79"/>
    <w:rsid w:val="00EE1B06"/>
    <w:rsid w:val="00EE317C"/>
    <w:rsid w:val="00EE3601"/>
    <w:rsid w:val="00EE3696"/>
    <w:rsid w:val="00EE37AA"/>
    <w:rsid w:val="00EE3D1E"/>
    <w:rsid w:val="00EE63BA"/>
    <w:rsid w:val="00EF090E"/>
    <w:rsid w:val="00EF0D8D"/>
    <w:rsid w:val="00EF1B68"/>
    <w:rsid w:val="00EF1FAB"/>
    <w:rsid w:val="00EF2710"/>
    <w:rsid w:val="00EF336B"/>
    <w:rsid w:val="00EF4412"/>
    <w:rsid w:val="00EF483E"/>
    <w:rsid w:val="00EF4A94"/>
    <w:rsid w:val="00EF4CDB"/>
    <w:rsid w:val="00EF4DC6"/>
    <w:rsid w:val="00EF7265"/>
    <w:rsid w:val="00F00188"/>
    <w:rsid w:val="00F00A9B"/>
    <w:rsid w:val="00F0148E"/>
    <w:rsid w:val="00F03161"/>
    <w:rsid w:val="00F032F0"/>
    <w:rsid w:val="00F049BC"/>
    <w:rsid w:val="00F07436"/>
    <w:rsid w:val="00F100CB"/>
    <w:rsid w:val="00F11272"/>
    <w:rsid w:val="00F11346"/>
    <w:rsid w:val="00F1437B"/>
    <w:rsid w:val="00F16084"/>
    <w:rsid w:val="00F20890"/>
    <w:rsid w:val="00F20B42"/>
    <w:rsid w:val="00F22BE0"/>
    <w:rsid w:val="00F2359D"/>
    <w:rsid w:val="00F254A3"/>
    <w:rsid w:val="00F2591B"/>
    <w:rsid w:val="00F26771"/>
    <w:rsid w:val="00F2753D"/>
    <w:rsid w:val="00F27B51"/>
    <w:rsid w:val="00F3063A"/>
    <w:rsid w:val="00F306C5"/>
    <w:rsid w:val="00F32027"/>
    <w:rsid w:val="00F32927"/>
    <w:rsid w:val="00F32BB3"/>
    <w:rsid w:val="00F332EB"/>
    <w:rsid w:val="00F337EB"/>
    <w:rsid w:val="00F341E2"/>
    <w:rsid w:val="00F353F2"/>
    <w:rsid w:val="00F35437"/>
    <w:rsid w:val="00F35AAC"/>
    <w:rsid w:val="00F37206"/>
    <w:rsid w:val="00F37837"/>
    <w:rsid w:val="00F37EFB"/>
    <w:rsid w:val="00F4035F"/>
    <w:rsid w:val="00F40804"/>
    <w:rsid w:val="00F40931"/>
    <w:rsid w:val="00F40BBC"/>
    <w:rsid w:val="00F40C06"/>
    <w:rsid w:val="00F415E2"/>
    <w:rsid w:val="00F41666"/>
    <w:rsid w:val="00F4186F"/>
    <w:rsid w:val="00F4285A"/>
    <w:rsid w:val="00F42C71"/>
    <w:rsid w:val="00F44C13"/>
    <w:rsid w:val="00F4521A"/>
    <w:rsid w:val="00F45449"/>
    <w:rsid w:val="00F4585A"/>
    <w:rsid w:val="00F45BAC"/>
    <w:rsid w:val="00F4650F"/>
    <w:rsid w:val="00F47414"/>
    <w:rsid w:val="00F47B81"/>
    <w:rsid w:val="00F50564"/>
    <w:rsid w:val="00F50ADA"/>
    <w:rsid w:val="00F5251F"/>
    <w:rsid w:val="00F5383B"/>
    <w:rsid w:val="00F53BE4"/>
    <w:rsid w:val="00F56D69"/>
    <w:rsid w:val="00F56DDC"/>
    <w:rsid w:val="00F571B7"/>
    <w:rsid w:val="00F57366"/>
    <w:rsid w:val="00F5799B"/>
    <w:rsid w:val="00F57C7B"/>
    <w:rsid w:val="00F60681"/>
    <w:rsid w:val="00F60A0F"/>
    <w:rsid w:val="00F60D6A"/>
    <w:rsid w:val="00F63C3A"/>
    <w:rsid w:val="00F65093"/>
    <w:rsid w:val="00F653FA"/>
    <w:rsid w:val="00F65B52"/>
    <w:rsid w:val="00F65CB6"/>
    <w:rsid w:val="00F66DB6"/>
    <w:rsid w:val="00F670E5"/>
    <w:rsid w:val="00F67B6A"/>
    <w:rsid w:val="00F67DEF"/>
    <w:rsid w:val="00F703DB"/>
    <w:rsid w:val="00F70B44"/>
    <w:rsid w:val="00F70C46"/>
    <w:rsid w:val="00F72FCD"/>
    <w:rsid w:val="00F73776"/>
    <w:rsid w:val="00F7389D"/>
    <w:rsid w:val="00F7413F"/>
    <w:rsid w:val="00F74BF7"/>
    <w:rsid w:val="00F762DD"/>
    <w:rsid w:val="00F76301"/>
    <w:rsid w:val="00F8136B"/>
    <w:rsid w:val="00F833A2"/>
    <w:rsid w:val="00F843CE"/>
    <w:rsid w:val="00F857A4"/>
    <w:rsid w:val="00F8594D"/>
    <w:rsid w:val="00F867D1"/>
    <w:rsid w:val="00F86E71"/>
    <w:rsid w:val="00F87789"/>
    <w:rsid w:val="00F90289"/>
    <w:rsid w:val="00F9406A"/>
    <w:rsid w:val="00F943A8"/>
    <w:rsid w:val="00F949E0"/>
    <w:rsid w:val="00F95471"/>
    <w:rsid w:val="00F95958"/>
    <w:rsid w:val="00F96CF0"/>
    <w:rsid w:val="00F97119"/>
    <w:rsid w:val="00FA16AF"/>
    <w:rsid w:val="00FA17EE"/>
    <w:rsid w:val="00FA1E31"/>
    <w:rsid w:val="00FA2083"/>
    <w:rsid w:val="00FA349E"/>
    <w:rsid w:val="00FA419F"/>
    <w:rsid w:val="00FA4BE3"/>
    <w:rsid w:val="00FA5565"/>
    <w:rsid w:val="00FA664E"/>
    <w:rsid w:val="00FA69DB"/>
    <w:rsid w:val="00FA7828"/>
    <w:rsid w:val="00FA7D3C"/>
    <w:rsid w:val="00FB08AB"/>
    <w:rsid w:val="00FB0A62"/>
    <w:rsid w:val="00FB1C51"/>
    <w:rsid w:val="00FB3034"/>
    <w:rsid w:val="00FB3058"/>
    <w:rsid w:val="00FB3A65"/>
    <w:rsid w:val="00FB3BEB"/>
    <w:rsid w:val="00FB761C"/>
    <w:rsid w:val="00FC028B"/>
    <w:rsid w:val="00FC0589"/>
    <w:rsid w:val="00FC1C7A"/>
    <w:rsid w:val="00FC2FED"/>
    <w:rsid w:val="00FC353B"/>
    <w:rsid w:val="00FC42C0"/>
    <w:rsid w:val="00FC4FE9"/>
    <w:rsid w:val="00FC5573"/>
    <w:rsid w:val="00FC5675"/>
    <w:rsid w:val="00FC624F"/>
    <w:rsid w:val="00FC7348"/>
    <w:rsid w:val="00FC743A"/>
    <w:rsid w:val="00FC7891"/>
    <w:rsid w:val="00FD07AC"/>
    <w:rsid w:val="00FD0899"/>
    <w:rsid w:val="00FD18B3"/>
    <w:rsid w:val="00FD1D37"/>
    <w:rsid w:val="00FD2047"/>
    <w:rsid w:val="00FD314D"/>
    <w:rsid w:val="00FD39B3"/>
    <w:rsid w:val="00FD3ECD"/>
    <w:rsid w:val="00FD4807"/>
    <w:rsid w:val="00FD55F0"/>
    <w:rsid w:val="00FD5BE5"/>
    <w:rsid w:val="00FD7089"/>
    <w:rsid w:val="00FD7509"/>
    <w:rsid w:val="00FE2488"/>
    <w:rsid w:val="00FE3C52"/>
    <w:rsid w:val="00FE4A83"/>
    <w:rsid w:val="00FE4FC3"/>
    <w:rsid w:val="00FE58BD"/>
    <w:rsid w:val="00FE6DBC"/>
    <w:rsid w:val="00FF047D"/>
    <w:rsid w:val="00FF0C36"/>
    <w:rsid w:val="00FF1003"/>
    <w:rsid w:val="00FF13FD"/>
    <w:rsid w:val="00FF225F"/>
    <w:rsid w:val="00FF27F8"/>
    <w:rsid w:val="00FF40AA"/>
    <w:rsid w:val="00FF41CF"/>
    <w:rsid w:val="00FF59AC"/>
    <w:rsid w:val="00FF60C5"/>
    <w:rsid w:val="00FF77AF"/>
    <w:rsid w:val="00FF785F"/>
    <w:rsid w:val="02583ED9"/>
    <w:rsid w:val="02C50B53"/>
    <w:rsid w:val="075052F4"/>
    <w:rsid w:val="08E745D5"/>
    <w:rsid w:val="0D96357A"/>
    <w:rsid w:val="0E5858D4"/>
    <w:rsid w:val="123A3773"/>
    <w:rsid w:val="134A636E"/>
    <w:rsid w:val="15C4212D"/>
    <w:rsid w:val="171573C8"/>
    <w:rsid w:val="172B206C"/>
    <w:rsid w:val="1B086A5E"/>
    <w:rsid w:val="20CA040A"/>
    <w:rsid w:val="22F306FC"/>
    <w:rsid w:val="2A996D05"/>
    <w:rsid w:val="30453757"/>
    <w:rsid w:val="3B5668E1"/>
    <w:rsid w:val="40BB708F"/>
    <w:rsid w:val="47225A79"/>
    <w:rsid w:val="47404DA7"/>
    <w:rsid w:val="4A396FD3"/>
    <w:rsid w:val="55FA243B"/>
    <w:rsid w:val="5E8B2318"/>
    <w:rsid w:val="5ECF3DE0"/>
    <w:rsid w:val="611F4BE4"/>
    <w:rsid w:val="66447B96"/>
    <w:rsid w:val="6FB11EB2"/>
    <w:rsid w:val="76A7601A"/>
    <w:rsid w:val="7AE460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widowControl/>
      <w:spacing w:before="100" w:beforeAutospacing="1" w:after="100" w:afterAutospacing="1"/>
      <w:jc w:val="left"/>
      <w:outlineLvl w:val="0"/>
    </w:pPr>
    <w:rPr>
      <w:rFonts w:ascii="宋体" w:hAnsi="宋体" w:eastAsia="宋体" w:cs="宋体"/>
      <w:kern w:val="36"/>
      <w:sz w:val="27"/>
      <w:szCs w:val="27"/>
    </w:rPr>
  </w:style>
  <w:style w:type="paragraph" w:styleId="3">
    <w:name w:val="heading 2"/>
    <w:basedOn w:val="1"/>
    <w:next w:val="1"/>
    <w:link w:val="3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qFormat/>
    <w:uiPriority w:val="0"/>
    <w:rPr>
      <w:rFonts w:ascii="Arial" w:hAnsi="Arial" w:eastAsia="黑体" w:cs="Arial"/>
      <w:sz w:val="20"/>
      <w:szCs w:val="20"/>
    </w:rPr>
  </w:style>
  <w:style w:type="paragraph" w:styleId="5">
    <w:name w:val="annotation text"/>
    <w:basedOn w:val="1"/>
    <w:link w:val="25"/>
    <w:unhideWhenUsed/>
    <w:qFormat/>
    <w:uiPriority w:val="99"/>
    <w:pPr>
      <w:jc w:val="left"/>
    </w:pPr>
    <w:rPr>
      <w:rFonts w:ascii="Calibri" w:hAnsi="Calibri"/>
    </w:rPr>
  </w:style>
  <w:style w:type="paragraph" w:styleId="6">
    <w:name w:val="Body Text"/>
    <w:basedOn w:val="1"/>
    <w:link w:val="35"/>
    <w:qFormat/>
    <w:uiPriority w:val="1"/>
    <w:rPr>
      <w:rFonts w:ascii="仿宋" w:hAnsi="仿宋" w:eastAsia="仿宋" w:cs="仿宋"/>
      <w:sz w:val="32"/>
      <w:szCs w:val="32"/>
      <w:lang w:val="zh-CN" w:bidi="zh-CN"/>
    </w:rPr>
  </w:style>
  <w:style w:type="paragraph" w:styleId="7">
    <w:name w:val="Date"/>
    <w:basedOn w:val="1"/>
    <w:next w:val="1"/>
    <w:link w:val="24"/>
    <w:qFormat/>
    <w:uiPriority w:val="0"/>
    <w:pPr>
      <w:ind w:left="100" w:leftChars="2500"/>
    </w:pPr>
    <w:rPr>
      <w:szCs w:val="24"/>
    </w:rPr>
  </w:style>
  <w:style w:type="paragraph" w:styleId="8">
    <w:name w:val="Balloon Text"/>
    <w:basedOn w:val="1"/>
    <w:link w:val="28"/>
    <w:semiHidden/>
    <w:qFormat/>
    <w:uiPriority w:val="99"/>
    <w:rPr>
      <w:rFonts w:ascii="Times New Roman" w:hAnsi="Times New Roman" w:eastAsia="宋体" w:cs="Times New Roman"/>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jc w:val="left"/>
    </w:pPr>
    <w:rPr>
      <w:rFonts w:ascii="宋体" w:hAnsi="宋体" w:eastAsia="宋体" w:cs="宋体"/>
      <w:kern w:val="0"/>
      <w:sz w:val="24"/>
      <w:szCs w:val="24"/>
    </w:rPr>
  </w:style>
  <w:style w:type="paragraph" w:styleId="12">
    <w:name w:val="annotation subject"/>
    <w:basedOn w:val="5"/>
    <w:next w:val="5"/>
    <w:link w:val="32"/>
    <w:semiHidden/>
    <w:unhideWhenUsed/>
    <w:qFormat/>
    <w:uiPriority w:val="99"/>
    <w:rPr>
      <w:rFonts w:asciiTheme="minorHAnsi" w:hAnsiTheme="minorHAnsi"/>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basedOn w:val="15"/>
    <w:semiHidden/>
    <w:unhideWhenUsed/>
    <w:qFormat/>
    <w:uiPriority w:val="99"/>
    <w:rPr>
      <w:color w:val="666666"/>
      <w:u w:val="none"/>
      <w:shd w:val="clear" w:color="auto" w:fill="auto"/>
    </w:rPr>
  </w:style>
  <w:style w:type="character" w:styleId="18">
    <w:name w:val="annotation reference"/>
    <w:basedOn w:val="15"/>
    <w:semiHidden/>
    <w:unhideWhenUsed/>
    <w:qFormat/>
    <w:uiPriority w:val="99"/>
    <w:rPr>
      <w:sz w:val="21"/>
      <w:szCs w:val="21"/>
    </w:rPr>
  </w:style>
  <w:style w:type="character" w:customStyle="1" w:styleId="19">
    <w:name w:val="页眉 字符"/>
    <w:basedOn w:val="15"/>
    <w:link w:val="10"/>
    <w:qFormat/>
    <w:uiPriority w:val="99"/>
    <w:rPr>
      <w:sz w:val="18"/>
      <w:szCs w:val="18"/>
    </w:rPr>
  </w:style>
  <w:style w:type="character" w:customStyle="1" w:styleId="20">
    <w:name w:val="页脚 字符"/>
    <w:basedOn w:val="15"/>
    <w:link w:val="9"/>
    <w:qFormat/>
    <w:uiPriority w:val="99"/>
    <w:rPr>
      <w:sz w:val="18"/>
      <w:szCs w:val="18"/>
    </w:rPr>
  </w:style>
  <w:style w:type="character" w:customStyle="1" w:styleId="21">
    <w:name w:val="标题 1 字符"/>
    <w:basedOn w:val="15"/>
    <w:link w:val="2"/>
    <w:qFormat/>
    <w:uiPriority w:val="9"/>
    <w:rPr>
      <w:rFonts w:ascii="宋体" w:hAnsi="宋体" w:eastAsia="宋体" w:cs="宋体"/>
      <w:kern w:val="36"/>
      <w:sz w:val="27"/>
      <w:szCs w:val="27"/>
    </w:rPr>
  </w:style>
  <w:style w:type="character" w:customStyle="1" w:styleId="22">
    <w:name w:val="time2"/>
    <w:basedOn w:val="15"/>
    <w:qFormat/>
    <w:uiPriority w:val="0"/>
  </w:style>
  <w:style w:type="character" w:customStyle="1" w:styleId="23">
    <w:name w:val="ly"/>
    <w:basedOn w:val="15"/>
    <w:qFormat/>
    <w:uiPriority w:val="0"/>
  </w:style>
  <w:style w:type="character" w:customStyle="1" w:styleId="24">
    <w:name w:val="日期 字符"/>
    <w:link w:val="7"/>
    <w:qFormat/>
    <w:uiPriority w:val="0"/>
    <w:rPr>
      <w:szCs w:val="24"/>
    </w:rPr>
  </w:style>
  <w:style w:type="character" w:customStyle="1" w:styleId="25">
    <w:name w:val="批注文字 字符"/>
    <w:link w:val="5"/>
    <w:qFormat/>
    <w:uiPriority w:val="99"/>
    <w:rPr>
      <w:rFonts w:ascii="Calibri" w:hAnsi="Calibri"/>
    </w:rPr>
  </w:style>
  <w:style w:type="paragraph" w:customStyle="1" w:styleId="26">
    <w:name w:val="a"/>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7">
    <w:name w:val="日期 Char1"/>
    <w:basedOn w:val="15"/>
    <w:semiHidden/>
    <w:qFormat/>
    <w:uiPriority w:val="99"/>
  </w:style>
  <w:style w:type="character" w:customStyle="1" w:styleId="28">
    <w:name w:val="批注框文本 字符"/>
    <w:basedOn w:val="15"/>
    <w:link w:val="8"/>
    <w:semiHidden/>
    <w:qFormat/>
    <w:uiPriority w:val="99"/>
    <w:rPr>
      <w:rFonts w:ascii="Times New Roman" w:hAnsi="Times New Roman" w:eastAsia="宋体" w:cs="Times New Roman"/>
      <w:sz w:val="18"/>
      <w:szCs w:val="18"/>
    </w:rPr>
  </w:style>
  <w:style w:type="character" w:customStyle="1" w:styleId="29">
    <w:name w:val="批注文字 Char1"/>
    <w:basedOn w:val="15"/>
    <w:semiHidden/>
    <w:qFormat/>
    <w:uiPriority w:val="99"/>
  </w:style>
  <w:style w:type="paragraph" w:customStyle="1" w:styleId="30">
    <w:name w:val="p0"/>
    <w:basedOn w:val="1"/>
    <w:qFormat/>
    <w:uiPriority w:val="0"/>
    <w:pPr>
      <w:widowControl/>
    </w:pPr>
    <w:rPr>
      <w:rFonts w:ascii="Times New Roman" w:hAnsi="Times New Roman" w:eastAsia="宋体" w:cs="Times New Roman"/>
      <w:kern w:val="0"/>
      <w:szCs w:val="21"/>
    </w:rPr>
  </w:style>
  <w:style w:type="paragraph" w:styleId="31">
    <w:name w:val="List Paragraph"/>
    <w:basedOn w:val="1"/>
    <w:qFormat/>
    <w:uiPriority w:val="34"/>
    <w:pPr>
      <w:ind w:firstLine="420" w:firstLineChars="200"/>
    </w:pPr>
    <w:rPr>
      <w:rFonts w:ascii="Calibri" w:hAnsi="Calibri" w:eastAsia="宋体" w:cs="Times New Roman"/>
    </w:rPr>
  </w:style>
  <w:style w:type="character" w:customStyle="1" w:styleId="32">
    <w:name w:val="批注主题 字符"/>
    <w:basedOn w:val="25"/>
    <w:link w:val="12"/>
    <w:semiHidden/>
    <w:qFormat/>
    <w:uiPriority w:val="99"/>
    <w:rPr>
      <w:rFonts w:ascii="Calibri" w:hAnsi="Calibri"/>
      <w:b/>
      <w:bCs/>
    </w:rPr>
  </w:style>
  <w:style w:type="character" w:customStyle="1" w:styleId="33">
    <w:name w:val="标题 2 字符"/>
    <w:basedOn w:val="15"/>
    <w:link w:val="3"/>
    <w:qFormat/>
    <w:uiPriority w:val="0"/>
    <w:rPr>
      <w:rFonts w:asciiTheme="majorHAnsi" w:hAnsiTheme="majorHAnsi" w:eastAsiaTheme="majorEastAsia" w:cstheme="majorBidi"/>
      <w:b/>
      <w:bCs/>
      <w:sz w:val="32"/>
      <w:szCs w:val="32"/>
    </w:rPr>
  </w:style>
  <w:style w:type="paragraph" w:customStyle="1" w:styleId="34">
    <w:name w:val="_Style 31"/>
    <w:basedOn w:val="1"/>
    <w:next w:val="31"/>
    <w:qFormat/>
    <w:uiPriority w:val="34"/>
    <w:pPr>
      <w:ind w:firstLine="420" w:firstLineChars="200"/>
    </w:pPr>
    <w:rPr>
      <w:rFonts w:ascii="Calibri" w:hAnsi="Calibri" w:eastAsia="宋体" w:cs="Times New Roman"/>
      <w:szCs w:val="24"/>
    </w:rPr>
  </w:style>
  <w:style w:type="character" w:customStyle="1" w:styleId="35">
    <w:name w:val="正文文本 字符"/>
    <w:basedOn w:val="15"/>
    <w:link w:val="6"/>
    <w:qFormat/>
    <w:uiPriority w:val="1"/>
    <w:rPr>
      <w:rFonts w:ascii="仿宋" w:hAnsi="仿宋" w:eastAsia="仿宋" w:cs="仿宋"/>
      <w:kern w:val="2"/>
      <w:sz w:val="32"/>
      <w:szCs w:val="32"/>
      <w:lang w:val="zh-CN" w:bidi="zh-CN"/>
    </w:rPr>
  </w:style>
  <w:style w:type="paragraph" w:customStyle="1" w:styleId="36">
    <w:name w:val="_Style 311"/>
    <w:basedOn w:val="1"/>
    <w:next w:val="31"/>
    <w:qFormat/>
    <w:uiPriority w:val="34"/>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E82151-DDC2-422D-B88B-A30A4869F19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45</Pages>
  <Words>19532</Words>
  <Characters>20886</Characters>
  <Lines>189</Lines>
  <Paragraphs>53</Paragraphs>
  <TotalTime>15</TotalTime>
  <ScaleCrop>false</ScaleCrop>
  <LinksUpToDate>false</LinksUpToDate>
  <CharactersWithSpaces>23662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2022-07-20T06:58:00Z</dcterms:created>
  <dc:creator>Administrator</dc:creator>
  <cp:lastModifiedBy>Administrator</cp:lastModifiedBy>
  <cp:lastPrinted>2021-04-11T02:35:00Z</cp:lastPrinted>
  <dcterms:modified xsi:type="dcterms:W3CDTF">2022-09-13T03:31:18Z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F87D4165E0A24903A292CC919527C730</vt:lpwstr>
  </property>
  <property fmtid="{D5CDD505-2E9C-101B-9397-08002B2CF9AE}" pid="4" name="commondata">
    <vt:lpwstr>eyJoZGlkIjoiODVmN2JiZGU2NzRiYjg1NTE0NzgyNWFkZTc0ZTZhZTIifQ==</vt:lpwstr>
  </property>
</Properties>
</file>