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cs="仿宋_GB2312"/>
          <w:color w:val="000000" w:themeColor="text1"/>
          <w:sz w:val="36"/>
          <w:szCs w:val="36"/>
          <w14:textFill>
            <w14:solidFill>
              <w14:schemeClr w14:val="tx1"/>
            </w14:solidFill>
          </w14:textFill>
        </w:rPr>
      </w:pPr>
    </w:p>
    <w:p>
      <w:pPr>
        <w:jc w:val="center"/>
        <w:rPr>
          <w:rFonts w:cs="仿宋_GB2312"/>
          <w:color w:val="000000" w:themeColor="text1"/>
          <w:sz w:val="36"/>
          <w:szCs w:val="36"/>
          <w14:textFill>
            <w14:solidFill>
              <w14:schemeClr w14:val="tx1"/>
            </w14:solidFill>
          </w14:textFill>
        </w:rPr>
      </w:pPr>
    </w:p>
    <w:p>
      <w:pPr>
        <w:jc w:val="center"/>
        <w:rPr>
          <w:rFonts w:cs="仿宋_GB2312"/>
          <w:color w:val="000000" w:themeColor="text1"/>
          <w:sz w:val="36"/>
          <w:szCs w:val="36"/>
          <w14:textFill>
            <w14:solidFill>
              <w14:schemeClr w14:val="tx1"/>
            </w14:solidFill>
          </w14:textFill>
        </w:rPr>
      </w:pPr>
    </w:p>
    <w:p>
      <w:pPr>
        <w:jc w:val="center"/>
        <w:rPr>
          <w:rFonts w:cs="仿宋_GB2312"/>
          <w:color w:val="000000" w:themeColor="text1"/>
          <w:sz w:val="36"/>
          <w:szCs w:val="36"/>
          <w14:textFill>
            <w14:solidFill>
              <w14:schemeClr w14:val="tx1"/>
            </w14:solidFill>
          </w14:textFill>
        </w:rPr>
      </w:pPr>
    </w:p>
    <w:p>
      <w:pPr>
        <w:jc w:val="center"/>
        <w:rPr>
          <w:rFonts w:cs="仿宋_GB2312"/>
          <w:color w:val="000000" w:themeColor="text1"/>
          <w:sz w:val="36"/>
          <w:szCs w:val="36"/>
          <w14:textFill>
            <w14:solidFill>
              <w14:schemeClr w14:val="tx1"/>
            </w14:solidFill>
          </w14:textFill>
        </w:rPr>
      </w:pPr>
    </w:p>
    <w:p>
      <w:pPr>
        <w:adjustRightInd w:val="0"/>
        <w:snapToGrid w:val="0"/>
        <w:jc w:val="center"/>
        <w:outlineLvl w:val="0"/>
        <w:rPr>
          <w:bCs/>
          <w:color w:val="000000" w:themeColor="text1"/>
          <w:sz w:val="72"/>
          <w:szCs w:val="72"/>
          <w14:textFill>
            <w14:solidFill>
              <w14:schemeClr w14:val="tx1"/>
            </w14:solidFill>
          </w14:textFill>
        </w:rPr>
      </w:pPr>
      <w:r>
        <w:rPr>
          <w:rFonts w:hint="eastAsia"/>
          <w:bCs/>
          <w:color w:val="000000" w:themeColor="text1"/>
          <w:sz w:val="72"/>
          <w:szCs w:val="72"/>
          <w14:textFill>
            <w14:solidFill>
              <w14:schemeClr w14:val="tx1"/>
            </w14:solidFill>
          </w14:textFill>
        </w:rPr>
        <w:t>建设项目环境影响报告表</w:t>
      </w:r>
    </w:p>
    <w:p>
      <w:pPr>
        <w:adjustRightInd w:val="0"/>
        <w:snapToGrid w:val="0"/>
        <w:spacing w:before="192" w:beforeLines="80"/>
        <w:jc w:val="center"/>
        <w:rPr>
          <w:bCs/>
          <w:color w:val="000000" w:themeColor="text1"/>
          <w:sz w:val="48"/>
          <w:szCs w:val="48"/>
          <w14:textFill>
            <w14:solidFill>
              <w14:schemeClr w14:val="tx1"/>
            </w14:solidFill>
          </w14:textFill>
        </w:rPr>
      </w:pPr>
      <w:r>
        <w:rPr>
          <w:rFonts w:hint="eastAsia"/>
          <w:bCs/>
          <w:color w:val="000000" w:themeColor="text1"/>
          <w:sz w:val="48"/>
          <w:szCs w:val="48"/>
          <w14:textFill>
            <w14:solidFill>
              <w14:schemeClr w14:val="tx1"/>
            </w14:solidFill>
          </w14:textFill>
        </w:rPr>
        <w:t>（污染影响类）</w:t>
      </w:r>
    </w:p>
    <w:p>
      <w:pPr>
        <w:spacing w:line="360" w:lineRule="auto"/>
        <w:jc w:val="center"/>
        <w:rPr>
          <w:color w:val="000000" w:themeColor="text1"/>
          <w14:textFill>
            <w14:solidFill>
              <w14:schemeClr w14:val="tx1"/>
            </w14:solidFill>
          </w14:textFill>
        </w:rPr>
      </w:pPr>
    </w:p>
    <w:p>
      <w:pPr>
        <w:spacing w:line="360" w:lineRule="auto"/>
        <w:jc w:val="center"/>
        <w:rPr>
          <w:color w:val="000000" w:themeColor="text1"/>
          <w14:textFill>
            <w14:solidFill>
              <w14:schemeClr w14:val="tx1"/>
            </w14:solidFill>
          </w14:textFill>
        </w:rPr>
      </w:pPr>
    </w:p>
    <w:p>
      <w:pPr>
        <w:jc w:val="center"/>
        <w:rPr>
          <w:color w:val="000000" w:themeColor="text1"/>
          <w:sz w:val="44"/>
          <w:szCs w:val="44"/>
          <w14:textFill>
            <w14:solidFill>
              <w14:schemeClr w14:val="tx1"/>
            </w14:solidFill>
          </w14:textFill>
        </w:rPr>
      </w:pPr>
    </w:p>
    <w:p>
      <w:pPr>
        <w:pStyle w:val="2"/>
        <w:jc w:val="center"/>
      </w:pPr>
    </w:p>
    <w:p>
      <w:pPr>
        <w:jc w:val="center"/>
        <w:rPr>
          <w:color w:val="000000" w:themeColor="text1"/>
          <w:sz w:val="44"/>
          <w:szCs w:val="44"/>
          <w14:textFill>
            <w14:solidFill>
              <w14:schemeClr w14:val="tx1"/>
            </w14:solidFill>
          </w14:textFill>
        </w:rPr>
      </w:pPr>
    </w:p>
    <w:p>
      <w:pPr>
        <w:jc w:val="center"/>
        <w:rPr>
          <w:color w:val="000000" w:themeColor="text1"/>
          <w:sz w:val="44"/>
          <w:szCs w:val="44"/>
          <w14:textFill>
            <w14:solidFill>
              <w14:schemeClr w14:val="tx1"/>
            </w14:solidFill>
          </w14:textFill>
        </w:rPr>
      </w:pPr>
    </w:p>
    <w:p>
      <w:pPr>
        <w:jc w:val="center"/>
        <w:rPr>
          <w:color w:val="000000" w:themeColor="text1"/>
          <w:sz w:val="44"/>
          <w:szCs w:val="44"/>
          <w14:textFill>
            <w14:solidFill>
              <w14:schemeClr w14:val="tx1"/>
            </w14:solidFill>
          </w14:textFill>
        </w:rPr>
      </w:pPr>
    </w:p>
    <w:p>
      <w:pPr>
        <w:adjustRightInd w:val="0"/>
        <w:snapToGrid w:val="0"/>
        <w:spacing w:line="288" w:lineRule="auto"/>
        <w:ind w:left="2810" w:leftChars="500" w:hanging="1760" w:hangingChars="550"/>
        <w:rPr>
          <w:sz w:val="32"/>
          <w:szCs w:val="36"/>
          <w:u w:val="single"/>
        </w:rPr>
      </w:pPr>
      <w:r>
        <w:rPr>
          <w:rFonts w:hint="eastAsia"/>
          <w:color w:val="000000" w:themeColor="text1"/>
          <w:sz w:val="32"/>
          <w:szCs w:val="36"/>
          <w14:textFill>
            <w14:solidFill>
              <w14:schemeClr w14:val="tx1"/>
            </w14:solidFill>
          </w14:textFill>
        </w:rPr>
        <w:t>项目名称：</w:t>
      </w:r>
      <w:r>
        <w:rPr>
          <w:rFonts w:hint="eastAsia"/>
          <w:color w:val="000000" w:themeColor="text1"/>
          <w:sz w:val="32"/>
          <w:szCs w:val="32"/>
          <w:u w:val="single"/>
          <w14:textFill>
            <w14:solidFill>
              <w14:schemeClr w14:val="tx1"/>
            </w14:solidFill>
          </w14:textFill>
        </w:rPr>
        <w:t>惠州市华鑫富五金制品有限公司</w:t>
      </w:r>
      <w:r>
        <w:rPr>
          <w:rFonts w:hint="eastAsia"/>
          <w:sz w:val="32"/>
          <w:szCs w:val="32"/>
          <w:u w:val="single"/>
        </w:rPr>
        <w:t xml:space="preserve">建设项目 </w:t>
      </w:r>
    </w:p>
    <w:p>
      <w:pPr>
        <w:adjustRightInd w:val="0"/>
        <w:snapToGrid w:val="0"/>
        <w:spacing w:line="288" w:lineRule="auto"/>
        <w:ind w:firstLine="1040"/>
        <w:rPr>
          <w:color w:val="000000" w:themeColor="text1"/>
          <w:sz w:val="32"/>
          <w:szCs w:val="36"/>
          <w:u w:val="single"/>
          <w14:textFill>
            <w14:solidFill>
              <w14:schemeClr w14:val="tx1"/>
            </w14:solidFill>
          </w14:textFill>
        </w:rPr>
      </w:pPr>
      <w:r>
        <w:rPr>
          <w:rFonts w:hint="eastAsia"/>
          <w:color w:val="000000" w:themeColor="text1"/>
          <w:sz w:val="32"/>
          <w:szCs w:val="36"/>
          <w14:textFill>
            <w14:solidFill>
              <w14:schemeClr w14:val="tx1"/>
            </w14:solidFill>
          </w14:textFill>
        </w:rPr>
        <w:t>建设单位（盖章）：</w:t>
      </w:r>
      <w:r>
        <w:rPr>
          <w:rFonts w:hint="eastAsia"/>
          <w:color w:val="000000" w:themeColor="text1"/>
          <w:sz w:val="32"/>
          <w:szCs w:val="32"/>
          <w:u w:val="single"/>
          <w14:textFill>
            <w14:solidFill>
              <w14:schemeClr w14:val="tx1"/>
            </w14:solidFill>
          </w14:textFill>
        </w:rPr>
        <w:t>惠州市华鑫富五金制品有限公司</w:t>
      </w:r>
    </w:p>
    <w:p>
      <w:pPr>
        <w:adjustRightInd w:val="0"/>
        <w:snapToGrid w:val="0"/>
        <w:spacing w:line="288" w:lineRule="auto"/>
        <w:ind w:firstLine="1040"/>
        <w:rPr>
          <w:color w:val="000000" w:themeColor="text1"/>
          <w:sz w:val="32"/>
          <w:szCs w:val="36"/>
          <w:u w:val="single"/>
          <w14:textFill>
            <w14:solidFill>
              <w14:schemeClr w14:val="tx1"/>
            </w14:solidFill>
          </w14:textFill>
        </w:rPr>
      </w:pPr>
      <w:r>
        <w:rPr>
          <w:rFonts w:hint="eastAsia"/>
          <w:color w:val="000000" w:themeColor="text1"/>
          <w:sz w:val="32"/>
          <w:szCs w:val="36"/>
          <w14:textFill>
            <w14:solidFill>
              <w14:schemeClr w14:val="tx1"/>
            </w14:solidFill>
          </w14:textFill>
        </w:rPr>
        <w:t>编制日期：</w:t>
      </w:r>
      <w:r>
        <w:rPr>
          <w:rFonts w:hint="eastAsia"/>
          <w:color w:val="000000" w:themeColor="text1"/>
          <w:sz w:val="32"/>
          <w:szCs w:val="36"/>
          <w:u w:val="single"/>
          <w14:textFill>
            <w14:solidFill>
              <w14:schemeClr w14:val="tx1"/>
            </w14:solidFill>
          </w14:textFill>
        </w:rPr>
        <w:t xml:space="preserve"> </w:t>
      </w:r>
      <w:r>
        <w:rPr>
          <w:color w:val="000000" w:themeColor="text1"/>
          <w:sz w:val="32"/>
          <w:szCs w:val="36"/>
          <w:u w:val="single"/>
          <w14:textFill>
            <w14:solidFill>
              <w14:schemeClr w14:val="tx1"/>
            </w14:solidFill>
          </w14:textFill>
        </w:rPr>
        <w:t xml:space="preserve">      </w:t>
      </w:r>
      <w:r>
        <w:rPr>
          <w:rFonts w:hint="eastAsia"/>
          <w:color w:val="000000" w:themeColor="text1"/>
          <w:sz w:val="32"/>
          <w:szCs w:val="36"/>
          <w:u w:val="single"/>
          <w14:textFill>
            <w14:solidFill>
              <w14:schemeClr w14:val="tx1"/>
            </w14:solidFill>
          </w14:textFill>
        </w:rPr>
        <w:t>2022</w:t>
      </w:r>
      <w:r>
        <w:rPr>
          <w:rFonts w:hint="eastAsia"/>
          <w:sz w:val="32"/>
          <w:szCs w:val="36"/>
          <w:u w:val="single"/>
        </w:rPr>
        <w:t>年10月</w:t>
      </w:r>
      <w:r>
        <w:rPr>
          <w:sz w:val="32"/>
          <w:szCs w:val="36"/>
          <w:u w:val="single"/>
        </w:rPr>
        <w:t xml:space="preserve"> </w:t>
      </w:r>
      <w:r>
        <w:rPr>
          <w:color w:val="000000" w:themeColor="text1"/>
          <w:sz w:val="32"/>
          <w:szCs w:val="36"/>
          <w:u w:val="single"/>
          <w14:textFill>
            <w14:solidFill>
              <w14:schemeClr w14:val="tx1"/>
            </w14:solidFill>
          </w14:textFill>
        </w:rPr>
        <w:t xml:space="preserve">       </w:t>
      </w:r>
      <w:r>
        <w:rPr>
          <w:rFonts w:hint="eastAsia"/>
          <w:color w:val="000000" w:themeColor="text1"/>
          <w:sz w:val="32"/>
          <w:szCs w:val="36"/>
          <w:u w:val="single"/>
          <w14:textFill>
            <w14:solidFill>
              <w14:schemeClr w14:val="tx1"/>
            </w14:solidFill>
          </w14:textFill>
        </w:rPr>
        <w:t xml:space="preserve"> </w:t>
      </w:r>
    </w:p>
    <w:p>
      <w:pPr>
        <w:adjustRightInd w:val="0"/>
        <w:snapToGrid w:val="0"/>
        <w:spacing w:line="288" w:lineRule="auto"/>
        <w:jc w:val="center"/>
        <w:rPr>
          <w:color w:val="000000" w:themeColor="text1"/>
          <w:sz w:val="36"/>
          <w:szCs w:val="36"/>
          <w:u w:val="single"/>
          <w14:textFill>
            <w14:solidFill>
              <w14:schemeClr w14:val="tx1"/>
            </w14:solidFill>
          </w14:textFill>
        </w:rPr>
      </w:pPr>
      <w:bookmarkStart w:id="0" w:name="_Hlk57884087"/>
    </w:p>
    <w:p>
      <w:pPr>
        <w:adjustRightInd w:val="0"/>
        <w:snapToGrid w:val="0"/>
        <w:spacing w:line="288" w:lineRule="auto"/>
        <w:jc w:val="center"/>
        <w:rPr>
          <w:color w:val="000000" w:themeColor="text1"/>
          <w:sz w:val="36"/>
          <w:szCs w:val="36"/>
          <w14:textFill>
            <w14:solidFill>
              <w14:schemeClr w14:val="tx1"/>
            </w14:solidFill>
          </w14:textFill>
        </w:rPr>
      </w:pPr>
    </w:p>
    <w:p>
      <w:pPr>
        <w:adjustRightInd w:val="0"/>
        <w:snapToGrid w:val="0"/>
        <w:spacing w:line="288" w:lineRule="auto"/>
        <w:jc w:val="center"/>
        <w:rPr>
          <w:color w:val="000000" w:themeColor="text1"/>
          <w:sz w:val="36"/>
          <w:szCs w:val="36"/>
          <w14:textFill>
            <w14:solidFill>
              <w14:schemeClr w14:val="tx1"/>
            </w14:solidFill>
          </w14:textFill>
        </w:rPr>
      </w:pPr>
    </w:p>
    <w:p>
      <w:pPr>
        <w:adjustRightInd w:val="0"/>
        <w:snapToGrid w:val="0"/>
        <w:spacing w:line="288" w:lineRule="auto"/>
        <w:jc w:val="center"/>
        <w:rPr>
          <w:color w:val="000000" w:themeColor="text1"/>
          <w:sz w:val="36"/>
          <w:szCs w:val="36"/>
          <w14:textFill>
            <w14:solidFill>
              <w14:schemeClr w14:val="tx1"/>
            </w14:solidFill>
          </w14:textFill>
        </w:rPr>
      </w:pPr>
    </w:p>
    <w:p>
      <w:pPr>
        <w:adjustRightInd w:val="0"/>
        <w:snapToGrid w:val="0"/>
        <w:spacing w:line="288" w:lineRule="auto"/>
        <w:jc w:val="center"/>
        <w:rPr>
          <w:color w:val="000000" w:themeColor="text1"/>
          <w:sz w:val="36"/>
          <w:szCs w:val="36"/>
          <w14:textFill>
            <w14:solidFill>
              <w14:schemeClr w14:val="tx1"/>
            </w14:solidFill>
          </w14:textFill>
        </w:rPr>
      </w:pPr>
    </w:p>
    <w:bookmarkEnd w:id="0"/>
    <w:p>
      <w:pPr>
        <w:adjustRightInd w:val="0"/>
        <w:snapToGrid w:val="0"/>
        <w:spacing w:line="288" w:lineRule="auto"/>
        <w:jc w:val="center"/>
        <w:rPr>
          <w:color w:val="000000" w:themeColor="text1"/>
          <w:sz w:val="36"/>
          <w:szCs w:val="36"/>
          <w14:textFill>
            <w14:solidFill>
              <w14:schemeClr w14:val="tx1"/>
            </w14:solidFill>
          </w14:textFill>
        </w:rPr>
        <w:sectPr>
          <w:headerReference r:id="rId3" w:type="default"/>
          <w:footerReference r:id="rId4" w:type="default"/>
          <w:footerReference r:id="rId5" w:type="even"/>
          <w:pgSz w:w="11906" w:h="16838"/>
          <w:pgMar w:top="1701" w:right="1531" w:bottom="1701" w:left="1531" w:header="851" w:footer="1077" w:gutter="0"/>
          <w:pgNumType w:start="1"/>
          <w:cols w:space="720" w:num="1"/>
          <w:docGrid w:linePitch="312" w:charSpace="0"/>
        </w:sectPr>
      </w:pPr>
      <w:r>
        <w:rPr>
          <w:rFonts w:hint="eastAsia"/>
          <w:color w:val="000000" w:themeColor="text1"/>
          <w:sz w:val="36"/>
          <w:szCs w:val="36"/>
          <w14:textFill>
            <w14:solidFill>
              <w14:schemeClr w14:val="tx1"/>
            </w14:solidFill>
          </w14:textFill>
        </w:rPr>
        <w:t>中华人民共和国生态环境部制</w:t>
      </w:r>
    </w:p>
    <w:p>
      <w:pPr>
        <w:pStyle w:val="93"/>
        <w:jc w:val="center"/>
        <w:outlineLvl w:val="0"/>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一、建设项目基本情况</w:t>
      </w:r>
    </w:p>
    <w:tbl>
      <w:tblPr>
        <w:tblStyle w:val="100"/>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439"/>
        <w:gridCol w:w="1696"/>
        <w:gridCol w:w="2013"/>
        <w:gridCol w:w="1819"/>
        <w:gridCol w:w="290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5" w:type="dxa"/>
            <w:gridSpan w:val="2"/>
            <w:tcMar>
              <w:top w:w="16" w:type="dxa"/>
              <w:left w:w="16" w:type="dxa"/>
              <w:right w:w="16" w:type="dxa"/>
            </w:tcMar>
            <w:vAlign w:val="center"/>
          </w:tcPr>
          <w:p>
            <w:pPr>
              <w:adjustRightInd w:val="0"/>
              <w:snapToGrid w:val="0"/>
              <w:jc w:val="center"/>
            </w:pPr>
            <w:r>
              <w:t>建设项目名称</w:t>
            </w:r>
          </w:p>
        </w:tc>
        <w:tc>
          <w:tcPr>
            <w:tcW w:w="6735" w:type="dxa"/>
            <w:gridSpan w:val="3"/>
            <w:vAlign w:val="center"/>
          </w:tcPr>
          <w:p>
            <w:pPr>
              <w:adjustRightInd w:val="0"/>
              <w:snapToGrid w:val="0"/>
              <w:jc w:val="center"/>
            </w:pPr>
            <w:r>
              <w:t>惠州市华鑫富五金制品有限公司建设项目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5" w:type="dxa"/>
            <w:gridSpan w:val="2"/>
            <w:tcMar>
              <w:top w:w="16" w:type="dxa"/>
              <w:left w:w="16" w:type="dxa"/>
              <w:right w:w="16" w:type="dxa"/>
            </w:tcMar>
            <w:vAlign w:val="center"/>
          </w:tcPr>
          <w:p>
            <w:pPr>
              <w:adjustRightInd w:val="0"/>
              <w:snapToGrid w:val="0"/>
              <w:jc w:val="center"/>
            </w:pPr>
            <w:r>
              <w:t>项目代码</w:t>
            </w:r>
          </w:p>
        </w:tc>
        <w:tc>
          <w:tcPr>
            <w:tcW w:w="6735" w:type="dxa"/>
            <w:gridSpan w:val="3"/>
            <w:vAlign w:val="center"/>
          </w:tcPr>
          <w:p>
            <w:pPr>
              <w:adjustRightInd w:val="0"/>
              <w:snapToGrid w:val="0"/>
              <w:jc w:val="center"/>
            </w:pPr>
            <w: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5" w:type="dxa"/>
            <w:gridSpan w:val="2"/>
            <w:tcMar>
              <w:top w:w="16" w:type="dxa"/>
              <w:left w:w="16" w:type="dxa"/>
              <w:right w:w="16" w:type="dxa"/>
            </w:tcMar>
            <w:vAlign w:val="center"/>
          </w:tcPr>
          <w:p>
            <w:pPr>
              <w:adjustRightInd w:val="0"/>
              <w:snapToGrid w:val="0"/>
              <w:jc w:val="center"/>
            </w:pPr>
            <w:r>
              <w:t>建设单位联系人</w:t>
            </w:r>
          </w:p>
        </w:tc>
        <w:tc>
          <w:tcPr>
            <w:tcW w:w="2013" w:type="dxa"/>
            <w:vAlign w:val="center"/>
          </w:tcPr>
          <w:p>
            <w:pPr>
              <w:adjustRightInd w:val="0"/>
              <w:snapToGrid w:val="0"/>
              <w:jc w:val="center"/>
            </w:pPr>
          </w:p>
        </w:tc>
        <w:tc>
          <w:tcPr>
            <w:tcW w:w="1819" w:type="dxa"/>
            <w:vAlign w:val="center"/>
          </w:tcPr>
          <w:p>
            <w:pPr>
              <w:adjustRightInd w:val="0"/>
              <w:snapToGrid w:val="0"/>
              <w:jc w:val="center"/>
            </w:pPr>
            <w:r>
              <w:t>联系方式</w:t>
            </w:r>
          </w:p>
        </w:tc>
        <w:tc>
          <w:tcPr>
            <w:tcW w:w="2903" w:type="dxa"/>
            <w:vAlign w:val="center"/>
          </w:tcPr>
          <w:p>
            <w:pPr>
              <w:adjustRightInd w:val="0"/>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5" w:type="dxa"/>
            <w:gridSpan w:val="2"/>
            <w:tcMar>
              <w:top w:w="16" w:type="dxa"/>
              <w:left w:w="16" w:type="dxa"/>
              <w:right w:w="16" w:type="dxa"/>
            </w:tcMar>
            <w:vAlign w:val="center"/>
          </w:tcPr>
          <w:p>
            <w:pPr>
              <w:adjustRightInd w:val="0"/>
              <w:snapToGrid w:val="0"/>
              <w:jc w:val="center"/>
            </w:pPr>
            <w:r>
              <w:t>建设地点</w:t>
            </w:r>
          </w:p>
        </w:tc>
        <w:tc>
          <w:tcPr>
            <w:tcW w:w="6735" w:type="dxa"/>
            <w:gridSpan w:val="3"/>
            <w:vAlign w:val="center"/>
          </w:tcPr>
          <w:p>
            <w:pPr>
              <w:adjustRightInd w:val="0"/>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5" w:type="dxa"/>
            <w:gridSpan w:val="2"/>
            <w:tcMar>
              <w:top w:w="16" w:type="dxa"/>
              <w:left w:w="16" w:type="dxa"/>
              <w:right w:w="16" w:type="dxa"/>
            </w:tcMar>
            <w:vAlign w:val="center"/>
          </w:tcPr>
          <w:p>
            <w:pPr>
              <w:adjustRightInd w:val="0"/>
              <w:snapToGrid w:val="0"/>
              <w:jc w:val="center"/>
            </w:pPr>
            <w:r>
              <w:t>地理坐标</w:t>
            </w:r>
          </w:p>
        </w:tc>
        <w:tc>
          <w:tcPr>
            <w:tcW w:w="6735" w:type="dxa"/>
            <w:gridSpan w:val="3"/>
            <w:vAlign w:val="center"/>
          </w:tcPr>
          <w:p>
            <w:pPr>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2135" w:type="dxa"/>
            <w:gridSpan w:val="2"/>
            <w:tcMar>
              <w:top w:w="16" w:type="dxa"/>
              <w:left w:w="16" w:type="dxa"/>
              <w:right w:w="16" w:type="dxa"/>
            </w:tcMar>
            <w:vAlign w:val="center"/>
          </w:tcPr>
          <w:p>
            <w:pPr>
              <w:adjustRightInd w:val="0"/>
              <w:snapToGrid w:val="0"/>
              <w:jc w:val="center"/>
            </w:pPr>
            <w:r>
              <w:t>国民经济</w:t>
            </w:r>
          </w:p>
          <w:p>
            <w:pPr>
              <w:adjustRightInd w:val="0"/>
              <w:snapToGrid w:val="0"/>
              <w:jc w:val="center"/>
            </w:pPr>
            <w:r>
              <w:t>行业类别</w:t>
            </w:r>
          </w:p>
        </w:tc>
        <w:tc>
          <w:tcPr>
            <w:tcW w:w="2013" w:type="dxa"/>
            <w:vAlign w:val="center"/>
          </w:tcPr>
          <w:p>
            <w:pPr>
              <w:adjustRightInd w:val="0"/>
              <w:snapToGrid w:val="0"/>
              <w:jc w:val="center"/>
            </w:pPr>
            <w:r>
              <w:t>C3392有色金属铸造</w:t>
            </w:r>
          </w:p>
        </w:tc>
        <w:tc>
          <w:tcPr>
            <w:tcW w:w="1819" w:type="dxa"/>
            <w:vAlign w:val="center"/>
          </w:tcPr>
          <w:p>
            <w:pPr>
              <w:adjustRightInd w:val="0"/>
              <w:snapToGrid w:val="0"/>
              <w:jc w:val="center"/>
            </w:pPr>
            <w:bookmarkStart w:id="1" w:name="_Hlk49843745"/>
            <w:r>
              <w:t>建设项目</w:t>
            </w:r>
          </w:p>
          <w:p>
            <w:pPr>
              <w:adjustRightInd w:val="0"/>
              <w:snapToGrid w:val="0"/>
              <w:jc w:val="center"/>
            </w:pPr>
            <w:r>
              <w:t>行业类别</w:t>
            </w:r>
            <w:bookmarkEnd w:id="1"/>
          </w:p>
        </w:tc>
        <w:tc>
          <w:tcPr>
            <w:tcW w:w="2903" w:type="dxa"/>
            <w:vAlign w:val="center"/>
          </w:tcPr>
          <w:p>
            <w:pPr>
              <w:adjustRightInd w:val="0"/>
              <w:snapToGrid w:val="0"/>
            </w:pPr>
            <w:r>
              <w:t>68铸造及其他金属制品制造339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2135" w:type="dxa"/>
            <w:gridSpan w:val="2"/>
            <w:tcMar>
              <w:top w:w="16" w:type="dxa"/>
              <w:left w:w="16" w:type="dxa"/>
              <w:right w:w="16" w:type="dxa"/>
            </w:tcMar>
            <w:vAlign w:val="center"/>
          </w:tcPr>
          <w:p>
            <w:pPr>
              <w:adjustRightInd w:val="0"/>
              <w:snapToGrid w:val="0"/>
              <w:jc w:val="center"/>
            </w:pPr>
            <w:r>
              <w:t>建设性质</w:t>
            </w:r>
          </w:p>
        </w:tc>
        <w:tc>
          <w:tcPr>
            <w:tcW w:w="2013" w:type="dxa"/>
            <w:vAlign w:val="center"/>
          </w:tcPr>
          <w:p>
            <w:pPr>
              <w:jc w:val="left"/>
            </w:pPr>
            <w:r>
              <w:rPr/>
              <w:sym w:font="Wingdings 2" w:char="0052"/>
            </w:r>
            <w:r>
              <w:t>新建（迁建）</w:t>
            </w:r>
          </w:p>
          <w:p>
            <w:pPr>
              <w:jc w:val="left"/>
            </w:pPr>
            <w:r>
              <w:rPr/>
              <w:sym w:font="Wingdings 2" w:char="00A3"/>
            </w:r>
            <w:r>
              <w:t>改建</w:t>
            </w:r>
          </w:p>
          <w:p>
            <w:pPr>
              <w:jc w:val="left"/>
            </w:pPr>
            <w:r>
              <w:t>□扩建</w:t>
            </w:r>
          </w:p>
          <w:p>
            <w:pPr>
              <w:jc w:val="left"/>
            </w:pPr>
            <w:r>
              <w:t>□技术改造</w:t>
            </w:r>
          </w:p>
        </w:tc>
        <w:tc>
          <w:tcPr>
            <w:tcW w:w="1819" w:type="dxa"/>
            <w:vAlign w:val="center"/>
          </w:tcPr>
          <w:p>
            <w:pPr>
              <w:adjustRightInd w:val="0"/>
              <w:snapToGrid w:val="0"/>
              <w:jc w:val="center"/>
            </w:pPr>
            <w:r>
              <w:t>建设项目</w:t>
            </w:r>
          </w:p>
          <w:p>
            <w:pPr>
              <w:adjustRightInd w:val="0"/>
              <w:snapToGrid w:val="0"/>
              <w:jc w:val="center"/>
            </w:pPr>
            <w:r>
              <w:t>申报情形</w:t>
            </w:r>
          </w:p>
        </w:tc>
        <w:tc>
          <w:tcPr>
            <w:tcW w:w="2903" w:type="dxa"/>
            <w:vAlign w:val="center"/>
          </w:tcPr>
          <w:p>
            <w:pPr>
              <w:jc w:val="left"/>
            </w:pPr>
            <w:r>
              <w:rPr/>
              <w:sym w:font="Wingdings 2" w:char="0052"/>
            </w:r>
            <w:r>
              <w:t xml:space="preserve">首次申报项目             </w:t>
            </w:r>
          </w:p>
          <w:p>
            <w:pPr>
              <w:jc w:val="left"/>
            </w:pPr>
            <w:r>
              <w:rPr/>
              <w:sym w:font="Wingdings 2" w:char="00A3"/>
            </w:r>
            <w:r>
              <w:t>不予批准后再次申报项目</w:t>
            </w:r>
          </w:p>
          <w:p>
            <w:pPr>
              <w:jc w:val="left"/>
            </w:pPr>
            <w:r>
              <w:rPr/>
              <w:sym w:font="Wingdings 2" w:char="00A3"/>
            </w:r>
            <w:r>
              <w:t xml:space="preserve">超五年重新审核项目     </w:t>
            </w:r>
          </w:p>
          <w:p>
            <w:pPr>
              <w:jc w:val="left"/>
            </w:pPr>
            <w: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2135" w:type="dxa"/>
            <w:gridSpan w:val="2"/>
            <w:tcMar>
              <w:top w:w="16" w:type="dxa"/>
              <w:left w:w="16" w:type="dxa"/>
              <w:right w:w="16" w:type="dxa"/>
            </w:tcMar>
            <w:vAlign w:val="center"/>
          </w:tcPr>
          <w:p>
            <w:pPr>
              <w:adjustRightInd w:val="0"/>
              <w:snapToGrid w:val="0"/>
              <w:jc w:val="center"/>
            </w:pPr>
            <w:r>
              <w:t>项目审批（核准/</w:t>
            </w:r>
          </w:p>
          <w:p>
            <w:pPr>
              <w:adjustRightInd w:val="0"/>
              <w:snapToGrid w:val="0"/>
              <w:jc w:val="center"/>
            </w:pPr>
            <w:r>
              <w:t>备案）部门（选填）</w:t>
            </w:r>
          </w:p>
        </w:tc>
        <w:tc>
          <w:tcPr>
            <w:tcW w:w="2013" w:type="dxa"/>
            <w:vAlign w:val="center"/>
          </w:tcPr>
          <w:p>
            <w:pPr>
              <w:adjustRightInd w:val="0"/>
              <w:snapToGrid w:val="0"/>
              <w:jc w:val="center"/>
            </w:pPr>
            <w:r>
              <w:t>/</w:t>
            </w:r>
          </w:p>
        </w:tc>
        <w:tc>
          <w:tcPr>
            <w:tcW w:w="1819" w:type="dxa"/>
            <w:vAlign w:val="center"/>
          </w:tcPr>
          <w:p>
            <w:pPr>
              <w:adjustRightInd w:val="0"/>
              <w:snapToGrid w:val="0"/>
              <w:jc w:val="center"/>
            </w:pPr>
            <w:r>
              <w:t>项目审批（核准/</w:t>
            </w:r>
          </w:p>
          <w:p>
            <w:pPr>
              <w:adjustRightInd w:val="0"/>
              <w:snapToGrid w:val="0"/>
              <w:jc w:val="center"/>
            </w:pPr>
            <w:r>
              <w:t>备案）文号（选填）</w:t>
            </w:r>
          </w:p>
        </w:tc>
        <w:tc>
          <w:tcPr>
            <w:tcW w:w="2903" w:type="dxa"/>
            <w:vAlign w:val="center"/>
          </w:tcPr>
          <w:p>
            <w:pPr>
              <w:adjustRightInd w:val="0"/>
              <w:snapToGrid w:val="0"/>
              <w:jc w:val="center"/>
            </w:pPr>
            <w: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5" w:type="dxa"/>
            <w:gridSpan w:val="2"/>
            <w:tcMar>
              <w:top w:w="16" w:type="dxa"/>
              <w:left w:w="16" w:type="dxa"/>
              <w:right w:w="16" w:type="dxa"/>
            </w:tcMar>
            <w:vAlign w:val="center"/>
          </w:tcPr>
          <w:p>
            <w:pPr>
              <w:adjustRightInd w:val="0"/>
              <w:snapToGrid w:val="0"/>
              <w:jc w:val="center"/>
            </w:pPr>
            <w:r>
              <w:t>总投资（万元）</w:t>
            </w:r>
          </w:p>
        </w:tc>
        <w:tc>
          <w:tcPr>
            <w:tcW w:w="2013" w:type="dxa"/>
            <w:vAlign w:val="center"/>
          </w:tcPr>
          <w:p>
            <w:pPr>
              <w:adjustRightInd w:val="0"/>
              <w:snapToGrid w:val="0"/>
              <w:jc w:val="center"/>
            </w:pPr>
            <w:r>
              <w:t>800</w:t>
            </w:r>
          </w:p>
        </w:tc>
        <w:tc>
          <w:tcPr>
            <w:tcW w:w="1819" w:type="dxa"/>
            <w:tcMar>
              <w:top w:w="16" w:type="dxa"/>
              <w:left w:w="16" w:type="dxa"/>
              <w:right w:w="16" w:type="dxa"/>
            </w:tcMar>
            <w:vAlign w:val="center"/>
          </w:tcPr>
          <w:p>
            <w:pPr>
              <w:adjustRightInd w:val="0"/>
              <w:snapToGrid w:val="0"/>
              <w:jc w:val="center"/>
            </w:pPr>
            <w:r>
              <w:t>环保投资（万元）</w:t>
            </w:r>
          </w:p>
        </w:tc>
        <w:tc>
          <w:tcPr>
            <w:tcW w:w="2903" w:type="dxa"/>
            <w:vAlign w:val="center"/>
          </w:tcPr>
          <w:p>
            <w:pPr>
              <w:adjustRightInd w:val="0"/>
              <w:snapToGrid w:val="0"/>
              <w:jc w:val="center"/>
            </w:pPr>
            <w:r>
              <w:t>60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2135" w:type="dxa"/>
            <w:gridSpan w:val="2"/>
            <w:tcMar>
              <w:top w:w="16" w:type="dxa"/>
              <w:left w:w="16" w:type="dxa"/>
              <w:right w:w="16" w:type="dxa"/>
            </w:tcMar>
            <w:vAlign w:val="center"/>
          </w:tcPr>
          <w:p>
            <w:pPr>
              <w:adjustRightInd w:val="0"/>
              <w:snapToGrid w:val="0"/>
              <w:jc w:val="center"/>
            </w:pPr>
            <w:r>
              <w:t>环保投资占比（%）</w:t>
            </w:r>
          </w:p>
        </w:tc>
        <w:tc>
          <w:tcPr>
            <w:tcW w:w="2013" w:type="dxa"/>
            <w:vAlign w:val="center"/>
          </w:tcPr>
          <w:p>
            <w:pPr>
              <w:adjustRightInd w:val="0"/>
              <w:snapToGrid w:val="0"/>
              <w:jc w:val="center"/>
            </w:pPr>
            <w:r>
              <w:t>7.5</w:t>
            </w:r>
          </w:p>
        </w:tc>
        <w:tc>
          <w:tcPr>
            <w:tcW w:w="1819" w:type="dxa"/>
            <w:tcMar>
              <w:top w:w="16" w:type="dxa"/>
              <w:left w:w="16" w:type="dxa"/>
              <w:right w:w="16" w:type="dxa"/>
            </w:tcMar>
            <w:vAlign w:val="center"/>
          </w:tcPr>
          <w:p>
            <w:pPr>
              <w:adjustRightInd w:val="0"/>
              <w:snapToGrid w:val="0"/>
              <w:jc w:val="center"/>
            </w:pPr>
            <w:r>
              <w:t>施工工期</w:t>
            </w:r>
          </w:p>
        </w:tc>
        <w:tc>
          <w:tcPr>
            <w:tcW w:w="2903" w:type="dxa"/>
            <w:vAlign w:val="center"/>
          </w:tcPr>
          <w:p>
            <w:pPr>
              <w:adjustRightInd w:val="0"/>
              <w:snapToGrid w:val="0"/>
              <w:jc w:val="center"/>
            </w:pPr>
            <w: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97" w:hRule="atLeast"/>
          <w:jc w:val="center"/>
        </w:trPr>
        <w:tc>
          <w:tcPr>
            <w:tcW w:w="2135" w:type="dxa"/>
            <w:gridSpan w:val="2"/>
            <w:tcMar>
              <w:top w:w="16" w:type="dxa"/>
              <w:left w:w="16" w:type="dxa"/>
              <w:right w:w="16" w:type="dxa"/>
            </w:tcMar>
            <w:vAlign w:val="center"/>
          </w:tcPr>
          <w:p>
            <w:pPr>
              <w:adjustRightInd w:val="0"/>
              <w:snapToGrid w:val="0"/>
              <w:jc w:val="center"/>
            </w:pPr>
            <w:r>
              <w:t>是否开工建设</w:t>
            </w:r>
          </w:p>
        </w:tc>
        <w:tc>
          <w:tcPr>
            <w:tcW w:w="2013" w:type="dxa"/>
            <w:vAlign w:val="center"/>
          </w:tcPr>
          <w:p>
            <w:pPr>
              <w:adjustRightInd w:val="0"/>
              <w:snapToGrid w:val="0"/>
            </w:pPr>
            <w:r>
              <w:rPr>
                <w:shd w:val="clear" w:color="auto" w:fill="FFFFFF"/>
              </w:rPr>
              <w:t>√</w:t>
            </w:r>
            <w:r>
              <w:t>否</w:t>
            </w:r>
          </w:p>
          <w:p>
            <w:pPr>
              <w:adjustRightInd w:val="0"/>
              <w:snapToGrid w:val="0"/>
            </w:pPr>
            <w:r>
              <w:rPr/>
              <w:sym w:font="Wingdings 2" w:char="00A3"/>
            </w:r>
            <w:r>
              <w:t>是：</w:t>
            </w:r>
            <w:r>
              <w:rPr>
                <w:u w:val="single"/>
              </w:rPr>
              <w:t xml:space="preserve">             </w:t>
            </w:r>
          </w:p>
        </w:tc>
        <w:tc>
          <w:tcPr>
            <w:tcW w:w="1819" w:type="dxa"/>
            <w:tcMar>
              <w:top w:w="16" w:type="dxa"/>
              <w:left w:w="16" w:type="dxa"/>
              <w:right w:w="16" w:type="dxa"/>
            </w:tcMar>
            <w:vAlign w:val="center"/>
          </w:tcPr>
          <w:p>
            <w:pPr>
              <w:adjustRightInd w:val="0"/>
              <w:snapToGrid w:val="0"/>
              <w:jc w:val="center"/>
              <w:rPr>
                <w:spacing w:val="-6"/>
              </w:rPr>
            </w:pPr>
            <w:r>
              <w:rPr>
                <w:spacing w:val="-6"/>
              </w:rPr>
              <w:t>用地（用海）</w:t>
            </w:r>
          </w:p>
          <w:p>
            <w:pPr>
              <w:adjustRightInd w:val="0"/>
              <w:snapToGrid w:val="0"/>
              <w:jc w:val="center"/>
            </w:pPr>
            <w:r>
              <w:rPr>
                <w:spacing w:val="-6"/>
              </w:rPr>
              <w:t>面积（m</w:t>
            </w:r>
            <w:r>
              <w:rPr>
                <w:spacing w:val="-6"/>
                <w:vertAlign w:val="superscript"/>
              </w:rPr>
              <w:t>2</w:t>
            </w:r>
            <w:r>
              <w:rPr>
                <w:spacing w:val="-6"/>
              </w:rPr>
              <w:t>）</w:t>
            </w:r>
          </w:p>
        </w:tc>
        <w:tc>
          <w:tcPr>
            <w:tcW w:w="2903" w:type="dxa"/>
            <w:vAlign w:val="center"/>
          </w:tcPr>
          <w:p>
            <w:pPr>
              <w:adjustRightInd w:val="0"/>
              <w:snapToGrid w:val="0"/>
              <w:jc w:val="center"/>
            </w:pPr>
            <w:r>
              <w:rPr>
                <w:rFonts w:hint="eastAsia"/>
              </w:rPr>
              <w:t>1726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6" w:hRule="atLeast"/>
          <w:jc w:val="center"/>
        </w:trPr>
        <w:tc>
          <w:tcPr>
            <w:tcW w:w="2135" w:type="dxa"/>
            <w:gridSpan w:val="2"/>
            <w:vAlign w:val="center"/>
          </w:tcPr>
          <w:p>
            <w:pPr>
              <w:autoSpaceDE w:val="0"/>
              <w:autoSpaceDN w:val="0"/>
              <w:adjustRightInd w:val="0"/>
              <w:snapToGrid w:val="0"/>
              <w:jc w:val="center"/>
            </w:pPr>
            <w:r>
              <w:t>专项评价设置情况</w:t>
            </w:r>
          </w:p>
        </w:tc>
        <w:tc>
          <w:tcPr>
            <w:tcW w:w="6735" w:type="dxa"/>
            <w:gridSpan w:val="3"/>
            <w:vAlign w:val="center"/>
          </w:tcPr>
          <w:p>
            <w:pPr>
              <w:autoSpaceDE w:val="0"/>
              <w:autoSpaceDN w:val="0"/>
              <w:adjustRightInd w:val="0"/>
              <w:snapToGrid w:val="0"/>
              <w:jc w:val="center"/>
            </w:pPr>
            <w: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7" w:hRule="atLeast"/>
          <w:jc w:val="center"/>
        </w:trPr>
        <w:tc>
          <w:tcPr>
            <w:tcW w:w="2135" w:type="dxa"/>
            <w:gridSpan w:val="2"/>
            <w:vAlign w:val="center"/>
          </w:tcPr>
          <w:p>
            <w:pPr>
              <w:autoSpaceDE w:val="0"/>
              <w:autoSpaceDN w:val="0"/>
              <w:adjustRightInd w:val="0"/>
              <w:snapToGrid w:val="0"/>
              <w:jc w:val="center"/>
            </w:pPr>
            <w:r>
              <w:t>规划情况</w:t>
            </w:r>
          </w:p>
        </w:tc>
        <w:tc>
          <w:tcPr>
            <w:tcW w:w="6735" w:type="dxa"/>
            <w:gridSpan w:val="3"/>
            <w:vAlign w:val="center"/>
          </w:tcPr>
          <w:p>
            <w:pPr>
              <w:autoSpaceDE w:val="0"/>
              <w:autoSpaceDN w:val="0"/>
              <w:adjustRightInd w:val="0"/>
              <w:snapToGrid w:val="0"/>
              <w:jc w:val="center"/>
            </w:pPr>
            <w: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40" w:hRule="atLeast"/>
          <w:jc w:val="center"/>
        </w:trPr>
        <w:tc>
          <w:tcPr>
            <w:tcW w:w="2135" w:type="dxa"/>
            <w:gridSpan w:val="2"/>
            <w:vAlign w:val="center"/>
          </w:tcPr>
          <w:p>
            <w:pPr>
              <w:adjustRightInd w:val="0"/>
              <w:snapToGrid w:val="0"/>
              <w:jc w:val="center"/>
            </w:pPr>
            <w:r>
              <w:t>规划环境影响评价情况</w:t>
            </w:r>
          </w:p>
        </w:tc>
        <w:tc>
          <w:tcPr>
            <w:tcW w:w="6735" w:type="dxa"/>
            <w:gridSpan w:val="3"/>
            <w:vAlign w:val="center"/>
          </w:tcPr>
          <w:p>
            <w:pPr>
              <w:autoSpaceDE w:val="0"/>
              <w:autoSpaceDN w:val="0"/>
              <w:adjustRightInd w:val="0"/>
              <w:snapToGrid w:val="0"/>
              <w:jc w:val="center"/>
            </w:pPr>
            <w: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 w:hRule="atLeast"/>
          <w:jc w:val="center"/>
        </w:trPr>
        <w:tc>
          <w:tcPr>
            <w:tcW w:w="2135" w:type="dxa"/>
            <w:gridSpan w:val="2"/>
            <w:vAlign w:val="center"/>
          </w:tcPr>
          <w:p>
            <w:pPr>
              <w:autoSpaceDE w:val="0"/>
              <w:autoSpaceDN w:val="0"/>
              <w:adjustRightInd w:val="0"/>
              <w:snapToGrid w:val="0"/>
              <w:jc w:val="center"/>
            </w:pPr>
            <w:r>
              <w:t>规划及规划环境影响评价符合性分析</w:t>
            </w:r>
          </w:p>
        </w:tc>
        <w:tc>
          <w:tcPr>
            <w:tcW w:w="6735" w:type="dxa"/>
            <w:gridSpan w:val="3"/>
            <w:vAlign w:val="center"/>
          </w:tcPr>
          <w:p>
            <w:pPr>
              <w:autoSpaceDE w:val="0"/>
              <w:autoSpaceDN w:val="0"/>
              <w:adjustRightInd w:val="0"/>
              <w:snapToGrid w:val="0"/>
              <w:jc w:val="center"/>
            </w:pPr>
            <w: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9" w:hRule="atLeast"/>
          <w:jc w:val="center"/>
        </w:trPr>
        <w:tc>
          <w:tcPr>
            <w:tcW w:w="439" w:type="dxa"/>
            <w:vAlign w:val="center"/>
          </w:tcPr>
          <w:p>
            <w:pPr>
              <w:autoSpaceDE w:val="0"/>
              <w:autoSpaceDN w:val="0"/>
              <w:adjustRightInd w:val="0"/>
              <w:snapToGrid w:val="0"/>
              <w:jc w:val="center"/>
            </w:pPr>
            <w:r>
              <w:t>其他符合性分析</w:t>
            </w:r>
          </w:p>
        </w:tc>
        <w:tc>
          <w:tcPr>
            <w:tcW w:w="8431" w:type="dxa"/>
            <w:gridSpan w:val="4"/>
            <w:vAlign w:val="center"/>
          </w:tcPr>
          <w:p>
            <w:pPr>
              <w:widowControl/>
              <w:adjustRightInd w:val="0"/>
              <w:snapToGrid w:val="0"/>
              <w:spacing w:line="360" w:lineRule="auto"/>
              <w:ind w:firstLine="479" w:firstLineChars="227"/>
              <w:rPr>
                <w:b/>
                <w:bCs/>
              </w:rPr>
            </w:pPr>
            <w:r>
              <w:rPr>
                <w:b/>
              </w:rPr>
              <w:t>1、</w:t>
            </w:r>
            <w:r>
              <w:rPr>
                <w:b/>
                <w:bCs/>
              </w:rPr>
              <w:t>与《博罗县分类环境管控单元及环境准入负面清单》的相符性分析</w:t>
            </w:r>
          </w:p>
          <w:p>
            <w:pPr>
              <w:pStyle w:val="938"/>
              <w:spacing w:line="360" w:lineRule="auto"/>
              <w:ind w:firstLine="420"/>
              <w:rPr>
                <w:rFonts w:cs="Times New Roman"/>
                <w:lang w:eastAsia="zh-CN"/>
              </w:rPr>
            </w:pPr>
            <w:r>
              <w:rPr>
                <w:rFonts w:cs="Times New Roman"/>
                <w:lang w:eastAsia="zh-CN"/>
              </w:rPr>
              <w:t>本项目位于广东省</w:t>
            </w:r>
            <w:r>
              <w:rPr>
                <w:rFonts w:cs="Times New Roman"/>
              </w:rPr>
              <w:t>惠州市博罗县园洲镇九潭</w:t>
            </w:r>
            <w:r>
              <w:rPr>
                <w:rFonts w:cs="Times New Roman"/>
                <w:lang w:eastAsia="zh-CN"/>
              </w:rPr>
              <w:t>沥西村十二岭工业区126号，所在地属于重点管控单元，环境管控单元编码ZH44132220001，环境管控单元名称为博罗沙河流域重点管控单元，项目与相应的管控要求</w:t>
            </w:r>
            <w:r>
              <w:rPr>
                <w:rFonts w:cs="Times New Roman"/>
              </w:rPr>
              <w:t>相符性分析见下表。</w:t>
            </w:r>
          </w:p>
          <w:p>
            <w:pPr>
              <w:adjustRightInd w:val="0"/>
              <w:snapToGrid w:val="0"/>
              <w:spacing w:line="360" w:lineRule="auto"/>
              <w:jc w:val="center"/>
              <w:rPr>
                <w:b/>
              </w:rPr>
            </w:pPr>
            <w:r>
              <w:rPr>
                <w:b/>
              </w:rPr>
              <w:t>表1-1 与《</w:t>
            </w:r>
            <w:r>
              <w:rPr>
                <w:b/>
                <w:bCs/>
              </w:rPr>
              <w:t>博罗县分类环境管控单元及环境准入负面清单</w:t>
            </w:r>
            <w:r>
              <w:rPr>
                <w:b/>
              </w:rPr>
              <w:t>》相符性分析一览表</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3"/>
              <w:gridCol w:w="4567"/>
              <w:gridCol w:w="2429"/>
              <w:gridCol w:w="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51" w:type="pct"/>
                  <w:gridSpan w:val="2"/>
                  <w:vAlign w:val="center"/>
                </w:tcPr>
                <w:p>
                  <w:pPr>
                    <w:jc w:val="center"/>
                    <w:rPr>
                      <w:b/>
                      <w:bCs/>
                      <w:sz w:val="18"/>
                      <w:szCs w:val="18"/>
                    </w:rPr>
                  </w:pPr>
                  <w:r>
                    <w:rPr>
                      <w:b/>
                      <w:bCs/>
                      <w:sz w:val="18"/>
                      <w:szCs w:val="18"/>
                    </w:rPr>
                    <w:t>管控要求</w:t>
                  </w:r>
                </w:p>
              </w:tc>
              <w:tc>
                <w:tcPr>
                  <w:tcW w:w="1480" w:type="pct"/>
                  <w:vAlign w:val="center"/>
                </w:tcPr>
                <w:p>
                  <w:pPr>
                    <w:jc w:val="center"/>
                    <w:rPr>
                      <w:b/>
                      <w:bCs/>
                      <w:sz w:val="18"/>
                      <w:szCs w:val="18"/>
                    </w:rPr>
                  </w:pPr>
                  <w:r>
                    <w:rPr>
                      <w:b/>
                      <w:bCs/>
                      <w:sz w:val="18"/>
                      <w:szCs w:val="18"/>
                    </w:rPr>
                    <w:t>本项目情况</w:t>
                  </w:r>
                </w:p>
              </w:tc>
              <w:tc>
                <w:tcPr>
                  <w:tcW w:w="368" w:type="pct"/>
                  <w:vAlign w:val="center"/>
                </w:tcPr>
                <w:p>
                  <w:pPr>
                    <w:jc w:val="center"/>
                    <w:rPr>
                      <w:b/>
                      <w:bCs/>
                      <w:sz w:val="18"/>
                      <w:szCs w:val="18"/>
                    </w:rPr>
                  </w:pPr>
                  <w:r>
                    <w:rPr>
                      <w:b/>
                      <w:bCs/>
                      <w:sz w:val="18"/>
                      <w:szCs w:val="18"/>
                      <w:lang w:bidi="ar"/>
                    </w:rPr>
                    <w:t>符合性结论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sz w:val="18"/>
                      <w:szCs w:val="18"/>
                    </w:rPr>
                  </w:pPr>
                  <w:r>
                    <w:rPr>
                      <w:b/>
                      <w:bCs/>
                    </w:rPr>
                    <w:t>一、生态保护红线相符性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151" w:type="pct"/>
                  <w:gridSpan w:val="2"/>
                  <w:vAlign w:val="center"/>
                </w:tcPr>
                <w:p>
                  <w:pPr>
                    <w:ind w:firstLine="361" w:firstLineChars="200"/>
                    <w:jc w:val="left"/>
                    <w:rPr>
                      <w:b/>
                      <w:bCs/>
                      <w:sz w:val="18"/>
                      <w:szCs w:val="18"/>
                    </w:rPr>
                  </w:pPr>
                  <w:r>
                    <w:rPr>
                      <w:b/>
                      <w:bCs/>
                      <w:sz w:val="18"/>
                      <w:szCs w:val="18"/>
                    </w:rPr>
                    <w:t>生态空间管控要求：</w:t>
                  </w:r>
                </w:p>
                <w:p>
                  <w:pPr>
                    <w:ind w:firstLine="360" w:firstLineChars="200"/>
                    <w:jc w:val="left"/>
                    <w:rPr>
                      <w:sz w:val="18"/>
                      <w:szCs w:val="18"/>
                    </w:rPr>
                  </w:pPr>
                  <w:r>
                    <w:rPr>
                      <w:sz w:val="18"/>
                      <w:szCs w:val="18"/>
                    </w:rPr>
                    <w:t>（1）生态保护红线</w:t>
                  </w:r>
                </w:p>
                <w:p>
                  <w:pPr>
                    <w:ind w:firstLine="360" w:firstLineChars="200"/>
                    <w:rPr>
                      <w:sz w:val="18"/>
                      <w:szCs w:val="18"/>
                    </w:rPr>
                  </w:pPr>
                  <w:r>
                    <w:rPr>
                      <w:sz w:val="18"/>
                      <w:szCs w:val="18"/>
                    </w:rPr>
                    <w:t>生态保护红线根据《关于在国土空间规划中统筹划定落实三条控制线的指导意见》中的相关要求进行管控，自然保护地核心保护区原则上禁止人为活动，其他区域严格禁止开发性、生产性建设活动，在符合现行法律法规前提下，除国家重大战略项目外，仅允许对生态功能不造成破坏的有限人为活动，包括零星的原住民在不扩大现有建设用地和耕地规模前提下，修缮生产生活设施，保留生活必需的少量种植、放牧、捕捞、养殖；因国家重大能源资源安全需要开展的战略性能源资源勘查，公益性自然资源调查和地质勘查；自然资源、生态环境监测和执法包括水文水资源监测及涉水违法事件的查处等，灾害防治和应急抢险活动；经依法批准进行的非破坏性科学研究观测、标本采集；经依法批准的考古调查发掘和文物保护活动；不破坏生态功能的适度参观旅游和相关的必要公共设施建设；必须且无法避让、符合县级以上国土空间规划的线性基础设施建设、防洪和供水设施建设与运行维护；重要生态修复工程。</w:t>
                  </w:r>
                </w:p>
                <w:p>
                  <w:pPr>
                    <w:ind w:firstLine="360" w:firstLineChars="200"/>
                    <w:jc w:val="left"/>
                    <w:rPr>
                      <w:sz w:val="18"/>
                      <w:szCs w:val="18"/>
                    </w:rPr>
                  </w:pPr>
                  <w:r>
                    <w:rPr>
                      <w:sz w:val="18"/>
                      <w:szCs w:val="18"/>
                    </w:rPr>
                    <w:t>（2）一般生态空间管控要求</w:t>
                  </w:r>
                </w:p>
                <w:p>
                  <w:pPr>
                    <w:rPr>
                      <w:sz w:val="18"/>
                      <w:szCs w:val="18"/>
                    </w:rPr>
                  </w:pPr>
                  <w:r>
                    <w:rPr>
                      <w:sz w:val="18"/>
                      <w:szCs w:val="18"/>
                    </w:rPr>
                    <w:t>一般生态空间根据《广东省“三线一单”生态环境分区管控方案》进行管控，一般生态空间内可开展生态保护红线内允许的活动，在不影响主导生态功能的前提下，还可开展国家和省规定不纳入环评管理的项目建设，以及生态旅游、畜禽养殖、基础设施建设、村庄建设等人为活动。</w:t>
                  </w:r>
                </w:p>
              </w:tc>
              <w:tc>
                <w:tcPr>
                  <w:tcW w:w="1480" w:type="pct"/>
                  <w:vAlign w:val="center"/>
                </w:tcPr>
                <w:p>
                  <w:pPr>
                    <w:rPr>
                      <w:sz w:val="18"/>
                      <w:szCs w:val="18"/>
                    </w:rPr>
                  </w:pPr>
                  <w:r>
                    <w:rPr>
                      <w:sz w:val="18"/>
                      <w:szCs w:val="18"/>
                    </w:rPr>
                    <w:t>本项目位于惠州市博罗县园洲镇九潭沥西村十二岭工业区126号，根据《博罗县生态空间最终划定情况图》以及《博罗县三线一单生态环境分区管控研究报告》表3.3-2，本项目不位于生态保护红线和一般生态空间内，属于生态空间一般管控区。</w:t>
                  </w:r>
                </w:p>
              </w:tc>
              <w:tc>
                <w:tcPr>
                  <w:tcW w:w="368"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sz w:val="18"/>
                      <w:szCs w:val="18"/>
                    </w:rPr>
                  </w:pPr>
                  <w:r>
                    <w:rPr>
                      <w:b/>
                      <w:bCs/>
                    </w:rPr>
                    <w:t>二、环境质量底线相符性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68" w:type="pct"/>
                  <w:vAlign w:val="center"/>
                </w:tcPr>
                <w:p>
                  <w:pPr>
                    <w:jc w:val="center"/>
                    <w:rPr>
                      <w:sz w:val="18"/>
                      <w:szCs w:val="18"/>
                    </w:rPr>
                  </w:pPr>
                  <w:r>
                    <w:rPr>
                      <w:sz w:val="18"/>
                      <w:szCs w:val="18"/>
                    </w:rPr>
                    <w:t>水环境质量底线</w:t>
                  </w:r>
                </w:p>
              </w:tc>
              <w:tc>
                <w:tcPr>
                  <w:tcW w:w="2783" w:type="pct"/>
                  <w:vAlign w:val="center"/>
                </w:tcPr>
                <w:p>
                  <w:pPr>
                    <w:ind w:firstLine="361" w:firstLineChars="200"/>
                    <w:rPr>
                      <w:b/>
                      <w:bCs/>
                      <w:sz w:val="18"/>
                      <w:szCs w:val="18"/>
                    </w:rPr>
                  </w:pPr>
                  <w:r>
                    <w:rPr>
                      <w:b/>
                      <w:bCs/>
                      <w:sz w:val="18"/>
                      <w:szCs w:val="18"/>
                    </w:rPr>
                    <w:t>水环境管控分区管控要求</w:t>
                  </w:r>
                </w:p>
                <w:p>
                  <w:pPr>
                    <w:ind w:firstLine="360" w:firstLineChars="200"/>
                    <w:rPr>
                      <w:sz w:val="18"/>
                      <w:szCs w:val="18"/>
                    </w:rPr>
                  </w:pPr>
                  <w:r>
                    <w:rPr>
                      <w:sz w:val="18"/>
                      <w:szCs w:val="18"/>
                    </w:rPr>
                    <w:t>加强涉水项目环境准入管理。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禁止在东江干流和一级支流两岸最高水位线水平外延五百米范围内新建废弃物堆放场和处理场。饮用水水源保护区全面加强水源涵养，强化源头控制，禁止新建排污口，严格防范水源污染风险，切实保障饮用水安全，一级保护区内禁止新建、改建、扩建与供水设施和保护水源无关的建设项目；二级保护区内禁止新建、改建、扩建排放污染物的建设项目。饮用水水源准保护区内禁止新建、扩建对水体污染严重的建设项目。</w:t>
                  </w:r>
                </w:p>
              </w:tc>
              <w:tc>
                <w:tcPr>
                  <w:tcW w:w="1480" w:type="pct"/>
                  <w:vAlign w:val="center"/>
                </w:tcPr>
                <w:p>
                  <w:r>
                    <w:rPr>
                      <w:sz w:val="18"/>
                      <w:szCs w:val="18"/>
                    </w:rPr>
                    <w:t>根据《博罗县水环境质量底线管控分区划定情况图》、广东省“三线一单”平台以及《博罗县三线一单生态环境分区管控研究报告》表4.8-2，项目不位于水环境优先保护区、水环境生活污染重点管控区、水环境工业污染重点管控区内，属于水环境一般管控区。项目不涉及饮用水水源保护区。</w:t>
                  </w:r>
                </w:p>
              </w:tc>
              <w:tc>
                <w:tcPr>
                  <w:tcW w:w="368"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大气环境质量底线</w:t>
                  </w:r>
                </w:p>
              </w:tc>
              <w:tc>
                <w:tcPr>
                  <w:tcW w:w="2783" w:type="pct"/>
                  <w:vAlign w:val="center"/>
                </w:tcPr>
                <w:p>
                  <w:pPr>
                    <w:ind w:firstLine="361" w:firstLineChars="200"/>
                    <w:rPr>
                      <w:b/>
                      <w:bCs/>
                      <w:sz w:val="18"/>
                      <w:szCs w:val="18"/>
                    </w:rPr>
                  </w:pPr>
                  <w:r>
                    <w:rPr>
                      <w:b/>
                      <w:bCs/>
                      <w:sz w:val="18"/>
                      <w:szCs w:val="18"/>
                    </w:rPr>
                    <w:t>大气环境管控要求</w:t>
                  </w:r>
                </w:p>
                <w:p>
                  <w:pPr>
                    <w:ind w:firstLine="360" w:firstLineChars="200"/>
                  </w:pPr>
                  <w:r>
                    <w:rPr>
                      <w:sz w:val="18"/>
                      <w:szCs w:val="18"/>
                    </w:rPr>
                    <w:t>加强涉气项目环境准入管理。环境空气质量一类功能区实施严格保护，禁止新建、扩建大气污染物排放工业项目（国家和省规定不纳入环评管理的项目除外）。禁止新建、扩建燃煤燃油的火电机组（含企业自备电站），推进现有服役期满及落后老旧的燃煤火电机组有序退出；原则上不再新建燃煤锅炉，逐步淘汰生物质锅炉、集中供热管网覆盖区域内的分散供热锅炉，逐步推动高污染燃料禁燃区全覆盖。禁止新建、扩建水泥、平板玻璃、化学制浆、生皮制革以及国家规划外的钢铁、原油加工等项目。严格限制新建生产和使用高挥发性有机物原辅材料的项目。</w:t>
                  </w:r>
                </w:p>
              </w:tc>
              <w:tc>
                <w:tcPr>
                  <w:tcW w:w="1480" w:type="pct"/>
                  <w:vAlign w:val="center"/>
                </w:tcPr>
                <w:p>
                  <w:pPr>
                    <w:rPr>
                      <w:sz w:val="18"/>
                      <w:szCs w:val="18"/>
                    </w:rPr>
                  </w:pPr>
                  <w:r>
                    <w:rPr>
                      <w:sz w:val="18"/>
                      <w:szCs w:val="18"/>
                    </w:rPr>
                    <w:t>根据《博罗县大气环境质量底线管控分区划定情况图》、《博罗县环境空气质量功能区划图》以及《博罗县三线一单生态环境分区管控研究报告》表5.4-2，本项目所在区域属于大气环境高排放重点管控区，不属于环境空气质量一类功能区，项目属于有色金属铸造，不属于规定的禁止类、淘汰类和限制类项目。</w:t>
                  </w:r>
                </w:p>
              </w:tc>
              <w:tc>
                <w:tcPr>
                  <w:tcW w:w="368"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土壤环境安全利用底线</w:t>
                  </w:r>
                </w:p>
              </w:tc>
              <w:tc>
                <w:tcPr>
                  <w:tcW w:w="2783" w:type="pct"/>
                  <w:vAlign w:val="center"/>
                </w:tcPr>
                <w:p>
                  <w:pPr>
                    <w:ind w:firstLine="361" w:firstLineChars="200"/>
                    <w:rPr>
                      <w:sz w:val="18"/>
                      <w:szCs w:val="18"/>
                    </w:rPr>
                  </w:pPr>
                  <w:r>
                    <w:rPr>
                      <w:b/>
                      <w:bCs/>
                      <w:sz w:val="18"/>
                      <w:szCs w:val="18"/>
                    </w:rPr>
                    <w:t>严格控制新增重金属污染物排放。</w:t>
                  </w:r>
                  <w:r>
                    <w:rPr>
                      <w:sz w:val="18"/>
                      <w:szCs w:val="18"/>
                    </w:rPr>
                    <w:t>继续严格实施重金属污染防治分区防控策略，禁止在重点防控区内新建、改建、扩建增加重金属污染物排放总量的建设项目。重金属污染防控非重点区新建、改扩建重金属排放项目，应落实重金属总量替代与削减要求，严格控制重点行业发展规模。强化涉重金属污染行业建设项目环评审批管理，严格执行环保“三同时”制度。</w:t>
                  </w:r>
                </w:p>
                <w:p>
                  <w:pPr>
                    <w:ind w:firstLine="361" w:firstLineChars="200"/>
                    <w:rPr>
                      <w:sz w:val="18"/>
                      <w:szCs w:val="18"/>
                    </w:rPr>
                  </w:pPr>
                  <w:r>
                    <w:rPr>
                      <w:b/>
                      <w:bCs/>
                      <w:sz w:val="18"/>
                      <w:szCs w:val="18"/>
                    </w:rPr>
                    <w:t>强化土壤环境风险管控。</w:t>
                  </w:r>
                  <w:r>
                    <w:rPr>
                      <w:sz w:val="18"/>
                      <w:szCs w:val="18"/>
                    </w:rPr>
                    <w:t>实施农用地分类管理，保障农产品质量安全。严格控制在优先保护类耕地集中区域新建涉环境污染重点行业企业、污水处理厂、垃圾填埋场、垃圾焚烧厂及污染处理处置设施等公用设施。强化建设用地风险管控，防范人居环境风险。规范受污染建设用地再开发。</w:t>
                  </w:r>
                </w:p>
                <w:p>
                  <w:pPr>
                    <w:ind w:firstLine="361" w:firstLineChars="200"/>
                    <w:rPr>
                      <w:sz w:val="18"/>
                      <w:szCs w:val="18"/>
                    </w:rPr>
                  </w:pPr>
                  <w:r>
                    <w:rPr>
                      <w:b/>
                      <w:bCs/>
                      <w:sz w:val="18"/>
                      <w:szCs w:val="18"/>
                    </w:rPr>
                    <w:t>强化重金属风险管控。</w:t>
                  </w:r>
                  <w:r>
                    <w:rPr>
                      <w:sz w:val="18"/>
                      <w:szCs w:val="18"/>
                    </w:rPr>
                    <w:t>加强涉重金属污染源环境风险管控。强化涉重危险废物安全处理处置。加强污染地块风险管控，建立污染地块清单，实施污染地块分类管理，强化污染场地开发利用环境管理。</w:t>
                  </w:r>
                </w:p>
              </w:tc>
              <w:tc>
                <w:tcPr>
                  <w:tcW w:w="1480" w:type="pct"/>
                  <w:vAlign w:val="center"/>
                </w:tcPr>
                <w:p>
                  <w:pPr>
                    <w:rPr>
                      <w:sz w:val="18"/>
                      <w:szCs w:val="18"/>
                    </w:rPr>
                  </w:pPr>
                  <w:r>
                    <w:rPr>
                      <w:sz w:val="18"/>
                      <w:szCs w:val="18"/>
                    </w:rPr>
                    <w:t>根据《博罗县建设用地土壤管控分区划定情况图》以及《博罗县三线一单生态环境分区管控研究报告》6.1.2、6.1.3，本项目不位于建设用地污染风险重点管控区内，属于土壤环境一般管控区。本项目不涉及重金属，不位于优先保护类耕地集中区域。</w:t>
                  </w:r>
                </w:p>
              </w:tc>
              <w:tc>
                <w:tcPr>
                  <w:tcW w:w="368" w:type="pct"/>
                  <w:vAlign w:val="center"/>
                </w:tcPr>
                <w:p>
                  <w:pPr>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sz w:val="18"/>
                      <w:szCs w:val="18"/>
                    </w:rPr>
                  </w:pPr>
                  <w:r>
                    <w:rPr>
                      <w:b/>
                      <w:bCs/>
                    </w:rPr>
                    <w:t>三、资源利用上线相符性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ind w:firstLine="360" w:firstLineChars="200"/>
                    <w:rPr>
                      <w:sz w:val="18"/>
                      <w:szCs w:val="18"/>
                    </w:rPr>
                  </w:pPr>
                  <w:r>
                    <w:rPr>
                      <w:sz w:val="18"/>
                      <w:szCs w:val="18"/>
                    </w:rPr>
                    <w:t>根据《博罗县资源利用上线——土地资源优先保护区划定情况图》，本项目不位于土地资源优先保护区内；</w:t>
                  </w:r>
                </w:p>
                <w:p>
                  <w:pPr>
                    <w:ind w:firstLine="360" w:firstLineChars="200"/>
                    <w:rPr>
                      <w:sz w:val="18"/>
                      <w:szCs w:val="18"/>
                    </w:rPr>
                  </w:pPr>
                  <w:r>
                    <w:rPr>
                      <w:sz w:val="18"/>
                      <w:szCs w:val="18"/>
                    </w:rPr>
                    <w:t>根据《博罗县资源利用上线——矿产资源开发敏感区划定情况图》，本项目不位于博罗县矿产资源开发敏感区内；</w:t>
                  </w:r>
                </w:p>
                <w:p>
                  <w:pPr>
                    <w:ind w:firstLine="360" w:firstLineChars="200"/>
                    <w:jc w:val="left"/>
                    <w:rPr>
                      <w:sz w:val="18"/>
                      <w:szCs w:val="18"/>
                    </w:rPr>
                  </w:pPr>
                  <w:r>
                    <w:rPr>
                      <w:sz w:val="18"/>
                      <w:szCs w:val="18"/>
                    </w:rPr>
                    <w:t>根据《博罗县资源利用上线——高污染燃料禁燃区划定情况图》，本项目不位于博罗县高污染燃料禁燃区内。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5000" w:type="pct"/>
                  <w:gridSpan w:val="4"/>
                  <w:vAlign w:val="center"/>
                </w:tcPr>
                <w:p>
                  <w:pPr>
                    <w:jc w:val="center"/>
                    <w:rPr>
                      <w:sz w:val="18"/>
                      <w:szCs w:val="18"/>
                    </w:rPr>
                  </w:pPr>
                  <w:r>
                    <w:rPr>
                      <w:b/>
                      <w:bCs/>
                    </w:rPr>
                    <w:t>四、环境准入清单相符性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区域布局管控</w:t>
                  </w:r>
                </w:p>
              </w:tc>
              <w:tc>
                <w:tcPr>
                  <w:tcW w:w="2783" w:type="pct"/>
                  <w:vAlign w:val="center"/>
                </w:tcPr>
                <w:p>
                  <w:pPr>
                    <w:rPr>
                      <w:sz w:val="18"/>
                      <w:szCs w:val="18"/>
                    </w:rPr>
                  </w:pPr>
                  <w:r>
                    <w:rPr>
                      <w:sz w:val="18"/>
                      <w:szCs w:val="18"/>
                    </w:rPr>
                    <w:t>1-1.【产业/鼓励引导类】饮用水水源保护区外的区域，重点发展电子信息、智能家电、先进材料等产业。</w:t>
                  </w:r>
                </w:p>
                <w:p>
                  <w:pPr>
                    <w:rPr>
                      <w:sz w:val="18"/>
                      <w:szCs w:val="18"/>
                    </w:rPr>
                  </w:pPr>
                  <w:r>
                    <w:rPr>
                      <w:sz w:val="18"/>
                      <w:szCs w:val="18"/>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p>
                  <w:pPr>
                    <w:rPr>
                      <w:sz w:val="18"/>
                      <w:szCs w:val="18"/>
                    </w:rPr>
                  </w:pPr>
                  <w:r>
                    <w:rPr>
                      <w:sz w:val="18"/>
                      <w:szCs w:val="18"/>
                    </w:rPr>
                    <w:t>1-3.【产业/限制类】严格限制化工、包装印刷、工业涂装等高VOCs 排放建设项目。</w:t>
                  </w:r>
                </w:p>
                <w:p>
                  <w:pPr>
                    <w:rPr>
                      <w:sz w:val="18"/>
                      <w:szCs w:val="18"/>
                    </w:rPr>
                  </w:pPr>
                  <w:r>
                    <w:rPr>
                      <w:sz w:val="18"/>
                      <w:szCs w:val="18"/>
                    </w:rPr>
                    <w:t>1-4.【生态/限制类】一般生态空间内可开展生态保护红线内允许的活动，在不影响主导生态功能的前提下，还可开展国家和省规定不纳入环评管理的项目建设，以及生态旅游、基础设施建设、村庄建设等人为活动。</w:t>
                  </w:r>
                </w:p>
                <w:p>
                  <w:pPr>
                    <w:rPr>
                      <w:sz w:val="18"/>
                      <w:szCs w:val="18"/>
                    </w:rPr>
                  </w:pPr>
                  <w:r>
                    <w:rPr>
                      <w:sz w:val="18"/>
                      <w:szCs w:val="18"/>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p>
                  <w:pPr>
                    <w:rPr>
                      <w:sz w:val="18"/>
                      <w:szCs w:val="18"/>
                    </w:rPr>
                  </w:pPr>
                  <w:r>
                    <w:rPr>
                      <w:sz w:val="18"/>
                      <w:szCs w:val="18"/>
                    </w:rPr>
                    <w:t>1-6. 【水/禁止类】禁止在东江干流和沙河干流两岸最高水位线外延五百米范围内新建废弃物堆放场和处理场。已有的堆放场和处理场需采取有效的防治污染措施，危及水体水质安全的，由县级以上人民政府责令限期搬迁。</w:t>
                  </w:r>
                </w:p>
                <w:p>
                  <w:pPr>
                    <w:rPr>
                      <w:sz w:val="18"/>
                      <w:szCs w:val="18"/>
                    </w:rPr>
                  </w:pPr>
                  <w:r>
                    <w:rPr>
                      <w:sz w:val="18"/>
                      <w:szCs w:val="18"/>
                    </w:rPr>
                    <w:t>1-7. 【水/禁止类】畜禽禁养区内不得从事畜禽养殖业。</w:t>
                  </w:r>
                </w:p>
                <w:p>
                  <w:pPr>
                    <w:rPr>
                      <w:sz w:val="18"/>
                      <w:szCs w:val="18"/>
                    </w:rPr>
                  </w:pPr>
                  <w:r>
                    <w:rPr>
                      <w:sz w:val="18"/>
                      <w:szCs w:val="18"/>
                    </w:rPr>
                    <w:t>1-8. 【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p>
                  <w:pPr>
                    <w:rPr>
                      <w:sz w:val="18"/>
                      <w:szCs w:val="18"/>
                    </w:rPr>
                  </w:pPr>
                  <w:r>
                    <w:rPr>
                      <w:sz w:val="18"/>
                      <w:szCs w:val="18"/>
                    </w:rPr>
                    <w:t>1-9. 【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p>
                  <w:pPr>
                    <w:rPr>
                      <w:sz w:val="18"/>
                      <w:szCs w:val="18"/>
                    </w:rPr>
                  </w:pPr>
                  <w:r>
                    <w:rPr>
                      <w:sz w:val="18"/>
                      <w:szCs w:val="18"/>
                    </w:rPr>
                    <w:t>1-10. 【土壤/禁止类】禁止在重金属重点防控区域内新建、改建、扩建增加重金属污染物排放总量的建设项目。</w:t>
                  </w:r>
                </w:p>
                <w:p>
                  <w:pPr>
                    <w:rPr>
                      <w:sz w:val="18"/>
                      <w:szCs w:val="18"/>
                    </w:rPr>
                  </w:pPr>
                  <w:r>
                    <w:rPr>
                      <w:sz w:val="18"/>
                      <w:szCs w:val="18"/>
                    </w:rPr>
                    <w:t>1-11. 【土壤/限制类】重金属污染防控非重点区新建、改扩建重金属排放项目，应严格落实重金属总量替代与削减要求，严格控制重点行业发展规模。强化涉重金属污染行业建设项目环评审批管理，严格执行环保“三同时”制度。</w:t>
                  </w:r>
                </w:p>
              </w:tc>
              <w:tc>
                <w:tcPr>
                  <w:tcW w:w="1480" w:type="pct"/>
                  <w:vAlign w:val="center"/>
                </w:tcPr>
                <w:p>
                  <w:pPr>
                    <w:rPr>
                      <w:sz w:val="18"/>
                      <w:szCs w:val="18"/>
                    </w:rPr>
                  </w:pPr>
                  <w:r>
                    <w:rPr>
                      <w:sz w:val="18"/>
                      <w:szCs w:val="18"/>
                    </w:rPr>
                    <w:t>1-1、1-2. 本项目为有色金属铸造，不属于《产业结构调整指导目录（2019年本）》（中华人民共和国国家发展和改革委员会令第29号）中鼓励类、限制类、淘汰类项目，属于允许类项目，也不属于《市场准入负面清单（2022年版）》（发改体改规〔2022〕397号）禁止准入类，属于符合单元产业要求项目。</w:t>
                  </w:r>
                </w:p>
                <w:p>
                  <w:pPr>
                    <w:rPr>
                      <w:sz w:val="18"/>
                      <w:szCs w:val="18"/>
                    </w:rPr>
                  </w:pPr>
                  <w:r>
                    <w:rPr>
                      <w:sz w:val="18"/>
                      <w:szCs w:val="18"/>
                    </w:rPr>
                    <w:t>1-3. 本项目为有色金属铸造，使用的原辅料均为低挥发性原辅料，不属于高VOCs排放建设项目。</w:t>
                  </w:r>
                </w:p>
                <w:p>
                  <w:pPr>
                    <w:rPr>
                      <w:sz w:val="18"/>
                      <w:szCs w:val="18"/>
                    </w:rPr>
                  </w:pPr>
                  <w:r>
                    <w:rPr>
                      <w:sz w:val="18"/>
                      <w:szCs w:val="18"/>
                    </w:rPr>
                    <w:t>1-4. 本项目占地不在一般生态空间内。</w:t>
                  </w:r>
                </w:p>
                <w:p>
                  <w:pPr>
                    <w:rPr>
                      <w:sz w:val="18"/>
                      <w:szCs w:val="18"/>
                    </w:rPr>
                  </w:pPr>
                  <w:r>
                    <w:rPr>
                      <w:sz w:val="18"/>
                      <w:szCs w:val="18"/>
                    </w:rPr>
                    <w:t>1-5. 本项目不属于园洲镇东江饮用水水源保护区。</w:t>
                  </w:r>
                </w:p>
                <w:p>
                  <w:pPr>
                    <w:rPr>
                      <w:sz w:val="18"/>
                      <w:szCs w:val="18"/>
                    </w:rPr>
                  </w:pPr>
                  <w:r>
                    <w:rPr>
                      <w:sz w:val="18"/>
                      <w:szCs w:val="18"/>
                    </w:rPr>
                    <w:t>1-6. 本项目不属于新建废弃物堆放场和处理厂项目。</w:t>
                  </w:r>
                </w:p>
                <w:p>
                  <w:pPr>
                    <w:rPr>
                      <w:sz w:val="18"/>
                      <w:szCs w:val="18"/>
                    </w:rPr>
                  </w:pPr>
                  <w:r>
                    <w:rPr>
                      <w:sz w:val="18"/>
                      <w:szCs w:val="18"/>
                    </w:rPr>
                    <w:t>1-7、1-8. 本项目不属于畜禽养殖业。</w:t>
                  </w:r>
                </w:p>
                <w:p>
                  <w:pPr>
                    <w:rPr>
                      <w:sz w:val="18"/>
                      <w:szCs w:val="18"/>
                    </w:rPr>
                  </w:pPr>
                  <w:r>
                    <w:rPr>
                      <w:sz w:val="18"/>
                      <w:szCs w:val="18"/>
                    </w:rPr>
                    <w:t>1-9. 本项目不属于新建储油库项目、不产生和排放有毒有害大气污染物、不使用高挥发性有机物原辅材料。</w:t>
                  </w:r>
                </w:p>
                <w:p>
                  <w:pPr>
                    <w:rPr>
                      <w:sz w:val="18"/>
                      <w:szCs w:val="18"/>
                    </w:rPr>
                  </w:pPr>
                  <w:r>
                    <w:rPr>
                      <w:sz w:val="18"/>
                      <w:szCs w:val="18"/>
                    </w:rPr>
                    <w:t>1-10、1-11. 本项目不涉及重金属排放。</w:t>
                  </w:r>
                </w:p>
              </w:tc>
              <w:tc>
                <w:tcPr>
                  <w:tcW w:w="368" w:type="pct"/>
                  <w:vAlign w:val="center"/>
                </w:tcPr>
                <w:p>
                  <w:pPr>
                    <w:jc w:val="center"/>
                    <w:rPr>
                      <w:sz w:val="18"/>
                      <w:szCs w:val="18"/>
                    </w:rPr>
                  </w:pPr>
                  <w:r>
                    <w:rPr>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能源资源利用</w:t>
                  </w:r>
                </w:p>
              </w:tc>
              <w:tc>
                <w:tcPr>
                  <w:tcW w:w="2783" w:type="pct"/>
                  <w:vAlign w:val="center"/>
                </w:tcPr>
                <w:p>
                  <w:pPr>
                    <w:jc w:val="left"/>
                    <w:rPr>
                      <w:sz w:val="18"/>
                      <w:szCs w:val="18"/>
                    </w:rPr>
                  </w:pPr>
                  <w:r>
                    <w:rPr>
                      <w:sz w:val="18"/>
                      <w:szCs w:val="18"/>
                    </w:rPr>
                    <w:t>2-1. 【能源/鼓励引导类】鼓励降低煤炭消耗、能源消耗，引导光伏等多种形式的新能源利用。</w:t>
                  </w:r>
                </w:p>
                <w:p>
                  <w:pPr>
                    <w:jc w:val="left"/>
                    <w:rPr>
                      <w:sz w:val="18"/>
                      <w:szCs w:val="18"/>
                    </w:rPr>
                  </w:pPr>
                  <w:r>
                    <w:rPr>
                      <w:sz w:val="18"/>
                      <w:szCs w:val="18"/>
                    </w:rPr>
                    <w:t>2-2. 【能源/综合类】根据本地区大气环境质量改善要求逐步扩大高污染燃料禁燃区范围。</w:t>
                  </w:r>
                </w:p>
              </w:tc>
              <w:tc>
                <w:tcPr>
                  <w:tcW w:w="1480" w:type="pct"/>
                  <w:vAlign w:val="center"/>
                </w:tcPr>
                <w:p>
                  <w:pPr>
                    <w:rPr>
                      <w:sz w:val="18"/>
                      <w:szCs w:val="18"/>
                    </w:rPr>
                  </w:pPr>
                  <w:r>
                    <w:rPr>
                      <w:sz w:val="18"/>
                      <w:szCs w:val="18"/>
                    </w:rPr>
                    <w:t>2-1. 本项目</w:t>
                  </w:r>
                  <w:r>
                    <w:rPr>
                      <w:bCs/>
                      <w:iCs/>
                      <w:sz w:val="18"/>
                      <w:szCs w:val="18"/>
                    </w:rPr>
                    <w:t>无</w:t>
                  </w:r>
                  <w:r>
                    <w:rPr>
                      <w:sz w:val="18"/>
                      <w:szCs w:val="18"/>
                    </w:rPr>
                    <w:t>煤炭消耗，所用能源主要为电能。</w:t>
                  </w:r>
                </w:p>
                <w:p>
                  <w:pPr>
                    <w:rPr>
                      <w:sz w:val="18"/>
                      <w:szCs w:val="18"/>
                    </w:rPr>
                  </w:pPr>
                  <w:r>
                    <w:rPr>
                      <w:sz w:val="18"/>
                      <w:szCs w:val="18"/>
                    </w:rPr>
                    <w:t>2-2.本项目</w:t>
                  </w:r>
                  <w:r>
                    <w:rPr>
                      <w:bCs/>
                      <w:iCs/>
                      <w:sz w:val="18"/>
                      <w:szCs w:val="18"/>
                    </w:rPr>
                    <w:t>不涉及高污染燃料使用。</w:t>
                  </w:r>
                </w:p>
              </w:tc>
              <w:tc>
                <w:tcPr>
                  <w:tcW w:w="368" w:type="pct"/>
                  <w:vAlign w:val="center"/>
                </w:tcPr>
                <w:p>
                  <w:pPr>
                    <w:jc w:val="center"/>
                    <w:rPr>
                      <w:sz w:val="18"/>
                      <w:szCs w:val="18"/>
                    </w:rPr>
                  </w:pPr>
                  <w:r>
                    <w:rPr>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污染物排放管控</w:t>
                  </w:r>
                </w:p>
              </w:tc>
              <w:tc>
                <w:tcPr>
                  <w:tcW w:w="2783" w:type="pct"/>
                  <w:vAlign w:val="center"/>
                </w:tcPr>
                <w:p>
                  <w:pPr>
                    <w:pStyle w:val="938"/>
                    <w:ind w:firstLine="0" w:firstLineChars="0"/>
                    <w:rPr>
                      <w:rFonts w:cs="Times New Roman"/>
                      <w:sz w:val="18"/>
                      <w:szCs w:val="18"/>
                      <w:lang w:eastAsia="zh-CN"/>
                    </w:rPr>
                  </w:pPr>
                  <w:r>
                    <w:rPr>
                      <w:rFonts w:cs="Times New Roman"/>
                      <w:sz w:val="18"/>
                      <w:szCs w:val="18"/>
                      <w:lang w:eastAsia="zh-CN"/>
                    </w:rPr>
                    <w:t>3-1. 【水/限制类】单元内城镇生活污水处理厂出水水质COD、氨氮、总磷排放执行国家《地表水环境质量》（GB3838-2002）Ⅴ类标准，其余指标执行国家《城镇污水处理厂污染物排放标》（GB18918-2002）一级A 标准与广东省《水污染物排放限值》较严值的标准。</w:t>
                  </w:r>
                </w:p>
                <w:p>
                  <w:pPr>
                    <w:pStyle w:val="938"/>
                    <w:ind w:firstLine="0" w:firstLineChars="0"/>
                    <w:rPr>
                      <w:rFonts w:cs="Times New Roman"/>
                      <w:sz w:val="18"/>
                      <w:szCs w:val="18"/>
                      <w:lang w:eastAsia="zh-CN"/>
                    </w:rPr>
                  </w:pPr>
                  <w:r>
                    <w:rPr>
                      <w:rFonts w:cs="Times New Roman"/>
                      <w:sz w:val="18"/>
                      <w:szCs w:val="18"/>
                      <w:lang w:eastAsia="zh-CN"/>
                    </w:rPr>
                    <w:t>3-2. 【水/限制类】严格控制流域内增加水污染物排放或对东江水质、水环境安全构成影响的项目。</w:t>
                  </w:r>
                </w:p>
                <w:p>
                  <w:pPr>
                    <w:pStyle w:val="938"/>
                    <w:ind w:firstLine="0" w:firstLineChars="0"/>
                    <w:rPr>
                      <w:rFonts w:cs="Times New Roman"/>
                      <w:sz w:val="18"/>
                      <w:szCs w:val="18"/>
                      <w:lang w:eastAsia="zh-CN"/>
                    </w:rPr>
                  </w:pPr>
                  <w:r>
                    <w:rPr>
                      <w:rFonts w:cs="Times New Roman"/>
                      <w:sz w:val="18"/>
                      <w:szCs w:val="18"/>
                      <w:lang w:eastAsia="zh-CN"/>
                    </w:rPr>
                    <w:t>3-3. 【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p>
                  <w:pPr>
                    <w:pStyle w:val="938"/>
                    <w:ind w:firstLine="0" w:firstLineChars="0"/>
                    <w:rPr>
                      <w:rFonts w:cs="Times New Roman"/>
                      <w:sz w:val="18"/>
                      <w:szCs w:val="18"/>
                      <w:lang w:eastAsia="zh-CN"/>
                    </w:rPr>
                  </w:pPr>
                  <w:r>
                    <w:rPr>
                      <w:rFonts w:cs="Times New Roman"/>
                      <w:sz w:val="18"/>
                      <w:szCs w:val="18"/>
                      <w:lang w:eastAsia="zh-CN"/>
                    </w:rPr>
                    <w:t>3-4.【水/综合类】强化农业面源污染治理，控制农药化肥使用量。</w:t>
                  </w:r>
                </w:p>
                <w:p>
                  <w:pPr>
                    <w:pStyle w:val="938"/>
                    <w:ind w:firstLine="0" w:firstLineChars="0"/>
                    <w:rPr>
                      <w:rFonts w:cs="Times New Roman"/>
                      <w:sz w:val="18"/>
                      <w:szCs w:val="18"/>
                      <w:lang w:eastAsia="zh-CN"/>
                    </w:rPr>
                  </w:pPr>
                  <w:r>
                    <w:rPr>
                      <w:rFonts w:cs="Times New Roman"/>
                      <w:sz w:val="18"/>
                      <w:szCs w:val="18"/>
                      <w:lang w:eastAsia="zh-CN"/>
                    </w:rPr>
                    <w:t>3-5.【大气/限制类】重点行业新建涉VOCs排放的工业企业原则上应入园进区。新建项目VOCs实施倍量替代。</w:t>
                  </w:r>
                </w:p>
                <w:p>
                  <w:pPr>
                    <w:pStyle w:val="938"/>
                    <w:ind w:firstLine="0" w:firstLineChars="0"/>
                    <w:rPr>
                      <w:rFonts w:cs="Times New Roman"/>
                      <w:sz w:val="18"/>
                      <w:szCs w:val="18"/>
                    </w:rPr>
                  </w:pPr>
                  <w:r>
                    <w:rPr>
                      <w:rFonts w:cs="Times New Roman"/>
                      <w:sz w:val="18"/>
                      <w:szCs w:val="18"/>
                      <w:lang w:eastAsia="zh-CN"/>
                    </w:rPr>
                    <w:t>3-6. 【土壤/禁止类】禁止向农用地排放重金属或者其他有毒有害物质含量超标的污水、污泥，以及可能造成土壤污染的清淤底泥、尾矿、矿渣等。</w:t>
                  </w:r>
                </w:p>
              </w:tc>
              <w:tc>
                <w:tcPr>
                  <w:tcW w:w="1480" w:type="pct"/>
                  <w:vAlign w:val="center"/>
                </w:tcPr>
                <w:p>
                  <w:pPr>
                    <w:rPr>
                      <w:sz w:val="18"/>
                      <w:szCs w:val="18"/>
                    </w:rPr>
                  </w:pPr>
                  <w:r>
                    <w:rPr>
                      <w:sz w:val="18"/>
                      <w:szCs w:val="18"/>
                    </w:rPr>
                    <w:t>3-1、3-2. 本项目不产生与排放生产废水，生活污水经三级化粪池预处理后纳入市政污水管网，排入园洲镇第三污水处理厂进行深度处理，</w:t>
                  </w:r>
                  <w:r>
                    <w:rPr>
                      <w:bCs/>
                      <w:sz w:val="18"/>
                      <w:szCs w:val="18"/>
                    </w:rPr>
                    <w:t>不会对东江水质、水环境安全构成影响</w:t>
                  </w:r>
                  <w:r>
                    <w:rPr>
                      <w:sz w:val="18"/>
                      <w:szCs w:val="18"/>
                    </w:rPr>
                    <w:t>。</w:t>
                  </w:r>
                </w:p>
                <w:p>
                  <w:pPr>
                    <w:rPr>
                      <w:sz w:val="18"/>
                      <w:szCs w:val="18"/>
                    </w:rPr>
                  </w:pPr>
                  <w:r>
                    <w:rPr>
                      <w:sz w:val="18"/>
                      <w:szCs w:val="18"/>
                    </w:rPr>
                    <w:t>3-3. 项目实施雨污分流，且管网建成纳入污水处理厂处理后方进行生产工作，生活垃圾、一般固体废物、危险废物分开收集处理。</w:t>
                  </w:r>
                </w:p>
                <w:p>
                  <w:pPr>
                    <w:rPr>
                      <w:sz w:val="18"/>
                      <w:szCs w:val="18"/>
                    </w:rPr>
                  </w:pPr>
                  <w:r>
                    <w:rPr>
                      <w:sz w:val="18"/>
                      <w:szCs w:val="18"/>
                    </w:rPr>
                    <w:t>3-4. 项目不使用农药化肥。</w:t>
                  </w:r>
                </w:p>
                <w:p>
                  <w:pPr>
                    <w:rPr>
                      <w:sz w:val="18"/>
                      <w:szCs w:val="18"/>
                    </w:rPr>
                  </w:pPr>
                  <w:r>
                    <w:rPr>
                      <w:sz w:val="18"/>
                      <w:szCs w:val="18"/>
                    </w:rPr>
                    <w:t>3-5. 本项目VOCs由惠州市生态环境局博罗分局分配。</w:t>
                  </w:r>
                </w:p>
                <w:p>
                  <w:pPr>
                    <w:rPr>
                      <w:sz w:val="18"/>
                      <w:szCs w:val="18"/>
                    </w:rPr>
                  </w:pPr>
                  <w:r>
                    <w:rPr>
                      <w:sz w:val="18"/>
                      <w:szCs w:val="18"/>
                    </w:rPr>
                    <w:t>3.6 本项目不排放重金属和有毒有害物质超标的污水、污泥。</w:t>
                  </w:r>
                </w:p>
              </w:tc>
              <w:tc>
                <w:tcPr>
                  <w:tcW w:w="368" w:type="pct"/>
                  <w:vAlign w:val="center"/>
                </w:tcPr>
                <w:p>
                  <w:pPr>
                    <w:jc w:val="center"/>
                    <w:rPr>
                      <w:sz w:val="18"/>
                      <w:szCs w:val="18"/>
                    </w:rPr>
                  </w:pPr>
                  <w:r>
                    <w:rPr>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368" w:type="pct"/>
                  <w:vAlign w:val="center"/>
                </w:tcPr>
                <w:p>
                  <w:pPr>
                    <w:jc w:val="center"/>
                    <w:rPr>
                      <w:sz w:val="18"/>
                      <w:szCs w:val="18"/>
                    </w:rPr>
                  </w:pPr>
                  <w:r>
                    <w:rPr>
                      <w:sz w:val="18"/>
                      <w:szCs w:val="18"/>
                    </w:rPr>
                    <w:t>环境风险防控</w:t>
                  </w:r>
                </w:p>
              </w:tc>
              <w:tc>
                <w:tcPr>
                  <w:tcW w:w="2783" w:type="pct"/>
                  <w:vAlign w:val="center"/>
                </w:tcPr>
                <w:p>
                  <w:pPr>
                    <w:jc w:val="left"/>
                    <w:rPr>
                      <w:sz w:val="18"/>
                      <w:szCs w:val="18"/>
                    </w:rPr>
                  </w:pPr>
                  <w:r>
                    <w:rPr>
                      <w:sz w:val="18"/>
                      <w:szCs w:val="18"/>
                    </w:rPr>
                    <w:t>4-1. 【水/综合类】城镇污水处理厂、涉水企业应采取有效措施，防止事故废水直接排入水体。</w:t>
                  </w:r>
                </w:p>
                <w:p>
                  <w:pPr>
                    <w:jc w:val="left"/>
                    <w:rPr>
                      <w:sz w:val="18"/>
                      <w:szCs w:val="18"/>
                    </w:rPr>
                  </w:pPr>
                  <w:r>
                    <w:rPr>
                      <w:sz w:val="18"/>
                      <w:szCs w:val="18"/>
                    </w:rPr>
                    <w:t>4-2. 【水/综合类】加强饮用水水源保护区内环境风险排查，开展风险评估及水环境预警监测。</w:t>
                  </w:r>
                </w:p>
                <w:p>
                  <w:pPr>
                    <w:jc w:val="left"/>
                    <w:rPr>
                      <w:sz w:val="18"/>
                      <w:szCs w:val="18"/>
                    </w:rPr>
                  </w:pPr>
                  <w:r>
                    <w:rPr>
                      <w:sz w:val="18"/>
                      <w:szCs w:val="18"/>
                    </w:rPr>
                    <w:t>4-3. 【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480" w:type="pct"/>
                  <w:vAlign w:val="center"/>
                </w:tcPr>
                <w:p>
                  <w:pPr>
                    <w:rPr>
                      <w:sz w:val="18"/>
                      <w:szCs w:val="18"/>
                    </w:rPr>
                  </w:pPr>
                  <w:r>
                    <w:rPr>
                      <w:sz w:val="18"/>
                      <w:szCs w:val="18"/>
                    </w:rPr>
                    <w:t>4-1. 本项目不属于城镇污水处理厂。</w:t>
                  </w:r>
                </w:p>
                <w:p>
                  <w:pPr>
                    <w:rPr>
                      <w:sz w:val="18"/>
                      <w:szCs w:val="18"/>
                    </w:rPr>
                  </w:pPr>
                  <w:r>
                    <w:rPr>
                      <w:sz w:val="18"/>
                      <w:szCs w:val="18"/>
                    </w:rPr>
                    <w:t>4-2. 本项目占地不在饮用水水源保护区内。</w:t>
                  </w:r>
                </w:p>
                <w:p>
                  <w:pPr>
                    <w:rPr>
                      <w:sz w:val="18"/>
                      <w:szCs w:val="18"/>
                      <w:highlight w:val="yellow"/>
                    </w:rPr>
                  </w:pPr>
                  <w:r>
                    <w:rPr>
                      <w:sz w:val="18"/>
                      <w:szCs w:val="18"/>
                    </w:rPr>
                    <w:t>4-3. 本项目不涉及有毒有害气体。</w:t>
                  </w:r>
                </w:p>
              </w:tc>
              <w:tc>
                <w:tcPr>
                  <w:tcW w:w="368" w:type="pct"/>
                  <w:vAlign w:val="center"/>
                </w:tcPr>
                <w:p>
                  <w:pPr>
                    <w:jc w:val="center"/>
                    <w:rPr>
                      <w:sz w:val="18"/>
                      <w:szCs w:val="18"/>
                    </w:rPr>
                  </w:pPr>
                  <w:r>
                    <w:rPr>
                      <w:sz w:val="18"/>
                      <w:szCs w:val="18"/>
                    </w:rPr>
                    <w:t>相符</w:t>
                  </w:r>
                </w:p>
              </w:tc>
            </w:tr>
          </w:tbl>
          <w:p>
            <w:pPr>
              <w:adjustRightInd w:val="0"/>
              <w:snapToGrid w:val="0"/>
              <w:spacing w:before="120" w:beforeLines="50" w:line="360" w:lineRule="auto"/>
              <w:ind w:firstLine="420" w:firstLineChars="200"/>
              <w:textAlignment w:val="baseline"/>
            </w:pPr>
            <w:r>
              <w:rPr>
                <w:bCs/>
                <w:iCs/>
              </w:rPr>
              <w:t>因此，本项目建设与</w:t>
            </w:r>
            <w:r>
              <w:t>《博罗县分类环境管控单元及环境准入负面清单》</w:t>
            </w:r>
            <w:r>
              <w:rPr>
                <w:bCs/>
                <w:iCs/>
              </w:rPr>
              <w:t>是相符的。</w:t>
            </w:r>
          </w:p>
          <w:p>
            <w:pPr>
              <w:widowControl/>
              <w:adjustRightInd w:val="0"/>
              <w:snapToGrid w:val="0"/>
              <w:spacing w:line="360" w:lineRule="auto"/>
              <w:ind w:firstLine="422" w:firstLineChars="200"/>
              <w:rPr>
                <w:b/>
              </w:rPr>
            </w:pPr>
            <w:r>
              <w:rPr>
                <w:b/>
              </w:rPr>
              <w:t>2、产业政策相符性</w:t>
            </w:r>
          </w:p>
          <w:p>
            <w:pPr>
              <w:widowControl/>
              <w:adjustRightInd w:val="0"/>
              <w:snapToGrid w:val="0"/>
              <w:spacing w:line="360" w:lineRule="auto"/>
              <w:ind w:firstLine="420" w:firstLineChars="200"/>
            </w:pPr>
            <w:r>
              <w:t>本项目属于C3312有色金属铸造，根据《产业结构调整指导目录（2019年本）》（中华人民共和国国家发展和改革委员会令第29号）以及《国家发展改革委关于修改&lt;产业结构调整指导目录（2019年本）&gt;的决定》（中华人民共和国国家发展和改革委员会令第49号），项目不属于明文规定的限制类或淘汰类项目，生产过程中不涉及禁止的项目、工艺和设备；根据《市场准入负面清单（2022年版）》（发改体改规〔2022〕397号），项目不属于所列的禁止准入事项和许可准入事项。因此，本项目符合国家和地方的有关产业政策规定。</w:t>
            </w:r>
          </w:p>
          <w:p>
            <w:pPr>
              <w:widowControl/>
              <w:adjustRightInd w:val="0"/>
              <w:snapToGrid w:val="0"/>
              <w:spacing w:line="360" w:lineRule="auto"/>
              <w:ind w:firstLine="422" w:firstLineChars="200"/>
              <w:rPr>
                <w:b/>
              </w:rPr>
            </w:pPr>
            <w:r>
              <w:rPr>
                <w:b/>
              </w:rPr>
              <w:t>3、选址规划符合性</w:t>
            </w:r>
          </w:p>
          <w:p>
            <w:pPr>
              <w:widowControl/>
              <w:adjustRightInd w:val="0"/>
              <w:snapToGrid w:val="0"/>
              <w:spacing w:line="360" w:lineRule="auto"/>
              <w:ind w:firstLine="420" w:firstLineChars="200"/>
            </w:pPr>
            <w:r>
              <w:t>项目位于惠州市博罗县园洲镇九潭沥西村十二岭工业区126号，租用已建成厂房进行生产，根据《博罗县自然资源局园洲自然资源所情况说明》（附件4）以及《</w:t>
            </w:r>
            <w:r>
              <w:rPr>
                <w:bCs/>
              </w:rPr>
              <w:t>博罗县园洲镇总体规划修编（2018-2035年）</w:t>
            </w:r>
            <w:r>
              <w:t>》，项目用地为工业用地。项目用地不涉及自然保护区、风景名胜区、饮用水源保护区、基本农田保护区及其它需要特殊保护的敏感区域。因此，项目选址目前基本符合当地的总体规划，在确保项目各种环保及安全措施得到落实和正常运作的情况下，不会改变区域的环境功能现状，故项目选址是合理的。</w:t>
            </w:r>
          </w:p>
          <w:p>
            <w:pPr>
              <w:snapToGrid w:val="0"/>
              <w:spacing w:line="360" w:lineRule="auto"/>
              <w:ind w:firstLine="422" w:firstLineChars="200"/>
              <w:rPr>
                <w:b/>
              </w:rPr>
            </w:pPr>
            <w:r>
              <w:rPr>
                <w:b/>
              </w:rPr>
              <w:t>4、环境功能区划符合性分析</w:t>
            </w:r>
          </w:p>
          <w:p>
            <w:pPr>
              <w:snapToGrid w:val="0"/>
              <w:spacing w:line="360" w:lineRule="auto"/>
              <w:ind w:firstLine="420" w:firstLineChars="200"/>
              <w:rPr>
                <w:bCs/>
              </w:rPr>
            </w:pPr>
            <w:r>
              <w:rPr>
                <w:bCs/>
              </w:rPr>
              <w:t>根据《广东省人民政府关于调整惠州市部分饮用水水源保护区的批复》（粤府函</w:t>
            </w:r>
            <w:r>
              <w:t>〔2019〕</w:t>
            </w:r>
            <w:r>
              <w:rPr>
                <w:bCs/>
              </w:rPr>
              <w:t>270号）和《惠州市乡镇级及以下集中式饮用水源保护区划定（调整）方案》的批复（惠府函</w:t>
            </w:r>
            <w:r>
              <w:t>〔2020〕</w:t>
            </w:r>
            <w:r>
              <w:rPr>
                <w:bCs/>
              </w:rPr>
              <w:t>317号），项目所在地不属于饮用水源保护区内，项目外排废水主要为员工生活污水。</w:t>
            </w:r>
          </w:p>
          <w:p>
            <w:pPr>
              <w:widowControl/>
              <w:spacing w:line="360" w:lineRule="auto"/>
              <w:ind w:firstLine="420" w:firstLineChars="200"/>
            </w:pPr>
            <w:r>
              <w:rPr>
                <w:bCs/>
              </w:rPr>
              <w:t>项目纳污水体主要为</w:t>
            </w:r>
            <w:r>
              <w:t>新村排渠和沙河，根据引用的现状数据，沙河水质现状能达到《地表水环境质量标准》（GB3838-2002）</w:t>
            </w:r>
            <w:r>
              <w:rPr>
                <w:rFonts w:ascii="宋体" w:hAnsi="宋体"/>
              </w:rPr>
              <w:t>Ⅲ</w:t>
            </w:r>
            <w:r>
              <w:t>类标准的要求；新村排渠水质现状不能满足《地表水环境质量标准》（GB3838-2002）</w:t>
            </w:r>
            <w:r>
              <w:rPr>
                <w:rFonts w:ascii="宋体" w:hAnsi="宋体"/>
              </w:rPr>
              <w:t>Ⅴ</w:t>
            </w:r>
            <w:r>
              <w:t>类标准的要求，导致水域污染的原因主要是受上游及附近的养殖废水、生活污水等污染所致，这种污染情况随着当地市政污水设施的完善而逐渐得到改善，新村排渠的水质必将得到改善。本项目无生产废水产生与排放，生活污水经三级化粪池预处理后经市政污水管网纳入园洲镇第三污水处理厂集中处理，不会增加水环境负荷</w:t>
            </w:r>
            <w:r>
              <w:rPr>
                <w:bCs/>
              </w:rPr>
              <w:t>；根据《惠州市环境空气质量功能区划》（2021年修订），项目所在区域为环境空气质量二类区功能区；根据《声环境功能区划分技术规范》（GB/T15190-2014）及《声环境质量标准》（GB3096-2008）中对声环境功能区的划分标准，</w:t>
            </w:r>
            <w:r>
              <w:t>项目所在区域</w:t>
            </w:r>
            <w:r>
              <w:rPr>
                <w:bCs/>
              </w:rPr>
              <w:t>声环境功能区划为2类区，声环境质量达标。项目周围无国家、省、市、区重点保护的文物、古迹、无名胜风景区、自然保护区等，选址符合环境功能区划要求。项目废（污）水、废气、噪声和固体废物通过采取评价中提出的治理措施进行有效治理后，不会改变区域环境功能，则项目运营与环境功能区划相符合。</w:t>
            </w:r>
          </w:p>
          <w:p>
            <w:pPr>
              <w:pStyle w:val="938"/>
              <w:numPr>
                <w:ilvl w:val="0"/>
                <w:numId w:val="12"/>
              </w:numPr>
              <w:spacing w:line="360" w:lineRule="auto"/>
              <w:ind w:firstLine="422" w:firstLineChars="0"/>
              <w:rPr>
                <w:rFonts w:cs="Times New Roman"/>
                <w:b/>
                <w:kern w:val="2"/>
                <w:lang w:eastAsia="zh-CN"/>
              </w:rPr>
            </w:pPr>
            <w:r>
              <w:rPr>
                <w:rFonts w:cs="Times New Roman"/>
                <w:b/>
                <w:kern w:val="2"/>
                <w:lang w:eastAsia="zh-CN"/>
              </w:rPr>
              <w:t>《广东省人民政府关于严格限制东江流域水污染项目建设进一步做好东江水质保护工作的通知》（粤府函〔2011〕339号）及其补充通知（粤府函〔2013〕231号）相符性分析。</w:t>
            </w:r>
          </w:p>
          <w:p>
            <w:pPr>
              <w:pStyle w:val="938"/>
              <w:spacing w:line="360" w:lineRule="auto"/>
              <w:ind w:firstLine="420"/>
              <w:rPr>
                <w:rFonts w:cs="Times New Roman"/>
                <w:bCs/>
                <w:lang w:eastAsia="zh-CN"/>
              </w:rPr>
            </w:pPr>
            <w:r>
              <w:rPr>
                <w:rFonts w:cs="Times New Roman"/>
                <w:bCs/>
                <w:lang w:eastAsia="zh-CN"/>
              </w:rPr>
              <w:t>根据《广东省人民政府关于严格限制东江流域水污染项目建设进一步做 好东江水质保护工作的通知》（粤府函〔2011〕339号）及其补充通知（粤 府函〔2013〕231号）的相符性分析中有关规定：</w:t>
            </w:r>
          </w:p>
          <w:p>
            <w:pPr>
              <w:pStyle w:val="938"/>
              <w:spacing w:line="360" w:lineRule="auto"/>
              <w:ind w:firstLine="420"/>
              <w:rPr>
                <w:rFonts w:cs="Times New Roman"/>
                <w:bCs/>
                <w:lang w:eastAsia="zh-CN"/>
              </w:rPr>
            </w:pPr>
            <w:r>
              <w:rPr>
                <w:rFonts w:ascii="宋体" w:hAnsi="宋体" w:cs="Times New Roman"/>
                <w:bCs/>
                <w:lang w:eastAsia="zh-CN"/>
              </w:rPr>
              <w:t>①</w:t>
            </w:r>
            <w:r>
              <w:rPr>
                <w:rFonts w:cs="Times New Roman"/>
                <w:bCs/>
                <w:lang w:eastAsia="zh-CN"/>
              </w:rPr>
              <w:t>严格控制重污染项目建设：严格执行相关规定，在东江流域内严格控制建设造纸、制革、味精、电镀、漂染、印染、炼油、发酵酿造、非放射性矿产冶炼以及使用含汞、砷、镉、铬、铅原料的项目，禁止建设农药、铬盐、钛白粉、氟制冷剂生产项目，禁止建设稀土分离、炼砒、炼铍、纸浆制造业、氰化法提炼产品以及开采、冶炼放射性矿产的项目。</w:t>
            </w:r>
          </w:p>
          <w:p>
            <w:pPr>
              <w:pStyle w:val="938"/>
              <w:spacing w:line="360" w:lineRule="auto"/>
              <w:ind w:firstLine="420"/>
              <w:rPr>
                <w:rFonts w:cs="Times New Roman"/>
                <w:bCs/>
                <w:lang w:eastAsia="zh-CN"/>
              </w:rPr>
            </w:pPr>
            <w:r>
              <w:rPr>
                <w:rFonts w:ascii="宋体" w:hAnsi="宋体" w:cs="Times New Roman"/>
                <w:bCs/>
                <w:lang w:eastAsia="zh-CN"/>
              </w:rPr>
              <w:t>②</w:t>
            </w:r>
            <w:r>
              <w:rPr>
                <w:rFonts w:cs="Times New Roman"/>
                <w:bCs/>
                <w:lang w:eastAsia="zh-CN"/>
              </w:rPr>
              <w:t>强化涉重金属污染项目管理：东江流域内停止审批向河流排放汞、砷、镉、铬、铅等重金属污染 物和持久性有机污染物的项目。</w:t>
            </w:r>
          </w:p>
          <w:p>
            <w:pPr>
              <w:pStyle w:val="938"/>
              <w:spacing w:line="360" w:lineRule="auto"/>
              <w:ind w:firstLine="420"/>
              <w:rPr>
                <w:rFonts w:cs="Times New Roman"/>
                <w:bCs/>
                <w:lang w:eastAsia="zh-CN"/>
              </w:rPr>
            </w:pPr>
            <w:r>
              <w:rPr>
                <w:rFonts w:ascii="宋体" w:hAnsi="宋体" w:cs="Times New Roman"/>
                <w:bCs/>
                <w:lang w:eastAsia="zh-CN"/>
              </w:rPr>
              <w:t>③</w:t>
            </w:r>
            <w:r>
              <w:rPr>
                <w:rFonts w:cs="Times New Roman"/>
                <w:bCs/>
                <w:lang w:eastAsia="zh-CN"/>
              </w:rPr>
              <w:t>严格控制支流污染增量：在淡水河（含龙 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p>
          <w:p>
            <w:pPr>
              <w:pStyle w:val="938"/>
              <w:spacing w:line="360" w:lineRule="auto"/>
              <w:ind w:firstLine="420"/>
              <w:rPr>
                <w:rFonts w:cs="Times New Roman"/>
                <w:bCs/>
                <w:lang w:eastAsia="zh-CN"/>
              </w:rPr>
            </w:pPr>
            <w:r>
              <w:rPr>
                <w:rFonts w:cs="Times New Roman"/>
                <w:bCs/>
                <w:lang w:eastAsia="zh-CN"/>
              </w:rPr>
              <w:t>本项目生产过程无生产废水产生与排放，生活污水经三级化粪池预处理后纳入市政污水管网，排入博罗县园洲镇第三生活污水处理厂进行深度处理，经处理达标后尾水排入新村排渠，最后汇入沙河。</w:t>
            </w:r>
            <w:r>
              <w:rPr>
                <w:rFonts w:cs="Times New Roman"/>
              </w:rPr>
              <w:t>本项目不属于以上禁批或限批行业。</w:t>
            </w:r>
            <w:r>
              <w:rPr>
                <w:rFonts w:cs="Times New Roman"/>
                <w:bCs/>
                <w:lang w:eastAsia="zh-CN"/>
              </w:rPr>
              <w:t>因此，项目选址符合《广东省人民政府关于严格限制东江流域水污染项目建设进一步做好东江水质保护工作的通知》（粤府函〔2011〕339号）及其补充通知（粤府函〔2013〕231号）的要求。</w:t>
            </w:r>
          </w:p>
          <w:p>
            <w:pPr>
              <w:pStyle w:val="938"/>
              <w:spacing w:line="360" w:lineRule="auto"/>
              <w:ind w:firstLine="422"/>
              <w:rPr>
                <w:rFonts w:cs="Times New Roman"/>
                <w:b/>
                <w:lang w:eastAsia="zh-CN"/>
              </w:rPr>
            </w:pPr>
            <w:r>
              <w:rPr>
                <w:rFonts w:cs="Times New Roman"/>
                <w:b/>
                <w:lang w:eastAsia="zh-CN"/>
              </w:rPr>
              <w:t>6、与《广东省水污染防治条例》的相符性分析</w:t>
            </w:r>
          </w:p>
          <w:p>
            <w:pPr>
              <w:pStyle w:val="938"/>
              <w:spacing w:line="360" w:lineRule="auto"/>
              <w:ind w:firstLine="420"/>
              <w:rPr>
                <w:rFonts w:cs="Times New Roman"/>
                <w:lang w:eastAsia="zh-CN"/>
              </w:rPr>
            </w:pPr>
            <w:r>
              <w:rPr>
                <w:rFonts w:cs="Times New Roman"/>
                <w:lang w:eastAsia="zh-CN"/>
              </w:rPr>
              <w:t>根据《广东省水污染防治条例》：</w:t>
            </w:r>
          </w:p>
          <w:p>
            <w:pPr>
              <w:pStyle w:val="938"/>
              <w:spacing w:line="360" w:lineRule="auto"/>
              <w:ind w:firstLine="420"/>
              <w:rPr>
                <w:rFonts w:cs="Times New Roman"/>
                <w:lang w:eastAsia="zh-CN"/>
              </w:rPr>
            </w:pPr>
            <w:r>
              <w:rPr>
                <w:rFonts w:cs="Times New Roman"/>
                <w:lang w:eastAsia="zh-CN"/>
              </w:rPr>
              <w:t>第四十四条  禁止在饮用水水源一级保护区内新建、改建、扩建与供水设施和保护水源无关的建设项目；已建成的与供水设施和保护水源无关的建设项目由县级以上人民政府责令拆除或者关闭。</w:t>
            </w:r>
          </w:p>
          <w:p>
            <w:pPr>
              <w:pStyle w:val="938"/>
              <w:spacing w:line="360" w:lineRule="auto"/>
              <w:ind w:firstLine="420"/>
              <w:rPr>
                <w:rFonts w:cs="Times New Roman"/>
                <w:lang w:eastAsia="zh-CN"/>
              </w:rPr>
            </w:pPr>
            <w:r>
              <w:rPr>
                <w:rFonts w:cs="Times New Roman"/>
                <w:lang w:eastAsia="zh-CN"/>
              </w:rPr>
              <w:t>禁止在饮用水水源二级保护区内新建、改建、扩建排放污染物的建设项目。</w:t>
            </w:r>
          </w:p>
          <w:p>
            <w:pPr>
              <w:pStyle w:val="938"/>
              <w:spacing w:line="360" w:lineRule="auto"/>
              <w:ind w:firstLine="420"/>
              <w:rPr>
                <w:rFonts w:cs="Times New Roman"/>
                <w:lang w:eastAsia="zh-CN"/>
              </w:rPr>
            </w:pPr>
            <w:r>
              <w:rPr>
                <w:rFonts w:cs="Times New Roman"/>
                <w:lang w:eastAsia="zh-CN"/>
              </w:rPr>
              <w:t>第五十条  新建、改建、扩建的项目应当符合国家产业政策规定</w:t>
            </w:r>
          </w:p>
          <w:p>
            <w:pPr>
              <w:pStyle w:val="938"/>
              <w:spacing w:line="360" w:lineRule="auto"/>
              <w:ind w:firstLine="420"/>
              <w:rPr>
                <w:rFonts w:cs="Times New Roman"/>
                <w:lang w:eastAsia="zh-CN"/>
              </w:rPr>
            </w:pPr>
            <w:r>
              <w:rPr>
                <w:rFonts w:cs="Times New Roman"/>
                <w:lang w:eastAsia="zh-CN"/>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w:t>
            </w:r>
          </w:p>
          <w:p>
            <w:pPr>
              <w:pStyle w:val="938"/>
              <w:spacing w:line="360" w:lineRule="auto"/>
              <w:ind w:firstLine="420"/>
              <w:rPr>
                <w:rFonts w:cs="Times New Roman"/>
                <w:lang w:eastAsia="zh-CN"/>
              </w:rPr>
            </w:pPr>
            <w:r>
              <w:rPr>
                <w:rFonts w:cs="Times New Roman"/>
                <w:lang w:eastAsia="zh-CN"/>
              </w:rPr>
              <w:t>本项目位于东江流域，用地不属于饮用水水源保护区，不属于条例规定的禁止类和严格控制类生产项目，无工业废水产生与排放，生活污水经三级化粪池预处理后经市政管网纳入园洲镇第三污水处理厂处理，本项目符合生态环境准入清单要求，并依法进行了环境影响评价，因此，本项目与《广东省水污染防治条例》相符。</w:t>
            </w:r>
          </w:p>
          <w:p>
            <w:pPr>
              <w:pStyle w:val="938"/>
              <w:spacing w:line="360" w:lineRule="auto"/>
              <w:ind w:firstLine="422"/>
              <w:jc w:val="left"/>
              <w:rPr>
                <w:rFonts w:cs="Times New Roman"/>
                <w:b/>
                <w:bCs/>
                <w:lang w:eastAsia="zh-CN"/>
              </w:rPr>
            </w:pPr>
            <w:r>
              <w:rPr>
                <w:rFonts w:cs="Times New Roman"/>
                <w:b/>
                <w:bCs/>
                <w:lang w:eastAsia="zh-CN"/>
              </w:rPr>
              <w:t>7、与《关于印发&lt;重点行业挥发性有机物综合治理方案&gt;的通知》（环大气〔2019〕53号）的相符性分析</w:t>
            </w:r>
          </w:p>
          <w:p>
            <w:pPr>
              <w:pStyle w:val="938"/>
              <w:spacing w:line="360" w:lineRule="auto"/>
              <w:ind w:firstLine="420"/>
              <w:rPr>
                <w:rFonts w:cs="Times New Roman"/>
                <w:lang w:eastAsia="zh-CN"/>
              </w:rPr>
            </w:pPr>
            <w:r>
              <w:rPr>
                <w:rFonts w:cs="Times New Roman"/>
                <w:lang w:eastAsia="zh-CN"/>
              </w:rPr>
              <w:t>（一）大力推进源头替代。通过使用水性、粉末、高固体分、无溶剂、辐射固化等低VOCs含量的涂料，水性、辐射固化、植物基等低VOCs含量的油墨，水基、热熔、无溶剂、辐射固化、改性、生物降解等低VOCs含量的胶粘剂，以及低VOCs含量、低反应活性的清洗剂等，替代溶剂型涂料、油墨、胶粘剂、清洗剂等，从源头减少VOCs产生</w:t>
            </w:r>
          </w:p>
          <w:p>
            <w:pPr>
              <w:pStyle w:val="938"/>
              <w:spacing w:line="360" w:lineRule="auto"/>
              <w:ind w:firstLine="420"/>
              <w:rPr>
                <w:rFonts w:cs="Times New Roman"/>
                <w:lang w:eastAsia="zh-CN"/>
              </w:rPr>
            </w:pPr>
            <w:r>
              <w:rPr>
                <w:rFonts w:cs="Times New Roman"/>
                <w:lang w:eastAsia="zh-CN"/>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活性炭吸附、减风增浓等浓缩技术，提高VOCs浓度后净化处理；</w:t>
            </w:r>
          </w:p>
          <w:p>
            <w:pPr>
              <w:pStyle w:val="938"/>
              <w:spacing w:line="360" w:lineRule="auto"/>
              <w:ind w:firstLine="420"/>
              <w:rPr>
                <w:rFonts w:cs="Times New Roman"/>
                <w:lang w:eastAsia="zh-CN"/>
              </w:rPr>
            </w:pPr>
            <w:r>
              <w:rPr>
                <w:rFonts w:cs="Times New Roman"/>
                <w:lang w:eastAsia="zh-CN"/>
              </w:rPr>
              <w:t>项目所使用的喷涂粉末、脱模剂属于低挥发性辅料，挥发的有机废气较少，有机废气经收集后通过两级活性炭吸附装置处理达标排放，对外界环境影响不大。</w:t>
            </w:r>
          </w:p>
          <w:p>
            <w:pPr>
              <w:pStyle w:val="938"/>
              <w:spacing w:line="360" w:lineRule="auto"/>
              <w:ind w:firstLine="420"/>
              <w:rPr>
                <w:rFonts w:cs="Times New Roman"/>
                <w:lang w:eastAsia="zh-CN"/>
              </w:rPr>
            </w:pPr>
            <w:r>
              <w:rPr>
                <w:rFonts w:cs="Times New Roman"/>
                <w:lang w:eastAsia="zh-CN"/>
              </w:rPr>
              <w:t>项目符合《&lt;重点行业挥发性有机物综合治理方案&gt;的通知》（环大气〔2019〕53号）文件的要求。</w:t>
            </w:r>
          </w:p>
          <w:p>
            <w:pPr>
              <w:pStyle w:val="938"/>
              <w:spacing w:line="360" w:lineRule="auto"/>
              <w:ind w:firstLine="422"/>
              <w:rPr>
                <w:rFonts w:cs="Times New Roman"/>
                <w:b/>
                <w:bCs/>
                <w:lang w:eastAsia="zh-CN"/>
              </w:rPr>
            </w:pPr>
            <w:r>
              <w:rPr>
                <w:rFonts w:cs="Times New Roman"/>
                <w:b/>
                <w:bCs/>
                <w:lang w:eastAsia="zh-CN"/>
              </w:rPr>
              <w:t>8、与《关于印发＜广东省涉VOCs重点行业治理指引＞的通知》（粤环办〔2021〕43号）的相符性分析</w:t>
            </w:r>
          </w:p>
          <w:p>
            <w:pPr>
              <w:adjustRightInd w:val="0"/>
              <w:snapToGrid w:val="0"/>
              <w:spacing w:line="360" w:lineRule="auto"/>
              <w:ind w:firstLine="420" w:firstLineChars="200"/>
              <w:textAlignment w:val="baseline"/>
            </w:pPr>
            <w:r>
              <w:rPr>
                <w:bCs/>
                <w:kern w:val="44"/>
              </w:rPr>
              <w:t>本项目属于《国民经济行业分类》（GB/T 4754-2017）及第1号修改单中C3312 有色金属铸造</w:t>
            </w:r>
            <w:r>
              <w:t>，设有粉末喷涂工艺，属于表面涂装，</w:t>
            </w:r>
            <w:r>
              <w:rPr>
                <w:bCs/>
                <w:kern w:val="44"/>
              </w:rPr>
              <w:t>根据《广东省涉挥发性有机物（VOCs）重点行业治理指引》（粤环办【2021】43号）中“八、表面涂装行业 VOCs 治理指引”，本项目与其相符性分析见表1-2。</w:t>
            </w:r>
          </w:p>
          <w:p>
            <w:pPr>
              <w:widowControl/>
              <w:spacing w:line="360" w:lineRule="auto"/>
              <w:jc w:val="center"/>
              <w:rPr>
                <w:b/>
                <w:bCs/>
              </w:rPr>
            </w:pPr>
            <w:r>
              <w:rPr>
                <w:b/>
              </w:rPr>
              <w:t>表1-2 项目与</w:t>
            </w:r>
            <w:r>
              <w:rPr>
                <w:b/>
                <w:bCs/>
              </w:rPr>
              <w:t>《广东省涉挥发性有机物（VOCs）重点行业治理指引》</w:t>
            </w:r>
            <w:r>
              <w:rPr>
                <w:b/>
              </w:rPr>
              <w:t>对照分析</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5"/>
              <w:gridCol w:w="3952"/>
              <w:gridCol w:w="2854"/>
              <w:gridCol w:w="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Align w:val="center"/>
                </w:tcPr>
                <w:p>
                  <w:pPr>
                    <w:adjustRightInd w:val="0"/>
                    <w:snapToGrid w:val="0"/>
                    <w:jc w:val="center"/>
                    <w:rPr>
                      <w:b/>
                      <w:bCs/>
                      <w:sz w:val="18"/>
                      <w:szCs w:val="18"/>
                    </w:rPr>
                  </w:pPr>
                  <w:r>
                    <w:rPr>
                      <w:b/>
                      <w:bCs/>
                      <w:sz w:val="18"/>
                      <w:szCs w:val="18"/>
                    </w:rPr>
                    <w:t>环节</w:t>
                  </w:r>
                </w:p>
              </w:tc>
              <w:tc>
                <w:tcPr>
                  <w:tcW w:w="2408" w:type="pct"/>
                  <w:vAlign w:val="center"/>
                </w:tcPr>
                <w:p>
                  <w:pPr>
                    <w:adjustRightInd w:val="0"/>
                    <w:snapToGrid w:val="0"/>
                    <w:jc w:val="center"/>
                    <w:rPr>
                      <w:b/>
                      <w:bCs/>
                      <w:sz w:val="18"/>
                      <w:szCs w:val="18"/>
                    </w:rPr>
                  </w:pPr>
                  <w:r>
                    <w:rPr>
                      <w:b/>
                      <w:bCs/>
                      <w:sz w:val="18"/>
                      <w:szCs w:val="18"/>
                    </w:rPr>
                    <w:t>控制要求</w:t>
                  </w:r>
                </w:p>
              </w:tc>
              <w:tc>
                <w:tcPr>
                  <w:tcW w:w="1739" w:type="pct"/>
                  <w:vAlign w:val="center"/>
                </w:tcPr>
                <w:p>
                  <w:pPr>
                    <w:adjustRightInd w:val="0"/>
                    <w:snapToGrid w:val="0"/>
                    <w:jc w:val="center"/>
                    <w:rPr>
                      <w:b/>
                      <w:bCs/>
                      <w:sz w:val="18"/>
                      <w:szCs w:val="18"/>
                    </w:rPr>
                  </w:pPr>
                  <w:r>
                    <w:rPr>
                      <w:b/>
                      <w:bCs/>
                      <w:sz w:val="18"/>
                      <w:szCs w:val="18"/>
                    </w:rPr>
                    <w:t>本项目相关情况</w:t>
                  </w:r>
                </w:p>
              </w:tc>
              <w:tc>
                <w:tcPr>
                  <w:tcW w:w="366" w:type="pct"/>
                  <w:vAlign w:val="center"/>
                </w:tcPr>
                <w:p>
                  <w:pPr>
                    <w:adjustRightInd w:val="0"/>
                    <w:snapToGrid w:val="0"/>
                    <w:jc w:val="center"/>
                    <w:rPr>
                      <w:b/>
                      <w:bCs/>
                      <w:sz w:val="18"/>
                      <w:szCs w:val="18"/>
                    </w:rPr>
                  </w:pPr>
                  <w:r>
                    <w:rPr>
                      <w:b/>
                      <w:bCs/>
                      <w:sz w:val="18"/>
                      <w:szCs w:val="18"/>
                    </w:rPr>
                    <w:t>是否</w:t>
                  </w:r>
                </w:p>
                <w:p>
                  <w:pPr>
                    <w:adjustRightInd w:val="0"/>
                    <w:snapToGrid w:val="0"/>
                    <w:jc w:val="center"/>
                    <w:rPr>
                      <w:b/>
                      <w:bCs/>
                      <w:sz w:val="18"/>
                      <w:szCs w:val="18"/>
                    </w:rPr>
                  </w:pPr>
                  <w:r>
                    <w:rPr>
                      <w:b/>
                      <w:bCs/>
                      <w:sz w:val="18"/>
                      <w:szCs w:val="18"/>
                    </w:rPr>
                    <w:t>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shd w:val="clear" w:color="auto" w:fill="D8D8D8"/>
                  <w:vAlign w:val="center"/>
                </w:tcPr>
                <w:p>
                  <w:pPr>
                    <w:adjustRightInd w:val="0"/>
                    <w:snapToGrid w:val="0"/>
                    <w:jc w:val="center"/>
                    <w:rPr>
                      <w:sz w:val="18"/>
                      <w:szCs w:val="18"/>
                    </w:rPr>
                  </w:pPr>
                  <w:r>
                    <w:rPr>
                      <w:b/>
                      <w:bCs/>
                      <w:sz w:val="18"/>
                      <w:szCs w:val="18"/>
                    </w:rPr>
                    <w:t>源头削减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Align w:val="center"/>
                </w:tcPr>
                <w:p>
                  <w:pPr>
                    <w:widowControl/>
                    <w:adjustRightInd w:val="0"/>
                    <w:snapToGrid w:val="0"/>
                    <w:jc w:val="center"/>
                    <w:rPr>
                      <w:sz w:val="18"/>
                      <w:szCs w:val="18"/>
                      <w:lang w:bidi="ar"/>
                    </w:rPr>
                  </w:pPr>
                  <w:r>
                    <w:rPr>
                      <w:sz w:val="18"/>
                      <w:szCs w:val="18"/>
                      <w:lang w:bidi="ar"/>
                    </w:rPr>
                    <w:t>无溶剂涂料</w:t>
                  </w:r>
                </w:p>
              </w:tc>
              <w:tc>
                <w:tcPr>
                  <w:tcW w:w="2408" w:type="pct"/>
                  <w:vAlign w:val="center"/>
                </w:tcPr>
                <w:p>
                  <w:pPr>
                    <w:adjustRightInd w:val="0"/>
                    <w:snapToGrid w:val="0"/>
                    <w:rPr>
                      <w:sz w:val="18"/>
                      <w:szCs w:val="18"/>
                    </w:rPr>
                  </w:pPr>
                  <w:r>
                    <w:rPr>
                      <w:sz w:val="18"/>
                      <w:szCs w:val="18"/>
                    </w:rPr>
                    <w:t>VOCs含量≤100g/L；</w:t>
                  </w:r>
                </w:p>
              </w:tc>
              <w:tc>
                <w:tcPr>
                  <w:tcW w:w="1739" w:type="pct"/>
                  <w:vMerge w:val="restart"/>
                  <w:vAlign w:val="center"/>
                </w:tcPr>
                <w:p>
                  <w:pPr>
                    <w:adjustRightInd w:val="0"/>
                    <w:snapToGrid w:val="0"/>
                    <w:rPr>
                      <w:bCs/>
                      <w:kern w:val="44"/>
                      <w:sz w:val="18"/>
                      <w:szCs w:val="18"/>
                    </w:rPr>
                  </w:pPr>
                  <w:r>
                    <w:rPr>
                      <w:sz w:val="18"/>
                      <w:szCs w:val="18"/>
                    </w:rPr>
                    <w:t>根据建设单位提供的资料，喷涂粉末主要成分为环氧树脂、聚酯树脂呈固态，VOCs含量为0.5%，密度1.1g/cm</w:t>
                  </w:r>
                  <w:r>
                    <w:rPr>
                      <w:sz w:val="18"/>
                      <w:szCs w:val="18"/>
                      <w:vertAlign w:val="superscript"/>
                    </w:rPr>
                    <w:t>3</w:t>
                  </w:r>
                  <w:r>
                    <w:rPr>
                      <w:sz w:val="18"/>
                      <w:szCs w:val="18"/>
                    </w:rPr>
                    <w:t>，其</w:t>
                  </w:r>
                  <w:r>
                    <w:rPr>
                      <w:rFonts w:hint="eastAsia"/>
                      <w:sz w:val="18"/>
                      <w:szCs w:val="18"/>
                    </w:rPr>
                    <w:t>使用过程中产生的</w:t>
                  </w:r>
                  <w:r>
                    <w:rPr>
                      <w:sz w:val="18"/>
                      <w:szCs w:val="18"/>
                    </w:rPr>
                    <w:t>VOCs含量为7g/L＜100g/L。</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Align w:val="center"/>
                </w:tcPr>
                <w:p>
                  <w:pPr>
                    <w:adjustRightInd w:val="0"/>
                    <w:snapToGrid w:val="0"/>
                    <w:jc w:val="center"/>
                    <w:rPr>
                      <w:sz w:val="18"/>
                      <w:szCs w:val="18"/>
                      <w:lang w:bidi="ar"/>
                    </w:rPr>
                  </w:pPr>
                  <w:r>
                    <w:rPr>
                      <w:bCs/>
                      <w:kern w:val="44"/>
                      <w:sz w:val="18"/>
                      <w:szCs w:val="18"/>
                    </w:rPr>
                    <w:t>VOCs物料使用</w:t>
                  </w:r>
                </w:p>
              </w:tc>
              <w:tc>
                <w:tcPr>
                  <w:tcW w:w="2408" w:type="pct"/>
                  <w:vAlign w:val="center"/>
                </w:tcPr>
                <w:p>
                  <w:pPr>
                    <w:adjustRightInd w:val="0"/>
                    <w:snapToGrid w:val="0"/>
                    <w:jc w:val="left"/>
                    <w:rPr>
                      <w:bCs/>
                      <w:kern w:val="44"/>
                      <w:sz w:val="18"/>
                      <w:szCs w:val="18"/>
                    </w:rPr>
                  </w:pPr>
                  <w:r>
                    <w:rPr>
                      <w:bCs/>
                      <w:kern w:val="44"/>
                      <w:sz w:val="18"/>
                      <w:szCs w:val="18"/>
                    </w:rPr>
                    <w:t>工程机械企业生产过程中使用的涂料VOCs含量应符合GB30981-2020中的规定。</w:t>
                  </w:r>
                </w:p>
              </w:tc>
              <w:tc>
                <w:tcPr>
                  <w:tcW w:w="1739" w:type="pct"/>
                  <w:vMerge w:val="continue"/>
                  <w:vAlign w:val="center"/>
                </w:tcPr>
                <w:p>
                  <w:pPr>
                    <w:adjustRightInd w:val="0"/>
                    <w:snapToGrid w:val="0"/>
                    <w:rPr>
                      <w:bCs/>
                      <w:kern w:val="44"/>
                      <w:sz w:val="18"/>
                      <w:szCs w:val="18"/>
                    </w:rPr>
                  </w:pP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tcBorders>
                    <w:top w:val="nil"/>
                  </w:tcBorders>
                  <w:shd w:val="clear" w:color="auto" w:fill="D8D8D8"/>
                  <w:vAlign w:val="center"/>
                </w:tcPr>
                <w:p>
                  <w:pPr>
                    <w:adjustRightInd w:val="0"/>
                    <w:snapToGrid w:val="0"/>
                    <w:jc w:val="center"/>
                    <w:rPr>
                      <w:b/>
                      <w:bCs/>
                      <w:sz w:val="18"/>
                      <w:szCs w:val="18"/>
                    </w:rPr>
                  </w:pPr>
                  <w:r>
                    <w:rPr>
                      <w:b/>
                      <w:bCs/>
                      <w:sz w:val="18"/>
                      <w:szCs w:val="18"/>
                    </w:rPr>
                    <w:t>过程控制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0" w:hRule="atLeast"/>
                <w:jc w:val="center"/>
              </w:trPr>
              <w:tc>
                <w:tcPr>
                  <w:tcW w:w="485" w:type="pct"/>
                  <w:vMerge w:val="restart"/>
                  <w:vAlign w:val="center"/>
                </w:tcPr>
                <w:p>
                  <w:pPr>
                    <w:widowControl/>
                    <w:adjustRightInd w:val="0"/>
                    <w:snapToGrid w:val="0"/>
                    <w:jc w:val="center"/>
                    <w:rPr>
                      <w:sz w:val="18"/>
                      <w:szCs w:val="18"/>
                      <w:lang w:bidi="ar"/>
                    </w:rPr>
                  </w:pPr>
                  <w:r>
                    <w:rPr>
                      <w:sz w:val="18"/>
                      <w:szCs w:val="18"/>
                      <w:lang w:bidi="ar"/>
                    </w:rPr>
                    <w:t>VOCs物料储存</w:t>
                  </w:r>
                </w:p>
              </w:tc>
              <w:tc>
                <w:tcPr>
                  <w:tcW w:w="2408" w:type="pct"/>
                  <w:vAlign w:val="center"/>
                </w:tcPr>
                <w:p>
                  <w:pPr>
                    <w:adjustRightInd w:val="0"/>
                    <w:snapToGrid w:val="0"/>
                    <w:rPr>
                      <w:sz w:val="18"/>
                      <w:szCs w:val="18"/>
                    </w:rPr>
                  </w:pPr>
                  <w:r>
                    <w:rPr>
                      <w:sz w:val="18"/>
                      <w:szCs w:val="18"/>
                    </w:rPr>
                    <w:t>油漆、稀释剂、清洗剂等含VOCs物料应储存于密闭的容器、包装袋、储罐、储库、料仓中。</w:t>
                  </w:r>
                </w:p>
              </w:tc>
              <w:tc>
                <w:tcPr>
                  <w:tcW w:w="1739" w:type="pct"/>
                  <w:vAlign w:val="center"/>
                </w:tcPr>
                <w:p>
                  <w:pPr>
                    <w:adjustRightInd w:val="0"/>
                    <w:snapToGrid w:val="0"/>
                    <w:rPr>
                      <w:sz w:val="18"/>
                      <w:szCs w:val="18"/>
                    </w:rPr>
                  </w:pPr>
                  <w:r>
                    <w:rPr>
                      <w:sz w:val="18"/>
                      <w:szCs w:val="18"/>
                    </w:rPr>
                    <w:t>项目喷涂粉末</w:t>
                  </w:r>
                  <w:r>
                    <w:rPr>
                      <w:sz w:val="18"/>
                      <w:szCs w:val="18"/>
                      <w:lang w:bidi="ar"/>
                    </w:rPr>
                    <w:t>储存于密闭包装袋中，脱模剂储存于密封桶中。</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3" w:hRule="atLeast"/>
                <w:jc w:val="center"/>
              </w:trPr>
              <w:tc>
                <w:tcPr>
                  <w:tcW w:w="485" w:type="pct"/>
                  <w:vMerge w:val="continue"/>
                  <w:vAlign w:val="center"/>
                </w:tcPr>
                <w:p>
                  <w:pPr>
                    <w:adjustRightInd w:val="0"/>
                    <w:snapToGrid w:val="0"/>
                    <w:jc w:val="center"/>
                    <w:rPr>
                      <w:sz w:val="18"/>
                      <w:szCs w:val="18"/>
                      <w:lang w:bidi="ar"/>
                    </w:rPr>
                  </w:pPr>
                </w:p>
              </w:tc>
              <w:tc>
                <w:tcPr>
                  <w:tcW w:w="2408" w:type="pct"/>
                  <w:vAlign w:val="center"/>
                </w:tcPr>
                <w:p>
                  <w:pPr>
                    <w:adjustRightInd w:val="0"/>
                    <w:snapToGrid w:val="0"/>
                  </w:pPr>
                  <w:r>
                    <w:rPr>
                      <w:sz w:val="18"/>
                      <w:szCs w:val="18"/>
                    </w:rPr>
                    <w:t>油漆、稀释剂、清洗剂等盛装VOCs物料的容器存放于室内，或存放于设置有雨棚、遮阳和防渗设施的专用场地。盛装VOCs物料的容器在非取用状态时应加盖、封口，保持密闭。</w:t>
                  </w:r>
                </w:p>
              </w:tc>
              <w:tc>
                <w:tcPr>
                  <w:tcW w:w="1739" w:type="pct"/>
                  <w:vAlign w:val="center"/>
                </w:tcPr>
                <w:p>
                  <w:pPr>
                    <w:adjustRightInd w:val="0"/>
                    <w:snapToGrid w:val="0"/>
                    <w:rPr>
                      <w:sz w:val="18"/>
                      <w:szCs w:val="18"/>
                    </w:rPr>
                  </w:pPr>
                  <w:r>
                    <w:rPr>
                      <w:sz w:val="18"/>
                      <w:szCs w:val="18"/>
                    </w:rPr>
                    <w:t>项目喷涂粉末、脱模剂</w:t>
                  </w:r>
                  <w:r>
                    <w:rPr>
                      <w:sz w:val="18"/>
                      <w:szCs w:val="18"/>
                      <w:lang w:bidi="ar"/>
                    </w:rPr>
                    <w:t>存放于室内，非取用状态时封口，保持密闭。</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5" w:type="pct"/>
                  <w:vAlign w:val="center"/>
                </w:tcPr>
                <w:p>
                  <w:pPr>
                    <w:widowControl/>
                    <w:adjustRightInd w:val="0"/>
                    <w:snapToGrid w:val="0"/>
                    <w:jc w:val="center"/>
                    <w:rPr>
                      <w:sz w:val="18"/>
                      <w:szCs w:val="18"/>
                      <w:lang w:bidi="ar"/>
                    </w:rPr>
                  </w:pPr>
                  <w:r>
                    <w:rPr>
                      <w:sz w:val="18"/>
                      <w:szCs w:val="18"/>
                      <w:lang w:bidi="ar"/>
                    </w:rPr>
                    <w:t>涂装工艺</w:t>
                  </w:r>
                </w:p>
              </w:tc>
              <w:tc>
                <w:tcPr>
                  <w:tcW w:w="2408" w:type="pct"/>
                  <w:vAlign w:val="center"/>
                </w:tcPr>
                <w:p>
                  <w:pPr>
                    <w:adjustRightInd w:val="0"/>
                    <w:snapToGrid w:val="0"/>
                    <w:rPr>
                      <w:sz w:val="18"/>
                      <w:szCs w:val="18"/>
                    </w:rPr>
                  </w:pPr>
                  <w:r>
                    <w:rPr>
                      <w:sz w:val="18"/>
                      <w:szCs w:val="18"/>
                    </w:rPr>
                    <w:t>工程机械制造要提高室内涂装比例，鼓励采用自动喷涂、静电喷涂等技术。</w:t>
                  </w:r>
                </w:p>
              </w:tc>
              <w:tc>
                <w:tcPr>
                  <w:tcW w:w="1739" w:type="pct"/>
                  <w:vAlign w:val="center"/>
                </w:tcPr>
                <w:p>
                  <w:pPr>
                    <w:adjustRightInd w:val="0"/>
                    <w:snapToGrid w:val="0"/>
                    <w:rPr>
                      <w:sz w:val="18"/>
                      <w:szCs w:val="18"/>
                    </w:rPr>
                  </w:pPr>
                  <w:r>
                    <w:rPr>
                      <w:sz w:val="18"/>
                      <w:szCs w:val="18"/>
                    </w:rPr>
                    <w:t>项目采用粉末静电喷涂技术。</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5" w:type="pct"/>
                  <w:vAlign w:val="center"/>
                </w:tcPr>
                <w:p>
                  <w:pPr>
                    <w:adjustRightInd w:val="0"/>
                    <w:snapToGrid w:val="0"/>
                    <w:jc w:val="center"/>
                    <w:rPr>
                      <w:sz w:val="18"/>
                      <w:szCs w:val="18"/>
                      <w:lang w:bidi="ar"/>
                    </w:rPr>
                  </w:pPr>
                  <w:r>
                    <w:rPr>
                      <w:bCs/>
                      <w:kern w:val="44"/>
                      <w:sz w:val="18"/>
                      <w:szCs w:val="18"/>
                    </w:rPr>
                    <w:t>工艺过程</w:t>
                  </w:r>
                </w:p>
              </w:tc>
              <w:tc>
                <w:tcPr>
                  <w:tcW w:w="2408" w:type="pct"/>
                  <w:vAlign w:val="center"/>
                </w:tcPr>
                <w:p>
                  <w:pPr>
                    <w:adjustRightInd w:val="0"/>
                    <w:snapToGrid w:val="0"/>
                    <w:jc w:val="center"/>
                    <w:rPr>
                      <w:sz w:val="18"/>
                      <w:szCs w:val="18"/>
                    </w:rPr>
                  </w:pPr>
                  <w:r>
                    <w:rPr>
                      <w:bCs/>
                      <w:kern w:val="44"/>
                      <w:sz w:val="18"/>
                      <w:szCs w:val="18"/>
                    </w:rPr>
                    <w:t>调配、电泳、电泳烘干、喷涂（低、中、面、清）、喷涂烘干、修补漆、修补漆烘干等使用VOCs质量占比大于等于 10%物料的工艺过程应采用密闭设备或在密闭空间内操作，废气应排至VOCs废气收集处理系统；无法密闭的，应采取局部气体收集措施，废气排至VOCs废气收集处理系统。</w:t>
                  </w:r>
                </w:p>
              </w:tc>
              <w:tc>
                <w:tcPr>
                  <w:tcW w:w="1739" w:type="pct"/>
                  <w:vAlign w:val="center"/>
                </w:tcPr>
                <w:p>
                  <w:pPr>
                    <w:adjustRightInd w:val="0"/>
                    <w:snapToGrid w:val="0"/>
                    <w:rPr>
                      <w:sz w:val="18"/>
                      <w:szCs w:val="18"/>
                    </w:rPr>
                  </w:pPr>
                  <w:r>
                    <w:rPr>
                      <w:bCs/>
                      <w:kern w:val="44"/>
                      <w:sz w:val="18"/>
                      <w:szCs w:val="18"/>
                    </w:rPr>
                    <w:t>项目粉末喷涂工艺过程位于密闭空间中，配备有废气收集装置；废气收集后经二级活性炭吸附装置处理。</w:t>
                  </w:r>
                </w:p>
              </w:tc>
              <w:tc>
                <w:tcPr>
                  <w:tcW w:w="366" w:type="pct"/>
                  <w:vAlign w:val="center"/>
                </w:tcPr>
                <w:p>
                  <w:pPr>
                    <w:adjustRightInd w:val="0"/>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restart"/>
                  <w:vAlign w:val="center"/>
                </w:tcPr>
                <w:p>
                  <w:pPr>
                    <w:widowControl/>
                    <w:adjustRightInd w:val="0"/>
                    <w:snapToGrid w:val="0"/>
                    <w:jc w:val="center"/>
                    <w:rPr>
                      <w:sz w:val="18"/>
                      <w:szCs w:val="18"/>
                      <w:lang w:bidi="ar"/>
                    </w:rPr>
                  </w:pPr>
                  <w:r>
                    <w:rPr>
                      <w:sz w:val="18"/>
                      <w:szCs w:val="18"/>
                      <w:lang w:bidi="ar"/>
                    </w:rPr>
                    <w:t>废气收集</w:t>
                  </w:r>
                </w:p>
              </w:tc>
              <w:tc>
                <w:tcPr>
                  <w:tcW w:w="2408" w:type="pct"/>
                  <w:vAlign w:val="center"/>
                </w:tcPr>
                <w:p>
                  <w:pPr>
                    <w:adjustRightInd w:val="0"/>
                    <w:snapToGrid w:val="0"/>
                    <w:rPr>
                      <w:sz w:val="18"/>
                      <w:szCs w:val="18"/>
                    </w:rPr>
                  </w:pPr>
                  <w:r>
                    <w:rPr>
                      <w:sz w:val="18"/>
                      <w:szCs w:val="18"/>
                    </w:rPr>
                    <w:t>废气收集系统的输送管道应密闭。废气收集系统应在负压下运行，若处于正压状态，应对管道组件的密封点进行泄漏检测，泄漏检测值不应超过500μmol/mol，亦不应有感官可察觉泄漏。</w:t>
                  </w:r>
                </w:p>
              </w:tc>
              <w:tc>
                <w:tcPr>
                  <w:tcW w:w="1739" w:type="pct"/>
                  <w:vAlign w:val="center"/>
                </w:tcPr>
                <w:p>
                  <w:pPr>
                    <w:adjustRightInd w:val="0"/>
                    <w:snapToGrid w:val="0"/>
                    <w:rPr>
                      <w:sz w:val="18"/>
                      <w:szCs w:val="18"/>
                    </w:rPr>
                  </w:pPr>
                  <w:r>
                    <w:rPr>
                      <w:sz w:val="18"/>
                      <w:szCs w:val="18"/>
                    </w:rPr>
                    <w:t>废气收集系统的输送管道密闭，废气收集系统负压。</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rPr>
                  </w:pPr>
                  <w:r>
                    <w:rPr>
                      <w:sz w:val="18"/>
                      <w:szCs w:val="18"/>
                    </w:rPr>
                    <w:t>废气收集系统应与生产工艺设备同步运行。废气处理系统发生故障或检修时，对应的生产工艺设备应停止运行，待检修完毕后同步投入使用；生产工艺设备不能停止运行或不能及时停止运行的，应设置废气应急处理设施或采取其他代替措施。</w:t>
                  </w:r>
                </w:p>
              </w:tc>
              <w:tc>
                <w:tcPr>
                  <w:tcW w:w="1739" w:type="pct"/>
                  <w:vAlign w:val="center"/>
                </w:tcPr>
                <w:p>
                  <w:pPr>
                    <w:adjustRightInd w:val="0"/>
                    <w:snapToGrid w:val="0"/>
                    <w:rPr>
                      <w:sz w:val="18"/>
                      <w:szCs w:val="18"/>
                    </w:rPr>
                  </w:pPr>
                  <w:r>
                    <w:rPr>
                      <w:sz w:val="18"/>
                      <w:szCs w:val="18"/>
                    </w:rPr>
                    <w:t>项目废气收集系统应与生产工艺设备同步运行。废气处理系统发生故障或检修时，对应的生产工艺设备停止运行，待检修完毕后同步投入使用。</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shd w:val="clear" w:color="auto" w:fill="D8D8D8"/>
                  <w:vAlign w:val="center"/>
                </w:tcPr>
                <w:p>
                  <w:pPr>
                    <w:adjustRightInd w:val="0"/>
                    <w:snapToGrid w:val="0"/>
                    <w:jc w:val="center"/>
                    <w:rPr>
                      <w:sz w:val="18"/>
                      <w:szCs w:val="18"/>
                    </w:rPr>
                  </w:pPr>
                  <w:r>
                    <w:rPr>
                      <w:b/>
                      <w:bCs/>
                      <w:sz w:val="18"/>
                      <w:szCs w:val="18"/>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Align w:val="center"/>
                </w:tcPr>
                <w:p>
                  <w:pPr>
                    <w:widowControl/>
                    <w:adjustRightInd w:val="0"/>
                    <w:snapToGrid w:val="0"/>
                    <w:jc w:val="center"/>
                    <w:rPr>
                      <w:sz w:val="18"/>
                      <w:szCs w:val="18"/>
                      <w:lang w:bidi="ar"/>
                    </w:rPr>
                  </w:pPr>
                  <w:r>
                    <w:rPr>
                      <w:sz w:val="18"/>
                      <w:szCs w:val="18"/>
                      <w:lang w:bidi="ar"/>
                    </w:rPr>
                    <w:t>排放水平</w:t>
                  </w:r>
                </w:p>
              </w:tc>
              <w:tc>
                <w:tcPr>
                  <w:tcW w:w="2408" w:type="pct"/>
                  <w:vAlign w:val="center"/>
                </w:tcPr>
                <w:p>
                  <w:pPr>
                    <w:adjustRightInd w:val="0"/>
                    <w:snapToGrid w:val="0"/>
                    <w:rPr>
                      <w:sz w:val="18"/>
                      <w:szCs w:val="18"/>
                    </w:rPr>
                  </w:pPr>
                  <w:r>
                    <w:rPr>
                      <w:sz w:val="18"/>
                      <w:szCs w:val="18"/>
                    </w:rPr>
                    <w:t>其他表面涂装行业：a）2002年1月1日前的建设项目排放的工艺有机废气排放浓度执行《大气污染物排放限值》（DB4427-2001）第一时段限值；2002年1月1日起的建设项目排放的有机废气排放浓度执行《大气污染物排放限值》（DB4427-2001）第二时段限值；车间或生产设施排气中NMHC初始排放速率≥3 kg/h时，建设VOCs处理设施且处理效率≥80%；b）厂区内无组织排放监控点NMHC的小时平均浓度值不超过6 mg/m</w:t>
                  </w:r>
                  <w:r>
                    <w:rPr>
                      <w:sz w:val="18"/>
                      <w:szCs w:val="18"/>
                      <w:vertAlign w:val="superscript"/>
                    </w:rPr>
                    <w:t>3</w:t>
                  </w:r>
                  <w:r>
                    <w:rPr>
                      <w:sz w:val="18"/>
                      <w:szCs w:val="18"/>
                    </w:rPr>
                    <w:t>，任意一次浓度值不超过20 mg/m</w:t>
                  </w:r>
                  <w:r>
                    <w:rPr>
                      <w:sz w:val="18"/>
                      <w:szCs w:val="18"/>
                      <w:vertAlign w:val="superscript"/>
                    </w:rPr>
                    <w:t>3</w:t>
                  </w:r>
                  <w:r>
                    <w:rPr>
                      <w:sz w:val="18"/>
                      <w:szCs w:val="18"/>
                    </w:rPr>
                    <w:t>。</w:t>
                  </w:r>
                </w:p>
              </w:tc>
              <w:tc>
                <w:tcPr>
                  <w:tcW w:w="1739" w:type="pct"/>
                  <w:vAlign w:val="center"/>
                </w:tcPr>
                <w:p>
                  <w:pPr>
                    <w:adjustRightInd w:val="0"/>
                    <w:snapToGrid w:val="0"/>
                    <w:rPr>
                      <w:sz w:val="18"/>
                      <w:szCs w:val="18"/>
                    </w:rPr>
                  </w:pPr>
                  <w:r>
                    <w:rPr>
                      <w:sz w:val="18"/>
                      <w:szCs w:val="18"/>
                    </w:rPr>
                    <w:t>项目有机废气排气筒排放浓度满足广东省《固定污染源挥发性有机物综合排放标准》（DB44/2367-2022）中表1排气筒VOCs排放限值Ⅱ时段标准；项目车间或生产设施排气中NMHC初始排放速率＜3 kg/h；项目厂区内无组织排放监控点NMHC的小时平均浓度值不超过6 mg/m</w:t>
                  </w:r>
                  <w:r>
                    <w:rPr>
                      <w:sz w:val="18"/>
                      <w:szCs w:val="18"/>
                      <w:vertAlign w:val="superscript"/>
                    </w:rPr>
                    <w:t>3</w:t>
                  </w:r>
                  <w:r>
                    <w:rPr>
                      <w:sz w:val="18"/>
                      <w:szCs w:val="18"/>
                    </w:rPr>
                    <w:t>，任意一次浓度值不超过20 mg/m</w:t>
                  </w:r>
                  <w:r>
                    <w:rPr>
                      <w:sz w:val="18"/>
                      <w:szCs w:val="18"/>
                      <w:vertAlign w:val="superscript"/>
                    </w:rPr>
                    <w:t>3</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restart"/>
                  <w:vAlign w:val="center"/>
                </w:tcPr>
                <w:p>
                  <w:pPr>
                    <w:widowControl/>
                    <w:adjustRightInd w:val="0"/>
                    <w:snapToGrid w:val="0"/>
                    <w:jc w:val="center"/>
                    <w:rPr>
                      <w:sz w:val="18"/>
                      <w:szCs w:val="18"/>
                      <w:lang w:bidi="ar"/>
                    </w:rPr>
                  </w:pPr>
                  <w:r>
                    <w:rPr>
                      <w:sz w:val="18"/>
                      <w:szCs w:val="18"/>
                      <w:lang w:bidi="ar"/>
                    </w:rPr>
                    <w:t>治理设施设计与运行管理</w:t>
                  </w:r>
                </w:p>
              </w:tc>
              <w:tc>
                <w:tcPr>
                  <w:tcW w:w="2408" w:type="pct"/>
                  <w:vAlign w:val="center"/>
                </w:tcPr>
                <w:p>
                  <w:pPr>
                    <w:adjustRightInd w:val="0"/>
                    <w:snapToGrid w:val="0"/>
                    <w:rPr>
                      <w:sz w:val="18"/>
                      <w:szCs w:val="18"/>
                    </w:rPr>
                  </w:pPr>
                  <w:r>
                    <w:rPr>
                      <w:sz w:val="18"/>
                      <w:szCs w:val="18"/>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1739" w:type="pct"/>
                  <w:vAlign w:val="center"/>
                </w:tcPr>
                <w:p>
                  <w:pPr>
                    <w:adjustRightInd w:val="0"/>
                    <w:snapToGrid w:val="0"/>
                    <w:rPr>
                      <w:sz w:val="18"/>
                      <w:szCs w:val="18"/>
                    </w:rPr>
                  </w:pPr>
                  <w:r>
                    <w:rPr>
                      <w:sz w:val="18"/>
                      <w:szCs w:val="18"/>
                    </w:rPr>
                    <w:t>项目VOCs废气采用活性炭吸附法，活性炭装填量满足项目废气处理要求，活性炭定期更换</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rPr>
                  </w:pPr>
                  <w:r>
                    <w:rPr>
                      <w:sz w:val="18"/>
                      <w:szCs w:val="18"/>
                    </w:rPr>
                    <w:t>VOCs治理设施应与生产工艺设备同步运行，VOCs治理设施发生故障或检修时，对应的生产工艺设备应停止运行，待检修完毕后同步投入使用；生产工艺设备不能停止运行或不能及时停止运行的，应设置废气应急处理设施或采取其他替代措施。</w:t>
                  </w:r>
                </w:p>
              </w:tc>
              <w:tc>
                <w:tcPr>
                  <w:tcW w:w="1739" w:type="pct"/>
                  <w:vAlign w:val="center"/>
                </w:tcPr>
                <w:p>
                  <w:pPr>
                    <w:adjustRightInd w:val="0"/>
                    <w:snapToGrid w:val="0"/>
                    <w:rPr>
                      <w:sz w:val="18"/>
                      <w:szCs w:val="18"/>
                    </w:rPr>
                  </w:pPr>
                  <w:r>
                    <w:rPr>
                      <w:sz w:val="18"/>
                      <w:szCs w:val="18"/>
                    </w:rPr>
                    <w:t>项目VOCs治理设施与生产工艺设备同步运行，VOCs治理设施发生故障或检修时，对应的生产工艺设备停止运行，待检修完毕后同步投入使用</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rPr>
                  </w:pPr>
                  <w:r>
                    <w:rPr>
                      <w:sz w:val="18"/>
                      <w:szCs w:val="18"/>
                    </w:rPr>
                    <w:t>污染治理设施编号可为排污单位内部编号，若无内部编号，则根据《排污单位编码规则》（HJ 608）进行编号。有组织排放口编号应填写地方环境保护主管部门现有编号，或根据《排污单位编码规则》（HJ 608）进行编号。</w:t>
                  </w:r>
                </w:p>
              </w:tc>
              <w:tc>
                <w:tcPr>
                  <w:tcW w:w="1739" w:type="pct"/>
                  <w:vAlign w:val="center"/>
                </w:tcPr>
                <w:p>
                  <w:pPr>
                    <w:adjustRightInd w:val="0"/>
                    <w:snapToGrid w:val="0"/>
                    <w:rPr>
                      <w:sz w:val="18"/>
                      <w:szCs w:val="18"/>
                    </w:rPr>
                  </w:pPr>
                  <w:r>
                    <w:rPr>
                      <w:sz w:val="18"/>
                      <w:szCs w:val="18"/>
                    </w:rPr>
                    <w:t>项目污染治理设施编号根据《排污单位编码规则》（HJ 608）进行编号</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rPr>
                  </w:pPr>
                  <w:r>
                    <w:rPr>
                      <w:sz w:val="18"/>
                      <w:szCs w:val="18"/>
                    </w:rPr>
                    <w:t>设置规范的处理前后采样位置，采样位置应避开对测试人员操作有危险的场所，优先选择在垂直管段，避开烟道弯头和断面急剧变化的部位，应设置在距弯头、阀门、变径管下游方向不小于6倍直径，和距上述部件上游方向不小于3倍直径处。</w:t>
                  </w:r>
                </w:p>
              </w:tc>
              <w:tc>
                <w:tcPr>
                  <w:tcW w:w="1739" w:type="pct"/>
                  <w:vAlign w:val="center"/>
                </w:tcPr>
                <w:p>
                  <w:pPr>
                    <w:adjustRightInd w:val="0"/>
                    <w:snapToGrid w:val="0"/>
                    <w:rPr>
                      <w:sz w:val="18"/>
                      <w:szCs w:val="18"/>
                    </w:rPr>
                  </w:pPr>
                  <w:r>
                    <w:rPr>
                      <w:sz w:val="18"/>
                      <w:szCs w:val="18"/>
                    </w:rPr>
                    <w:t>项目设置规范的处理前后采样位置</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rPr>
                  </w:pPr>
                  <w:r>
                    <w:rPr>
                      <w:sz w:val="18"/>
                      <w:szCs w:val="18"/>
                    </w:rPr>
                    <w:t>废气排气筒应按照《广东省污染源排污口规范化设置导则》(粤环〔2008〕42号)相关规定，设置与排污口相应的环境保护图形标志牌。</w:t>
                  </w:r>
                </w:p>
              </w:tc>
              <w:tc>
                <w:tcPr>
                  <w:tcW w:w="1739" w:type="pct"/>
                  <w:vAlign w:val="center"/>
                </w:tcPr>
                <w:p>
                  <w:pPr>
                    <w:adjustRightInd w:val="0"/>
                    <w:snapToGrid w:val="0"/>
                    <w:rPr>
                      <w:sz w:val="18"/>
                      <w:szCs w:val="18"/>
                    </w:rPr>
                  </w:pPr>
                  <w:r>
                    <w:rPr>
                      <w:sz w:val="18"/>
                      <w:szCs w:val="18"/>
                    </w:rPr>
                    <w:t>项目废气排气筒设置与排污口相应的环境保护图形标志牌</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000" w:type="pct"/>
                  <w:gridSpan w:val="4"/>
                  <w:shd w:val="clear" w:color="auto" w:fill="D8D8D8"/>
                  <w:vAlign w:val="center"/>
                </w:tcPr>
                <w:p>
                  <w:pPr>
                    <w:adjustRightInd w:val="0"/>
                    <w:snapToGrid w:val="0"/>
                    <w:jc w:val="center"/>
                    <w:rPr>
                      <w:sz w:val="18"/>
                      <w:szCs w:val="18"/>
                    </w:rPr>
                  </w:pPr>
                  <w:r>
                    <w:rPr>
                      <w:b/>
                      <w:bCs/>
                      <w:sz w:val="18"/>
                      <w:szCs w:val="18"/>
                    </w:rPr>
                    <w:t>环境管理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485" w:type="pct"/>
                  <w:vMerge w:val="restart"/>
                  <w:vAlign w:val="center"/>
                </w:tcPr>
                <w:p>
                  <w:pPr>
                    <w:widowControl/>
                    <w:adjustRightInd w:val="0"/>
                    <w:snapToGrid w:val="0"/>
                    <w:jc w:val="center"/>
                    <w:rPr>
                      <w:sz w:val="18"/>
                      <w:szCs w:val="18"/>
                      <w:lang w:bidi="ar"/>
                    </w:rPr>
                  </w:pPr>
                  <w:r>
                    <w:rPr>
                      <w:sz w:val="18"/>
                      <w:szCs w:val="18"/>
                      <w:lang w:bidi="ar"/>
                    </w:rPr>
                    <w:t>管理台账</w:t>
                  </w:r>
                </w:p>
              </w:tc>
              <w:tc>
                <w:tcPr>
                  <w:tcW w:w="2408" w:type="pct"/>
                  <w:vAlign w:val="center"/>
                </w:tcPr>
                <w:p>
                  <w:pPr>
                    <w:adjustRightInd w:val="0"/>
                    <w:snapToGrid w:val="0"/>
                    <w:rPr>
                      <w:sz w:val="18"/>
                      <w:szCs w:val="18"/>
                    </w:rPr>
                  </w:pPr>
                  <w:r>
                    <w:rPr>
                      <w:sz w:val="18"/>
                      <w:szCs w:val="18"/>
                    </w:rPr>
                    <w:t>建立含VOCs原辅材料台账，记录含VOCs原辅材料的名称及其VOCs含量、采购量、使用量、库存量、含VOCs原辅材料回收方式及回收量。</w:t>
                  </w:r>
                </w:p>
              </w:tc>
              <w:tc>
                <w:tcPr>
                  <w:tcW w:w="1739" w:type="pct"/>
                  <w:vAlign w:val="center"/>
                </w:tcPr>
                <w:p>
                  <w:pPr>
                    <w:adjustRightInd w:val="0"/>
                    <w:snapToGrid w:val="0"/>
                    <w:rPr>
                      <w:sz w:val="18"/>
                      <w:szCs w:val="18"/>
                    </w:rPr>
                  </w:pPr>
                  <w:r>
                    <w:rPr>
                      <w:sz w:val="18"/>
                      <w:szCs w:val="18"/>
                    </w:rPr>
                    <w:t>项目运营期按要求建立含VOCs原辅材料台账，记录含VOCs原辅材料的名称及其VOCs含量、采购量、使用量、库存量、含VOCs原辅材料回收方式及回收量</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rPr>
                  </w:pPr>
                  <w:r>
                    <w:rPr>
                      <w:sz w:val="18"/>
                      <w:szCs w:val="18"/>
                    </w:rPr>
                    <w:t>建立废气收集处理设施台账，记录废气处理设施进出口的监测数据（废气量、浓度、温度、含氧量等）、废气收集与处理设施关键参数、废气处理设施相关耗材（吸收剂、吸附剂、催化剂等）购买和处理记录。</w:t>
                  </w:r>
                </w:p>
              </w:tc>
              <w:tc>
                <w:tcPr>
                  <w:tcW w:w="1739" w:type="pct"/>
                  <w:vAlign w:val="center"/>
                </w:tcPr>
                <w:p>
                  <w:pPr>
                    <w:adjustRightInd w:val="0"/>
                    <w:snapToGrid w:val="0"/>
                    <w:rPr>
                      <w:sz w:val="18"/>
                      <w:szCs w:val="18"/>
                    </w:rPr>
                  </w:pPr>
                  <w:r>
                    <w:rPr>
                      <w:sz w:val="18"/>
                      <w:szCs w:val="18"/>
                    </w:rPr>
                    <w:t>项目运营期按要求立废气收集处理设施台账，记录废气处理设施进出口的监测数据（废气量、浓度、温度等）、废气收集与处理设施关键参数、废气处理设施相关耗材（吸附剂）购买和处理记录</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rPr>
                  </w:pPr>
                  <w:r>
                    <w:rPr>
                      <w:sz w:val="18"/>
                      <w:szCs w:val="18"/>
                    </w:rPr>
                    <w:t>建立危废台账，整理危废处置合同、转移联单及危废处理方资质佐证材料。</w:t>
                  </w:r>
                </w:p>
              </w:tc>
              <w:tc>
                <w:tcPr>
                  <w:tcW w:w="1739" w:type="pct"/>
                  <w:vAlign w:val="center"/>
                </w:tcPr>
                <w:p>
                  <w:pPr>
                    <w:adjustRightInd w:val="0"/>
                    <w:snapToGrid w:val="0"/>
                    <w:rPr>
                      <w:sz w:val="18"/>
                      <w:szCs w:val="18"/>
                    </w:rPr>
                  </w:pPr>
                  <w:r>
                    <w:rPr>
                      <w:sz w:val="18"/>
                      <w:szCs w:val="18"/>
                    </w:rPr>
                    <w:t>项目运营期按要求建立危废台账，整理危废处置合同、转移联单及危废处理方资质佐证材料</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rPr>
                  </w:pPr>
                  <w:r>
                    <w:rPr>
                      <w:sz w:val="18"/>
                      <w:szCs w:val="18"/>
                    </w:rPr>
                    <w:t>台账保存期限不少于3年。</w:t>
                  </w:r>
                </w:p>
              </w:tc>
              <w:tc>
                <w:tcPr>
                  <w:tcW w:w="1739" w:type="pct"/>
                  <w:vAlign w:val="center"/>
                </w:tcPr>
                <w:p>
                  <w:pPr>
                    <w:adjustRightInd w:val="0"/>
                    <w:snapToGrid w:val="0"/>
                    <w:rPr>
                      <w:sz w:val="18"/>
                      <w:szCs w:val="18"/>
                    </w:rPr>
                  </w:pPr>
                  <w:r>
                    <w:rPr>
                      <w:sz w:val="18"/>
                      <w:szCs w:val="18"/>
                    </w:rPr>
                    <w:t>项目运营期按要求台账保存期限不少于3年</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restart"/>
                  <w:vAlign w:val="center"/>
                </w:tcPr>
                <w:p>
                  <w:pPr>
                    <w:widowControl/>
                    <w:adjustRightInd w:val="0"/>
                    <w:snapToGrid w:val="0"/>
                    <w:jc w:val="center"/>
                    <w:rPr>
                      <w:sz w:val="18"/>
                      <w:szCs w:val="18"/>
                      <w:lang w:bidi="ar"/>
                    </w:rPr>
                  </w:pPr>
                  <w:r>
                    <w:rPr>
                      <w:sz w:val="18"/>
                      <w:szCs w:val="18"/>
                      <w:lang w:bidi="ar"/>
                    </w:rPr>
                    <w:t>自行监测</w:t>
                  </w:r>
                </w:p>
              </w:tc>
              <w:tc>
                <w:tcPr>
                  <w:tcW w:w="2408" w:type="pct"/>
                  <w:vAlign w:val="center"/>
                </w:tcPr>
                <w:p>
                  <w:pPr>
                    <w:adjustRightInd w:val="0"/>
                    <w:snapToGrid w:val="0"/>
                    <w:rPr>
                      <w:sz w:val="18"/>
                      <w:szCs w:val="18"/>
                    </w:rPr>
                  </w:pPr>
                  <w:r>
                    <w:rPr>
                      <w:sz w:val="18"/>
                      <w:szCs w:val="18"/>
                      <w:lang w:bidi="ar"/>
                    </w:rPr>
                    <w:t>粉末涂料固化成膜设施废气重点排污单位主要排放口至少每季度监测一次挥发性有机物，一般排放口至少每半年监测一次挥发性有机物，非重点排污单位至少每年监测一次挥发性有机物。</w:t>
                  </w:r>
                </w:p>
              </w:tc>
              <w:tc>
                <w:tcPr>
                  <w:tcW w:w="1739" w:type="pct"/>
                  <w:vMerge w:val="restart"/>
                  <w:vAlign w:val="center"/>
                </w:tcPr>
                <w:p>
                  <w:pPr>
                    <w:adjustRightInd w:val="0"/>
                    <w:snapToGrid w:val="0"/>
                    <w:rPr>
                      <w:sz w:val="18"/>
                      <w:szCs w:val="18"/>
                    </w:rPr>
                  </w:pPr>
                  <w:r>
                    <w:rPr>
                      <w:sz w:val="18"/>
                      <w:szCs w:val="18"/>
                      <w:lang w:bidi="ar"/>
                    </w:rPr>
                    <w:t>项目属于非重点排污单位，粉末喷涂固化成膜设施废气排放口每年监测一次，厂界无组织排放每半年监测一次，涂装工段旁无组织废气挥发性有机物每季度监测一次。</w:t>
                  </w:r>
                </w:p>
              </w:tc>
              <w:tc>
                <w:tcPr>
                  <w:tcW w:w="366" w:type="pct"/>
                  <w:vMerge w:val="restar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lang w:bidi="ar"/>
                    </w:rPr>
                  </w:pPr>
                  <w:r>
                    <w:rPr>
                      <w:sz w:val="18"/>
                      <w:szCs w:val="18"/>
                      <w:lang w:bidi="ar"/>
                    </w:rPr>
                    <w:t>厂界无组织废气至少每半年监测一次挥发性有机物。</w:t>
                  </w:r>
                </w:p>
              </w:tc>
              <w:tc>
                <w:tcPr>
                  <w:tcW w:w="1739" w:type="pct"/>
                  <w:vMerge w:val="continue"/>
                  <w:vAlign w:val="center"/>
                </w:tcPr>
                <w:p>
                  <w:pPr>
                    <w:adjustRightInd w:val="0"/>
                    <w:snapToGrid w:val="0"/>
                    <w:rPr>
                      <w:sz w:val="18"/>
                      <w:szCs w:val="18"/>
                    </w:rPr>
                  </w:pPr>
                </w:p>
              </w:tc>
              <w:tc>
                <w:tcPr>
                  <w:tcW w:w="366" w:type="pct"/>
                  <w:vMerge w:val="continue"/>
                  <w:vAlign w:val="center"/>
                </w:tcPr>
                <w:p>
                  <w:pPr>
                    <w:adjustRightInd w:val="0"/>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1" w:hRule="atLeast"/>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lang w:bidi="ar"/>
                    </w:rPr>
                  </w:pPr>
                  <w:r>
                    <w:rPr>
                      <w:sz w:val="18"/>
                      <w:szCs w:val="18"/>
                      <w:lang w:bidi="ar"/>
                    </w:rPr>
                    <w:t>涂装工段旁无组织废气至少每季度监测一次挥发性有机物。</w:t>
                  </w:r>
                </w:p>
              </w:tc>
              <w:tc>
                <w:tcPr>
                  <w:tcW w:w="1739" w:type="pct"/>
                  <w:vMerge w:val="continue"/>
                  <w:vAlign w:val="center"/>
                </w:tcPr>
                <w:p>
                  <w:pPr>
                    <w:adjustRightInd w:val="0"/>
                    <w:snapToGrid w:val="0"/>
                    <w:rPr>
                      <w:sz w:val="18"/>
                      <w:szCs w:val="18"/>
                    </w:rPr>
                  </w:pPr>
                </w:p>
              </w:tc>
              <w:tc>
                <w:tcPr>
                  <w:tcW w:w="366" w:type="pct"/>
                  <w:vMerge w:val="continue"/>
                  <w:vAlign w:val="center"/>
                </w:tcPr>
                <w:p>
                  <w:pPr>
                    <w:adjustRightInd w:val="0"/>
                    <w:snapToGrid w:val="0"/>
                    <w:jc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Align w:val="center"/>
                </w:tcPr>
                <w:p>
                  <w:pPr>
                    <w:widowControl/>
                    <w:adjustRightInd w:val="0"/>
                    <w:snapToGrid w:val="0"/>
                    <w:jc w:val="center"/>
                    <w:rPr>
                      <w:sz w:val="18"/>
                      <w:szCs w:val="18"/>
                      <w:lang w:bidi="ar"/>
                    </w:rPr>
                  </w:pPr>
                  <w:r>
                    <w:rPr>
                      <w:sz w:val="18"/>
                      <w:szCs w:val="18"/>
                      <w:lang w:bidi="ar"/>
                    </w:rPr>
                    <w:t>危废管理</w:t>
                  </w:r>
                </w:p>
              </w:tc>
              <w:tc>
                <w:tcPr>
                  <w:tcW w:w="2408" w:type="pct"/>
                  <w:vAlign w:val="center"/>
                </w:tcPr>
                <w:p>
                  <w:pPr>
                    <w:adjustRightInd w:val="0"/>
                    <w:snapToGrid w:val="0"/>
                    <w:rPr>
                      <w:sz w:val="18"/>
                      <w:szCs w:val="18"/>
                    </w:rPr>
                  </w:pPr>
                  <w:r>
                    <w:rPr>
                      <w:sz w:val="18"/>
                      <w:szCs w:val="18"/>
                    </w:rPr>
                    <w:t>工艺过程产生的含VOCs废料（渣、液）应按照相关要求进行储存、转移和输送。盛装过VOCs物料的废包装容器应加盖密闭。</w:t>
                  </w:r>
                </w:p>
              </w:tc>
              <w:tc>
                <w:tcPr>
                  <w:tcW w:w="1739" w:type="pct"/>
                  <w:vAlign w:val="center"/>
                </w:tcPr>
                <w:p>
                  <w:pPr>
                    <w:adjustRightInd w:val="0"/>
                    <w:snapToGrid w:val="0"/>
                    <w:rPr>
                      <w:sz w:val="18"/>
                      <w:szCs w:val="18"/>
                    </w:rPr>
                  </w:pPr>
                  <w:r>
                    <w:rPr>
                      <w:sz w:val="18"/>
                      <w:szCs w:val="18"/>
                    </w:rPr>
                    <w:t>项目工艺过程产生的含VOCs废活性炭按照相关要求进行储存、转移和输送。</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5000" w:type="pct"/>
                  <w:gridSpan w:val="4"/>
                  <w:shd w:val="clear" w:color="auto" w:fill="D8D8D8"/>
                  <w:vAlign w:val="center"/>
                </w:tcPr>
                <w:p>
                  <w:pPr>
                    <w:adjustRightInd w:val="0"/>
                    <w:snapToGrid w:val="0"/>
                    <w:jc w:val="center"/>
                    <w:rPr>
                      <w:b/>
                      <w:bCs/>
                      <w:sz w:val="18"/>
                      <w:szCs w:val="18"/>
                    </w:rPr>
                  </w:pPr>
                  <w:r>
                    <w:rPr>
                      <w:b/>
                      <w:bCs/>
                      <w:sz w:val="18"/>
                      <w:szCs w:val="18"/>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restart"/>
                  <w:vAlign w:val="center"/>
                </w:tcPr>
                <w:p>
                  <w:pPr>
                    <w:widowControl/>
                    <w:adjustRightInd w:val="0"/>
                    <w:snapToGrid w:val="0"/>
                    <w:jc w:val="center"/>
                    <w:rPr>
                      <w:sz w:val="18"/>
                      <w:szCs w:val="18"/>
                      <w:lang w:bidi="ar"/>
                    </w:rPr>
                  </w:pPr>
                  <w:r>
                    <w:rPr>
                      <w:sz w:val="18"/>
                      <w:szCs w:val="18"/>
                      <w:lang w:bidi="ar"/>
                    </w:rPr>
                    <w:t>建设项目VOCs总量管理</w:t>
                  </w:r>
                </w:p>
              </w:tc>
              <w:tc>
                <w:tcPr>
                  <w:tcW w:w="2408" w:type="pct"/>
                  <w:vAlign w:val="center"/>
                </w:tcPr>
                <w:p>
                  <w:pPr>
                    <w:adjustRightInd w:val="0"/>
                    <w:snapToGrid w:val="0"/>
                    <w:rPr>
                      <w:sz w:val="18"/>
                      <w:szCs w:val="18"/>
                    </w:rPr>
                  </w:pPr>
                  <w:r>
                    <w:rPr>
                      <w:sz w:val="18"/>
                      <w:szCs w:val="18"/>
                    </w:rPr>
                    <w:t>新、改、扩建项目应执行总量替代制度，明确VOCs总量指标来源。</w:t>
                  </w:r>
                </w:p>
              </w:tc>
              <w:tc>
                <w:tcPr>
                  <w:tcW w:w="1739" w:type="pct"/>
                  <w:vAlign w:val="center"/>
                </w:tcPr>
                <w:p>
                  <w:pPr>
                    <w:adjustRightInd w:val="0"/>
                    <w:snapToGrid w:val="0"/>
                    <w:rPr>
                      <w:sz w:val="18"/>
                      <w:szCs w:val="18"/>
                    </w:rPr>
                  </w:pPr>
                  <w:r>
                    <w:rPr>
                      <w:sz w:val="18"/>
                      <w:szCs w:val="18"/>
                    </w:rPr>
                    <w:t>本项目VOCs总量由惠州市生态环境局博罗分局分配</w:t>
                  </w:r>
                </w:p>
              </w:tc>
              <w:tc>
                <w:tcPr>
                  <w:tcW w:w="366" w:type="pct"/>
                  <w:vAlign w:val="center"/>
                </w:tcPr>
                <w:p>
                  <w:pPr>
                    <w:adjustRightInd w:val="0"/>
                    <w:snapToGrid w:val="0"/>
                    <w:jc w:val="center"/>
                    <w:rPr>
                      <w:sz w:val="18"/>
                      <w:szCs w:val="18"/>
                    </w:rPr>
                  </w:pPr>
                  <w:r>
                    <w:rPr>
                      <w:sz w:val="18"/>
                      <w:szCs w:val="18"/>
                    </w:rPr>
                    <w:t>符合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85" w:type="pct"/>
                  <w:vMerge w:val="continue"/>
                  <w:vAlign w:val="center"/>
                </w:tcPr>
                <w:p>
                  <w:pPr>
                    <w:widowControl/>
                    <w:adjustRightInd w:val="0"/>
                    <w:snapToGrid w:val="0"/>
                    <w:jc w:val="center"/>
                    <w:rPr>
                      <w:sz w:val="18"/>
                      <w:szCs w:val="18"/>
                      <w:lang w:bidi="ar"/>
                    </w:rPr>
                  </w:pPr>
                </w:p>
              </w:tc>
              <w:tc>
                <w:tcPr>
                  <w:tcW w:w="2408" w:type="pct"/>
                  <w:vAlign w:val="center"/>
                </w:tcPr>
                <w:p>
                  <w:pPr>
                    <w:adjustRightInd w:val="0"/>
                    <w:snapToGrid w:val="0"/>
                    <w:rPr>
                      <w:sz w:val="18"/>
                      <w:szCs w:val="18"/>
                    </w:rPr>
                  </w:pPr>
                  <w:r>
                    <w:rPr>
                      <w:sz w:val="18"/>
                      <w:szCs w:val="18"/>
                    </w:rPr>
                    <w:t>新、改、扩建项目和现有企业VOCs基准排放量计算参考《广东省重点行业挥发性有机物排放量计算方法核算》进行核算，若国家和我省出台适用于该行业的VOCs排放量计算方法，则参照其相关规定执行。</w:t>
                  </w:r>
                </w:p>
              </w:tc>
              <w:tc>
                <w:tcPr>
                  <w:tcW w:w="1739" w:type="pct"/>
                  <w:vAlign w:val="center"/>
                </w:tcPr>
                <w:p>
                  <w:pPr>
                    <w:adjustRightInd w:val="0"/>
                    <w:snapToGrid w:val="0"/>
                    <w:rPr>
                      <w:sz w:val="18"/>
                      <w:szCs w:val="18"/>
                    </w:rPr>
                  </w:pPr>
                  <w:r>
                    <w:rPr>
                      <w:sz w:val="18"/>
                      <w:szCs w:val="18"/>
                    </w:rPr>
                    <w:t>《广东省重点行业挥发性有机物排放量计算方法核算》中无粉末涂料相关核算方法，本项目VOCs基准排放量计算参考《排放源统计调查产排污核算方法和系数手册》（生态环境部公告2021年第24号）</w:t>
                  </w:r>
                </w:p>
              </w:tc>
              <w:tc>
                <w:tcPr>
                  <w:tcW w:w="366" w:type="pct"/>
                  <w:vAlign w:val="center"/>
                </w:tcPr>
                <w:p>
                  <w:pPr>
                    <w:adjustRightInd w:val="0"/>
                    <w:snapToGrid w:val="0"/>
                    <w:jc w:val="center"/>
                    <w:rPr>
                      <w:sz w:val="18"/>
                      <w:szCs w:val="18"/>
                    </w:rPr>
                  </w:pPr>
                  <w:r>
                    <w:rPr>
                      <w:sz w:val="18"/>
                      <w:szCs w:val="18"/>
                    </w:rPr>
                    <w:t>符合</w:t>
                  </w:r>
                </w:p>
              </w:tc>
            </w:tr>
          </w:tbl>
          <w:p>
            <w:pPr>
              <w:pStyle w:val="938"/>
              <w:spacing w:before="120" w:beforeLines="50" w:line="360" w:lineRule="auto"/>
              <w:ind w:firstLine="422"/>
              <w:rPr>
                <w:rFonts w:cs="Times New Roman"/>
                <w:b/>
                <w:lang w:eastAsia="zh-CN"/>
              </w:rPr>
            </w:pPr>
            <w:r>
              <w:rPr>
                <w:rFonts w:cs="Times New Roman"/>
                <w:b/>
                <w:lang w:eastAsia="zh-CN"/>
              </w:rPr>
              <w:t>10、与《广东省大气污染防治条例》的相符性分析</w:t>
            </w:r>
          </w:p>
          <w:p>
            <w:pPr>
              <w:pStyle w:val="938"/>
              <w:spacing w:line="360" w:lineRule="auto"/>
              <w:ind w:firstLine="420"/>
              <w:rPr>
                <w:rFonts w:cs="Times New Roman"/>
                <w:lang w:eastAsia="zh-CN"/>
              </w:rPr>
            </w:pPr>
            <w:r>
              <w:rPr>
                <w:rFonts w:cs="Times New Roman"/>
                <w:lang w:eastAsia="zh-CN"/>
              </w:rPr>
              <w:t>以下内容引用自《广东省大气污染防治条例》</w:t>
            </w:r>
          </w:p>
          <w:p>
            <w:pPr>
              <w:pStyle w:val="938"/>
              <w:spacing w:line="360" w:lineRule="auto"/>
              <w:ind w:firstLine="420"/>
              <w:rPr>
                <w:rFonts w:cs="Times New Roman"/>
                <w:lang w:eastAsia="zh-CN"/>
              </w:rPr>
            </w:pPr>
            <w:r>
              <w:rPr>
                <w:rFonts w:cs="Times New Roman"/>
                <w:lang w:eastAsia="zh-CN"/>
              </w:rPr>
              <w:t>第二十条 地级以上市人民政府应当组织编制区域供热规划，建设和完善供热系统，对具备条件的工业园区、产业园区、开发区的用热单位实行集中供热，并逐步扩大供热管网覆盖范围。</w:t>
            </w:r>
          </w:p>
          <w:p>
            <w:pPr>
              <w:pStyle w:val="938"/>
              <w:spacing w:line="360" w:lineRule="auto"/>
              <w:ind w:firstLine="420"/>
              <w:rPr>
                <w:rFonts w:cs="Times New Roman"/>
                <w:lang w:eastAsia="zh-CN"/>
              </w:rPr>
            </w:pPr>
            <w:r>
              <w:rPr>
                <w:rFonts w:cs="Times New Roman"/>
                <w:lang w:eastAsia="zh-CN"/>
              </w:rPr>
              <w:t>在集中供热管网覆盖范围内，禁止新建、扩建燃用煤炭、重油、渣油、生物质等分散供热锅炉；已建成的不能达标排放的供热锅炉应当在县级以上人民政府规定的期限内拆除。</w:t>
            </w:r>
          </w:p>
          <w:p>
            <w:pPr>
              <w:pStyle w:val="938"/>
              <w:spacing w:line="360" w:lineRule="auto"/>
              <w:ind w:firstLine="420"/>
              <w:rPr>
                <w:rFonts w:cs="Times New Roman"/>
                <w:lang w:eastAsia="zh-CN"/>
              </w:rPr>
            </w:pPr>
            <w:r>
              <w:rPr>
                <w:rFonts w:cs="Times New Roman"/>
                <w:lang w:eastAsia="zh-CN"/>
              </w:rPr>
              <w:t>第二十六条 新建、改建、扩建排放挥发性有机物的建设项目，应当使用污染防治先进可行技术。</w:t>
            </w:r>
          </w:p>
          <w:p>
            <w:pPr>
              <w:pStyle w:val="938"/>
              <w:spacing w:line="360" w:lineRule="auto"/>
              <w:ind w:firstLine="420"/>
              <w:rPr>
                <w:rFonts w:cs="Times New Roman"/>
                <w:lang w:eastAsia="zh-CN"/>
              </w:rPr>
            </w:pPr>
            <w:r>
              <w:rPr>
                <w:rFonts w:cs="Times New Roman"/>
                <w:lang w:eastAsia="zh-CN"/>
              </w:rPr>
              <w:t>本项目所在区域尚未实行集中供热，排放的挥发性有机物配备了有效的收集治理设施，因此本项目与《广东省大气污染防治条例》相符。</w:t>
            </w:r>
          </w:p>
          <w:p>
            <w:pPr>
              <w:pStyle w:val="938"/>
              <w:spacing w:before="120" w:beforeLines="50" w:line="360" w:lineRule="auto"/>
              <w:ind w:firstLine="422"/>
              <w:rPr>
                <w:rFonts w:cs="Times New Roman"/>
                <w:b/>
                <w:lang w:eastAsia="zh-CN"/>
              </w:rPr>
            </w:pPr>
            <w:r>
              <w:rPr>
                <w:rFonts w:hint="eastAsia" w:cs="Times New Roman"/>
                <w:b/>
                <w:lang w:eastAsia="zh-CN"/>
              </w:rPr>
              <w:t>11、与《关于贯彻落实生态环境部&lt;关于加强高耗能、高排放建设项目生态环境源头防控的指导意见&gt;的通知》（粤环函[2021]392号）相符性的分析</w:t>
            </w:r>
          </w:p>
          <w:p>
            <w:pPr>
              <w:pStyle w:val="938"/>
              <w:spacing w:line="360" w:lineRule="auto"/>
              <w:ind w:firstLine="420"/>
              <w:rPr>
                <w:rFonts w:cs="Times New Roman"/>
                <w:lang w:eastAsia="zh-CN"/>
              </w:rPr>
            </w:pPr>
            <w:r>
              <w:rPr>
                <w:rFonts w:hint="eastAsia" w:cs="Times New Roman"/>
                <w:lang w:eastAsia="zh-CN"/>
              </w:rPr>
              <w:t>一、强化“三线一单”和规划环评约束</w:t>
            </w:r>
          </w:p>
          <w:p>
            <w:pPr>
              <w:pStyle w:val="938"/>
              <w:spacing w:line="360" w:lineRule="auto"/>
              <w:ind w:firstLine="420"/>
              <w:rPr>
                <w:rFonts w:cs="Times New Roman"/>
                <w:lang w:eastAsia="zh-CN"/>
              </w:rPr>
            </w:pPr>
            <w:r>
              <w:rPr>
                <w:rFonts w:hint="eastAsia" w:cs="Times New Roman"/>
                <w:lang w:eastAsia="zh-CN"/>
              </w:rPr>
              <w:t>各地在发布实施市级“三线一单”生态环境分区管控方案及后续更新调整时，应在生态环境准入清单中进一步深化“两高”项目环境准入及管控要求，并推进有关成果在“两高”行业产业布局、结构调整及重大项目选址中的应用。各级生态环境主管部门应组织严格审查涉“两高”行业的有关综合性规划和工业、能源等专项规划环评。惠州、湛江、茂名、揭阳市生态环境局要指导惠州大亚湾石化园区、湛江市东海岛石化产业园、茂名高新技术产业开发区、揭阳大南海石化工业区在修编规划时，严格控制石化、化工行业发展规模，优化规划布局、产业结构与实施时序，并依法开展规划修编环评（包含对原规划实施的环境影响跟踪评价相关内容）。</w:t>
            </w:r>
          </w:p>
          <w:p>
            <w:pPr>
              <w:pStyle w:val="938"/>
              <w:numPr>
                <w:ilvl w:val="0"/>
                <w:numId w:val="13"/>
              </w:numPr>
              <w:spacing w:line="360" w:lineRule="auto"/>
              <w:ind w:firstLine="420"/>
              <w:rPr>
                <w:rFonts w:cs="Times New Roman"/>
                <w:lang w:eastAsia="zh-CN"/>
              </w:rPr>
            </w:pPr>
            <w:r>
              <w:rPr>
                <w:rFonts w:hint="eastAsia" w:cs="Times New Roman"/>
                <w:lang w:eastAsia="zh-CN"/>
              </w:rPr>
              <w:t>严格“两高”项目环评审批</w:t>
            </w:r>
          </w:p>
          <w:p>
            <w:pPr>
              <w:pStyle w:val="938"/>
              <w:spacing w:line="360" w:lineRule="auto"/>
              <w:ind w:firstLine="420"/>
              <w:rPr>
                <w:rFonts w:cs="Times New Roman"/>
                <w:lang w:eastAsia="zh-CN"/>
              </w:rPr>
            </w:pPr>
            <w:r>
              <w:rPr>
                <w:rFonts w:hint="eastAsia" w:cs="Times New Roman"/>
                <w:lang w:eastAsia="zh-CN"/>
              </w:rPr>
              <w:t>各级生态环境主管部门要严格依法依规审批新建、改建、扩建“两高”项目环评，对不符合生态环境保护法律法规和相关法定规划，不满足重点污染物排放总量控制、碳排放达峰目标、生态环境准入清单、相关规划环评和相应建设项目环境准入条件、环评文件审批原则要求的项目，依法不予批准。纳入《广东省实行环境影响评价重点管理的建设项目名录》的“两高”项目，应按照有关规定，严格落实环评管理要求，不得随意简化环评编制内容。石化、煤电、现代煤化工项目应纳入国家产业规划，新建、扩建的石化、化工、焦化、有色金属冶炼、平板玻璃等项目应在依法合规设立并经规划环评的产业园区内布设。严格落实“两高”项目区域削减措施的监督管理，新增主要污染物排放的“两高”项目应依据区域环境质量改善目标，实行重点污染物倍量或等量削减。石化等重点行业项目需按生态环境部办公厅《关于加强重点行业建设项目区域削减措施监督管理的通知》（环办环评〔2020〕36号）的要求，制定配套区域污染物削减方案，采取有效的污染物区域削减措施，腾出足够环境容量。</w:t>
            </w:r>
          </w:p>
          <w:p>
            <w:pPr>
              <w:pStyle w:val="938"/>
              <w:numPr>
                <w:ilvl w:val="0"/>
                <w:numId w:val="13"/>
              </w:numPr>
              <w:spacing w:line="360" w:lineRule="auto"/>
              <w:ind w:firstLine="420"/>
              <w:rPr>
                <w:rFonts w:cs="Times New Roman"/>
                <w:lang w:eastAsia="zh-CN"/>
              </w:rPr>
            </w:pPr>
            <w:r>
              <w:rPr>
                <w:rFonts w:hint="eastAsia" w:cs="Times New Roman"/>
                <w:lang w:eastAsia="zh-CN"/>
              </w:rPr>
              <w:t>推进“两高”行业减污降碳协同控制</w:t>
            </w:r>
          </w:p>
          <w:p>
            <w:pPr>
              <w:pStyle w:val="938"/>
              <w:spacing w:line="360" w:lineRule="auto"/>
              <w:ind w:firstLine="420"/>
              <w:rPr>
                <w:rFonts w:cs="Times New Roman"/>
                <w:lang w:eastAsia="zh-CN"/>
              </w:rPr>
            </w:pPr>
            <w:r>
              <w:rPr>
                <w:rFonts w:hint="eastAsia" w:cs="Times New Roman"/>
                <w:lang w:eastAsia="zh-CN"/>
              </w:rPr>
              <w:t>各级生态环境主管部门要充分发挥环境影响评价制度的源头控制作用，推动实现减污降碳协同效应。指导以“两高”行业为主导产业的产业园区在规划环评中增加碳排放情况与减排潜力分析内容。积极推进“两高”项目开展碳排放环境影响评价试点工作，衔接落实有关区域和行业碳达峰行动方案、清洁能源替代、清洁运输、煤炭消费总量控制等政策要求，在环境影响评价工作中统筹开展污染物和碳排放的源项识别、源强核算、减污降碳可行性论证及方案比选，提出协同控制最优方案。湛江市生态环境局要加强对巴斯夫（广东）一体化项目一期工程开展碳排放环境影响评价试点工作的指导。深圳市生态环境局要支持依托华润电力海丰有限公司推动二氧化碳捕集利用封存（CCUS）示范工程建设、探索燃煤电厂建设百万吨级二氧化碳捕集利用封存示范项目的可行性。新建、扩建“两高”项目要对标清洁生产先进水平，采取严格的污染防治措施，减少污染物排放总量。按照国家、省有关规定，新建、扩建钢铁、煤电项目大气污染物排放要达到超低排放水平，石化、化工、有色金属冶炼、水泥项目执行大气污染物特别排放限值。</w:t>
            </w:r>
          </w:p>
          <w:p>
            <w:pPr>
              <w:pStyle w:val="938"/>
              <w:spacing w:line="360" w:lineRule="auto"/>
              <w:ind w:firstLine="420"/>
              <w:rPr>
                <w:rFonts w:cs="Times New Roman"/>
                <w:lang w:eastAsia="zh-CN"/>
              </w:rPr>
            </w:pPr>
            <w:r>
              <w:rPr>
                <w:rFonts w:hint="eastAsia" w:cs="Times New Roman"/>
                <w:lang w:eastAsia="zh-CN"/>
              </w:rPr>
              <w:t>四、强化“一证式”监管执法</w:t>
            </w:r>
          </w:p>
          <w:p>
            <w:pPr>
              <w:pStyle w:val="938"/>
              <w:spacing w:line="360" w:lineRule="auto"/>
              <w:ind w:firstLine="420"/>
              <w:rPr>
                <w:rFonts w:cs="Times New Roman"/>
                <w:lang w:eastAsia="zh-CN"/>
              </w:rPr>
            </w:pPr>
            <w:r>
              <w:rPr>
                <w:rFonts w:hint="eastAsia" w:cs="Times New Roman"/>
                <w:lang w:eastAsia="zh-CN"/>
              </w:rPr>
              <w:t>各地要严格“两高”企业排污许可证核发审查，加强现场核查，对不符合条件的依法不予许可。督促排污许可限期整改的“两高”企业加快完成整改任务，发现未按期完成整改、存在无证排污行为的，依法从严查处。按照生态环境部工作部署要求，开展排污许可证质量、执行报告提交情况全覆盖检查。将“两高”企业纳入“双随机、一公开”监管，加大对“两高”企业依证排污等情况的检查力度，督促持证单位落实排污许可证管理各项要求。组织开展排污许可专项执法，将“两高”企业纳入重点检查。</w:t>
            </w:r>
          </w:p>
          <w:p>
            <w:pPr>
              <w:pStyle w:val="938"/>
              <w:spacing w:line="360" w:lineRule="auto"/>
              <w:ind w:firstLine="420"/>
              <w:rPr>
                <w:rFonts w:cs="Times New Roman"/>
                <w:lang w:eastAsia="zh-CN"/>
              </w:rPr>
            </w:pPr>
            <w:r>
              <w:rPr>
                <w:rFonts w:hint="eastAsia" w:cs="Times New Roman"/>
                <w:lang w:eastAsia="zh-CN"/>
              </w:rPr>
              <w:t>五、加强“两高”项目环评监管     </w:t>
            </w:r>
          </w:p>
          <w:p>
            <w:pPr>
              <w:pStyle w:val="938"/>
              <w:spacing w:line="360" w:lineRule="auto"/>
              <w:ind w:firstLine="420"/>
              <w:rPr>
                <w:rFonts w:cs="Times New Roman"/>
                <w:lang w:eastAsia="zh-CN"/>
              </w:rPr>
            </w:pPr>
            <w:r>
              <w:rPr>
                <w:rFonts w:hint="eastAsia" w:cs="Times New Roman"/>
                <w:lang w:eastAsia="zh-CN"/>
              </w:rPr>
              <w:t>各地要建立“两高”项目管理台账（附件2），将自2021年起受理、审批环评文件及有关部门列入计划的“两高”项目纳入台账，定期进行统筹调度，分别于2021年6月30日、10月15日前报送我厅，后续每半年更新。我厅将组织对各市2021年以来批复的“两高”项目环评文件开展复核，并组织各地对已开工在建、已经投入生产或者使用的“两高”项目环评文件及批复要求落实情况开展核查，及时将核查发现的问题记入管理台账，并责令企业按要求整改。</w:t>
            </w:r>
          </w:p>
          <w:p>
            <w:pPr>
              <w:pStyle w:val="938"/>
              <w:spacing w:line="360" w:lineRule="auto"/>
              <w:ind w:firstLine="422"/>
              <w:rPr>
                <w:rFonts w:cs="Times New Roman"/>
                <w:lang w:eastAsia="zh-CN"/>
              </w:rPr>
            </w:pPr>
            <w:r>
              <w:rPr>
                <w:rFonts w:hint="eastAsia" w:cs="Times New Roman"/>
                <w:b/>
                <w:bCs/>
                <w:lang w:eastAsia="zh-CN"/>
              </w:rPr>
              <w:t>相符性分析：</w:t>
            </w:r>
            <w:r>
              <w:rPr>
                <w:rFonts w:hint="eastAsia" w:cs="Times New Roman"/>
                <w:lang w:eastAsia="zh-CN"/>
              </w:rPr>
              <w:t>根据《广东省发展改革委关于印发&lt;广东省坚决遏制“两高”项目盲目发展的实施方案&gt;的通知》（粤发改能源[2021]368号）通知附件中的规定，该实施方案所指“两高”行业是指煤电、石化、化工、钢铁、有色金属、建材、煤化工、焦化等8个行业。“两高”项目，是指“两高”行业生产高耗能高排放产品或具有高耗能高排放生产工序，年综合能源消费量1万吨标准煤以上的固定资产投资项目，后续国家对“两高”项目范围如有明确规定，从其规定。具体如下表：</w:t>
            </w:r>
          </w:p>
          <w:p>
            <w:pPr>
              <w:pStyle w:val="938"/>
              <w:spacing w:line="360" w:lineRule="auto"/>
              <w:ind w:firstLine="0" w:firstLineChars="0"/>
              <w:rPr>
                <w:rFonts w:cs="Times New Roman"/>
                <w:lang w:eastAsia="zh-CN"/>
              </w:rPr>
            </w:pPr>
            <w:r>
              <w:rPr>
                <w:rFonts w:ascii="宋体" w:hAnsi="宋体"/>
                <w:sz w:val="24"/>
                <w:szCs w:val="24"/>
                <w:lang w:eastAsia="zh-CN"/>
              </w:rPr>
              <w:drawing>
                <wp:inline distT="0" distB="0" distL="114300" distR="114300">
                  <wp:extent cx="5208905" cy="3990975"/>
                  <wp:effectExtent l="0" t="0" r="3175" b="1905"/>
                  <wp:docPr id="78"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3" descr="IMG_256"/>
                          <pic:cNvPicPr>
                            <a:picLocks noChangeAspect="1"/>
                          </pic:cNvPicPr>
                        </pic:nvPicPr>
                        <pic:blipFill>
                          <a:blip r:embed="rId9"/>
                          <a:stretch>
                            <a:fillRect/>
                          </a:stretch>
                        </pic:blipFill>
                        <pic:spPr>
                          <a:xfrm>
                            <a:off x="0" y="0"/>
                            <a:ext cx="5208905" cy="3990975"/>
                          </a:xfrm>
                          <a:prstGeom prst="rect">
                            <a:avLst/>
                          </a:prstGeom>
                          <a:noFill/>
                          <a:ln w="9525">
                            <a:noFill/>
                          </a:ln>
                        </pic:spPr>
                      </pic:pic>
                    </a:graphicData>
                  </a:graphic>
                </wp:inline>
              </w:drawing>
            </w:r>
          </w:p>
          <w:p>
            <w:pPr>
              <w:pStyle w:val="938"/>
              <w:spacing w:line="360" w:lineRule="auto"/>
              <w:ind w:firstLine="420"/>
              <w:rPr>
                <w:rFonts w:cs="Times New Roman"/>
                <w:lang w:eastAsia="zh-CN"/>
              </w:rPr>
            </w:pPr>
            <w:r>
              <w:rPr>
                <w:rFonts w:hint="eastAsia" w:cs="Times New Roman"/>
                <w:lang w:eastAsia="zh-CN"/>
              </w:rPr>
              <w:t>本项目属于C3312有色金属铸造，</w:t>
            </w:r>
            <w:r>
              <w:rPr>
                <w:rFonts w:hint="eastAsia"/>
                <w:bCs/>
                <w:kern w:val="44"/>
                <w:lang w:eastAsia="zh-CN"/>
              </w:rPr>
              <w:t>不属于通知中明确的</w:t>
            </w:r>
            <w:r>
              <w:rPr>
                <w:rFonts w:hint="eastAsia" w:ascii="宋体" w:hAnsi="宋体"/>
                <w:szCs w:val="21"/>
                <w:shd w:val="clear" w:color="auto" w:fill="FFFFFF"/>
                <w:lang w:eastAsia="zh-CN"/>
              </w:rPr>
              <w:t>“两高”行业，因此</w:t>
            </w:r>
            <w:r>
              <w:rPr>
                <w:rFonts w:cs="Times New Roman"/>
                <w:lang w:eastAsia="zh-CN"/>
              </w:rPr>
              <w:t>本项目与</w:t>
            </w:r>
            <w:r>
              <w:rPr>
                <w:rFonts w:hint="eastAsia" w:cs="Times New Roman"/>
                <w:lang w:eastAsia="zh-CN"/>
              </w:rPr>
              <w:t>上述通知要求</w:t>
            </w:r>
            <w:r>
              <w:rPr>
                <w:rFonts w:cs="Times New Roman"/>
                <w:lang w:eastAsia="zh-CN"/>
              </w:rPr>
              <w:t>相符。</w:t>
            </w:r>
          </w:p>
          <w:p>
            <w:pPr>
              <w:adjustRightInd w:val="0"/>
              <w:snapToGrid w:val="0"/>
              <w:spacing w:line="360" w:lineRule="auto"/>
              <w:ind w:firstLine="420" w:firstLineChars="200"/>
            </w:pPr>
            <w:r>
              <w:t>综上</w:t>
            </w:r>
            <w:r>
              <w:rPr>
                <w:rFonts w:hint="eastAsia"/>
              </w:rPr>
              <w:t>分析</w:t>
            </w:r>
            <w:r>
              <w:t>，本项目符合地方及国家产业政策的要求，符合土地利用规划，在确保项目各种环保及安全措施得到落实和正常运作的情况下，不会改变区域的环境功能现状。</w:t>
            </w:r>
          </w:p>
        </w:tc>
      </w:tr>
    </w:tbl>
    <w:p>
      <w:pPr>
        <w:rPr>
          <w:color w:val="000000" w:themeColor="text1"/>
          <w14:textFill>
            <w14:solidFill>
              <w14:schemeClr w14:val="tx1"/>
            </w14:solidFill>
          </w14:textFill>
        </w:rPr>
      </w:pPr>
    </w:p>
    <w:p>
      <w:pPr>
        <w:spacing w:before="240" w:beforeLines="100" w:after="240" w:afterLines="100"/>
        <w:jc w:val="center"/>
        <w:outlineLvl w:val="0"/>
        <w:rPr>
          <w:snapToGrid w:val="0"/>
          <w:color w:val="000000" w:themeColor="text1"/>
          <w:sz w:val="28"/>
          <w:szCs w:val="28"/>
          <w14:textFill>
            <w14:solidFill>
              <w14:schemeClr w14:val="tx1"/>
            </w14:solidFill>
          </w14:textFill>
        </w:rPr>
      </w:pPr>
      <w:r>
        <w:rPr>
          <w:rFonts w:hint="eastAsia"/>
          <w:snapToGrid w:val="0"/>
          <w:color w:val="000000" w:themeColor="text1"/>
          <w:sz w:val="30"/>
          <w:szCs w:val="30"/>
          <w14:textFill>
            <w14:solidFill>
              <w14:schemeClr w14:val="tx1"/>
            </w14:solidFill>
          </w14:textFill>
        </w:rPr>
        <w:br w:type="page"/>
      </w:r>
      <w:r>
        <w:rPr>
          <w:rFonts w:hint="eastAsia"/>
          <w:snapToGrid w:val="0"/>
          <w:color w:val="000000" w:themeColor="text1"/>
          <w:sz w:val="30"/>
          <w:szCs w:val="30"/>
          <w14:textFill>
            <w14:solidFill>
              <w14:schemeClr w14:val="tx1"/>
            </w14:solidFill>
          </w14:textFill>
        </w:rPr>
        <w:t>二、建设项目工程分析</w:t>
      </w:r>
    </w:p>
    <w:tbl>
      <w:tblPr>
        <w:tblStyle w:val="10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86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966" w:hRule="atLeast"/>
          <w:jc w:val="center"/>
        </w:trPr>
        <w:tc>
          <w:tcPr>
            <w:tcW w:w="233" w:type="pct"/>
            <w:vAlign w:val="center"/>
          </w:tcPr>
          <w:p>
            <w:pPr>
              <w:pStyle w:val="93"/>
              <w:adjustRightInd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t>建设内容</w:t>
            </w:r>
          </w:p>
        </w:tc>
        <w:tc>
          <w:tcPr>
            <w:tcW w:w="4766" w:type="pct"/>
          </w:tcPr>
          <w:p>
            <w:pPr>
              <w:adjustRightInd w:val="0"/>
              <w:snapToGrid w:val="0"/>
              <w:spacing w:line="360" w:lineRule="auto"/>
              <w:ind w:firstLine="422" w:firstLineChars="200"/>
              <w:rPr>
                <w:b/>
                <w:lang w:bidi="ar"/>
              </w:rPr>
            </w:pPr>
            <w:r>
              <w:rPr>
                <w:b/>
                <w:lang w:bidi="ar"/>
              </w:rPr>
              <w:t>1、项目建设规模</w:t>
            </w:r>
          </w:p>
          <w:p>
            <w:pPr>
              <w:widowControl/>
              <w:snapToGrid w:val="0"/>
              <w:spacing w:line="360" w:lineRule="auto"/>
              <w:ind w:firstLine="420" w:firstLineChars="200"/>
            </w:pPr>
            <w:r>
              <w:t>惠州市华鑫富五金制品有限公司建设项目位于惠州市博罗县园洲镇九潭沥西村十二岭工业区126号，其地理位置中心经纬度为东经113度58分5.149秒，北纬23度9分48.342秒</w:t>
            </w:r>
            <w:r>
              <w:rPr>
                <w:kern w:val="18"/>
              </w:rPr>
              <w:t>（具体地理位置见附图1）</w:t>
            </w:r>
            <w:r>
              <w:t>。项目租用已建成厂房进行生产，项目总占地面积</w:t>
            </w:r>
            <w:r>
              <w:rPr>
                <w:rFonts w:hint="eastAsia"/>
              </w:rPr>
              <w:t>1726</w:t>
            </w:r>
            <w:r>
              <w:t>m</w:t>
            </w:r>
            <w:r>
              <w:rPr>
                <w:vertAlign w:val="superscript"/>
              </w:rPr>
              <w:t>2</w:t>
            </w:r>
            <w:r>
              <w:t>，建筑面积</w:t>
            </w:r>
            <w:r>
              <w:rPr>
                <w:rFonts w:hint="eastAsia"/>
              </w:rPr>
              <w:t>1836</w:t>
            </w:r>
            <w:r>
              <w:t>m</w:t>
            </w:r>
            <w:r>
              <w:rPr>
                <w:vertAlign w:val="superscript"/>
              </w:rPr>
              <w:t>2</w:t>
            </w:r>
            <w:r>
              <w:t>，项目主要工程组成见下表。</w:t>
            </w:r>
          </w:p>
          <w:p>
            <w:pPr>
              <w:widowControl/>
              <w:adjustRightInd w:val="0"/>
              <w:snapToGrid w:val="0"/>
              <w:spacing w:line="360" w:lineRule="auto"/>
              <w:jc w:val="center"/>
              <w:rPr>
                <w:b/>
                <w:bCs/>
              </w:rPr>
            </w:pPr>
            <w:r>
              <w:rPr>
                <w:b/>
                <w:bCs/>
              </w:rPr>
              <w:t>表2-1 项目工程组成一览表</w:t>
            </w:r>
          </w:p>
          <w:tbl>
            <w:tblPr>
              <w:tblStyle w:val="10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1"/>
              <w:gridCol w:w="651"/>
              <w:gridCol w:w="1618"/>
              <w:gridCol w:w="931"/>
              <w:gridCol w:w="267"/>
              <w:gridCol w:w="36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86" w:type="pct"/>
                  <w:vAlign w:val="center"/>
                </w:tcPr>
                <w:p>
                  <w:pPr>
                    <w:jc w:val="center"/>
                    <w:rPr>
                      <w:b/>
                      <w:bCs/>
                    </w:rPr>
                  </w:pPr>
                  <w:r>
                    <w:rPr>
                      <w:b/>
                      <w:bCs/>
                    </w:rPr>
                    <w:t>类别</w:t>
                  </w:r>
                </w:p>
              </w:tc>
              <w:tc>
                <w:tcPr>
                  <w:tcW w:w="1349" w:type="pct"/>
                  <w:gridSpan w:val="2"/>
                  <w:vAlign w:val="center"/>
                </w:tcPr>
                <w:p>
                  <w:pPr>
                    <w:jc w:val="center"/>
                    <w:rPr>
                      <w:b/>
                      <w:bCs/>
                    </w:rPr>
                  </w:pPr>
                  <w:r>
                    <w:rPr>
                      <w:b/>
                      <w:bCs/>
                    </w:rPr>
                    <w:t>建设内容</w:t>
                  </w:r>
                </w:p>
              </w:tc>
              <w:tc>
                <w:tcPr>
                  <w:tcW w:w="2864" w:type="pct"/>
                  <w:gridSpan w:val="3"/>
                  <w:vAlign w:val="center"/>
                </w:tcPr>
                <w:p>
                  <w:pPr>
                    <w:jc w:val="center"/>
                    <w:rPr>
                      <w:b/>
                      <w:bCs/>
                    </w:rPr>
                  </w:pPr>
                  <w:r>
                    <w:rPr>
                      <w:b/>
                      <w:bCs/>
                    </w:rPr>
                    <w:t>工程内容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786" w:type="pct"/>
                  <w:vMerge w:val="restart"/>
                  <w:vAlign w:val="center"/>
                </w:tcPr>
                <w:p>
                  <w:pPr>
                    <w:jc w:val="center"/>
                  </w:pPr>
                  <w:r>
                    <w:t>主体工程</w:t>
                  </w:r>
                </w:p>
              </w:tc>
              <w:tc>
                <w:tcPr>
                  <w:tcW w:w="1349" w:type="pct"/>
                  <w:gridSpan w:val="2"/>
                  <w:vAlign w:val="center"/>
                </w:tcPr>
                <w:p>
                  <w:pPr>
                    <w:jc w:val="center"/>
                  </w:pPr>
                  <w:r>
                    <w:t>生产车间</w:t>
                  </w:r>
                </w:p>
              </w:tc>
              <w:tc>
                <w:tcPr>
                  <w:tcW w:w="2864" w:type="pct"/>
                  <w:gridSpan w:val="3"/>
                  <w:vAlign w:val="center"/>
                </w:tcPr>
                <w:p>
                  <w:r>
                    <w:t>A</w:t>
                  </w:r>
                  <w:r>
                    <w:rPr>
                      <w:rFonts w:hint="eastAsia"/>
                    </w:rPr>
                    <w:t>厂房为1栋1</w:t>
                  </w:r>
                  <w:r>
                    <w:t>层楼高的建筑物，占地</w:t>
                  </w:r>
                  <w:r>
                    <w:rPr>
                      <w:rFonts w:hint="eastAsia"/>
                    </w:rPr>
                    <w:t>面积为778m</w:t>
                  </w:r>
                  <w:r>
                    <w:rPr>
                      <w:rFonts w:hint="eastAsia"/>
                      <w:vertAlign w:val="superscript"/>
                    </w:rPr>
                    <w:t>2</w:t>
                  </w:r>
                  <w:r>
                    <w:rPr>
                      <w:rFonts w:hint="eastAsia"/>
                    </w:rPr>
                    <w:t>，建筑面积778m</w:t>
                  </w:r>
                  <w:r>
                    <w:rPr>
                      <w:rFonts w:hint="eastAsia"/>
                      <w:vertAlign w:val="superscript"/>
                    </w:rPr>
                    <w:t>2</w:t>
                  </w:r>
                </w:p>
                <w:p>
                  <w:r>
                    <w:rPr>
                      <w:rFonts w:hint="eastAsia"/>
                    </w:rPr>
                    <w:t>B厂房为1栋1层厂房，占地面积、建筑面积均为798m</w:t>
                  </w:r>
                  <w:r>
                    <w:rPr>
                      <w:rFonts w:hint="eastAsia"/>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786" w:type="pct"/>
                  <w:vMerge w:val="continue"/>
                  <w:vAlign w:val="center"/>
                </w:tcPr>
                <w:p>
                  <w:pPr>
                    <w:jc w:val="center"/>
                  </w:pPr>
                </w:p>
              </w:tc>
              <w:tc>
                <w:tcPr>
                  <w:tcW w:w="1349" w:type="pct"/>
                  <w:gridSpan w:val="2"/>
                  <w:vAlign w:val="center"/>
                </w:tcPr>
                <w:p>
                  <w:pPr>
                    <w:jc w:val="center"/>
                  </w:pPr>
                  <w:r>
                    <w:t>生产区</w:t>
                  </w:r>
                </w:p>
              </w:tc>
              <w:tc>
                <w:tcPr>
                  <w:tcW w:w="2864" w:type="pct"/>
                  <w:gridSpan w:val="3"/>
                  <w:vAlign w:val="center"/>
                </w:tcPr>
                <w:p>
                  <w:r>
                    <w:rPr>
                      <w:rFonts w:hint="eastAsia"/>
                    </w:rPr>
                    <w:t>B栋</w:t>
                  </w:r>
                  <w:r>
                    <w:t>厂房</w:t>
                  </w:r>
                  <w:r>
                    <w:rPr>
                      <w:rFonts w:hint="eastAsia"/>
                    </w:rPr>
                    <w:t>1楼</w:t>
                  </w:r>
                  <w:r>
                    <w:t>生产车间布置压铸区约</w:t>
                  </w:r>
                  <w:r>
                    <w:rPr>
                      <w:rFonts w:hint="eastAsia"/>
                    </w:rPr>
                    <w:t>265</w:t>
                  </w:r>
                  <w:r>
                    <w:t>m</w:t>
                  </w:r>
                  <w:r>
                    <w:rPr>
                      <w:vertAlign w:val="superscript"/>
                    </w:rPr>
                    <w:t>2</w:t>
                  </w:r>
                  <w:r>
                    <w:t>、</w:t>
                  </w:r>
                  <w:r>
                    <w:rPr>
                      <w:rFonts w:hint="eastAsia"/>
                    </w:rPr>
                    <w:t>整形冲压区80m</w:t>
                  </w:r>
                  <w:r>
                    <w:rPr>
                      <w:rFonts w:hint="eastAsia"/>
                      <w:vertAlign w:val="superscript"/>
                    </w:rPr>
                    <w:t>2</w:t>
                  </w:r>
                  <w:r>
                    <w:rPr>
                      <w:rFonts w:hint="eastAsia"/>
                    </w:rPr>
                    <w:t>、</w:t>
                  </w:r>
                  <w:r>
                    <w:t>机加工区</w:t>
                  </w:r>
                  <w:r>
                    <w:rPr>
                      <w:rFonts w:hint="eastAsia"/>
                    </w:rPr>
                    <w:t>200</w:t>
                  </w:r>
                  <w:r>
                    <w:t>m</w:t>
                  </w:r>
                  <w:r>
                    <w:rPr>
                      <w:vertAlign w:val="superscript"/>
                    </w:rPr>
                    <w:t>2</w:t>
                  </w:r>
                </w:p>
                <w:p>
                  <w:r>
                    <w:rPr>
                      <w:rFonts w:hint="eastAsia"/>
                    </w:rPr>
                    <w:t>A栋</w:t>
                  </w:r>
                  <w:r>
                    <w:t>厂房生产车间的布置一条喷粉生产线，占地面积约1</w:t>
                  </w:r>
                  <w:r>
                    <w:rPr>
                      <w:rFonts w:hint="eastAsia"/>
                    </w:rPr>
                    <w:t>30</w:t>
                  </w:r>
                  <w:r>
                    <w:t>m</w:t>
                  </w:r>
                  <w:r>
                    <w:rPr>
                      <w:vertAlign w:val="superscript"/>
                    </w:rPr>
                    <w:t>2</w:t>
                  </w:r>
                  <w:r>
                    <w:t>，</w:t>
                  </w:r>
                  <w:r>
                    <w:rPr>
                      <w:rFonts w:hint="eastAsia"/>
                    </w:rPr>
                    <w:t>抛光房65</w:t>
                  </w:r>
                  <w:r>
                    <w:t>m</w:t>
                  </w:r>
                  <w:r>
                    <w:rPr>
                      <w:vertAlign w:val="superscript"/>
                    </w:rPr>
                    <w:t>2</w:t>
                  </w:r>
                  <w:r>
                    <w:t>，</w:t>
                  </w:r>
                  <w:r>
                    <w:rPr>
                      <w:rFonts w:hint="eastAsia"/>
                    </w:rPr>
                    <w:t>气磨房65m</w:t>
                  </w:r>
                  <w:r>
                    <w:rPr>
                      <w:rFonts w:hint="eastAsia"/>
                      <w:vertAlign w:val="superscript"/>
                    </w:rPr>
                    <w:t>2</w:t>
                  </w:r>
                  <w:r>
                    <w:rPr>
                      <w:rFonts w:hint="eastAsia"/>
                    </w:rPr>
                    <w:t>，模具房130m</w:t>
                  </w:r>
                  <w:r>
                    <w:rPr>
                      <w:rFonts w:hint="eastAsia"/>
                      <w:vertAlign w:val="superscript"/>
                    </w:rPr>
                    <w:t>2</w:t>
                  </w:r>
                  <w:r>
                    <w:rPr>
                      <w:rFonts w:hint="eastAsia"/>
                    </w:rPr>
                    <w:t>，产品检验区130m</w:t>
                  </w:r>
                  <w:r>
                    <w:rPr>
                      <w:rFonts w:hint="eastAsia"/>
                      <w:vertAlign w:val="superscript"/>
                    </w:rPr>
                    <w:t>2</w:t>
                  </w:r>
                  <w:r>
                    <w:rPr>
                      <w:rFonts w:hint="eastAsia"/>
                    </w:rPr>
                    <w:t>、</w:t>
                  </w:r>
                  <w:r>
                    <w:t>成品堆放区</w:t>
                  </w:r>
                  <w:r>
                    <w:rPr>
                      <w:rFonts w:hint="eastAsia"/>
                    </w:rPr>
                    <w:t>130</w:t>
                  </w:r>
                  <w:r>
                    <w:t>m</w:t>
                  </w:r>
                  <w:r>
                    <w:rPr>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2" w:hRule="atLeast"/>
                <w:jc w:val="center"/>
              </w:trPr>
              <w:tc>
                <w:tcPr>
                  <w:tcW w:w="786" w:type="pct"/>
                  <w:vMerge w:val="restart"/>
                  <w:vAlign w:val="center"/>
                </w:tcPr>
                <w:p>
                  <w:pPr>
                    <w:jc w:val="center"/>
                  </w:pPr>
                  <w:r>
                    <w:t>辅助工程</w:t>
                  </w:r>
                </w:p>
              </w:tc>
              <w:tc>
                <w:tcPr>
                  <w:tcW w:w="1349" w:type="pct"/>
                  <w:gridSpan w:val="2"/>
                  <w:vAlign w:val="center"/>
                </w:tcPr>
                <w:p>
                  <w:pPr>
                    <w:jc w:val="center"/>
                  </w:pPr>
                  <w:r>
                    <w:t>办公室</w:t>
                  </w:r>
                </w:p>
              </w:tc>
              <w:tc>
                <w:tcPr>
                  <w:tcW w:w="554" w:type="pct"/>
                  <w:vAlign w:val="center"/>
                </w:tcPr>
                <w:p>
                  <w:r>
                    <w:t>位于</w:t>
                  </w:r>
                  <w:r>
                    <w:rPr>
                      <w:rFonts w:hint="eastAsia"/>
                    </w:rPr>
                    <w:t>B</w:t>
                  </w:r>
                  <w:r>
                    <w:t>栋</w:t>
                  </w:r>
                  <w:r>
                    <w:rPr>
                      <w:rFonts w:hint="eastAsia"/>
                    </w:rPr>
                    <w:t>厂房北部</w:t>
                  </w:r>
                  <w:r>
                    <w:t>2层</w:t>
                  </w:r>
                  <w:r>
                    <w:rPr>
                      <w:rFonts w:hint="eastAsia"/>
                    </w:rPr>
                    <w:t>楼</w:t>
                  </w:r>
                </w:p>
              </w:tc>
              <w:tc>
                <w:tcPr>
                  <w:tcW w:w="2310" w:type="pct"/>
                  <w:gridSpan w:val="2"/>
                  <w:vAlign w:val="center"/>
                </w:tcPr>
                <w:p>
                  <w:pPr>
                    <w:jc w:val="left"/>
                  </w:pPr>
                  <w:r>
                    <w:rPr>
                      <w:rFonts w:hint="eastAsia"/>
                    </w:rPr>
                    <w:t>2</w:t>
                  </w:r>
                  <w:r>
                    <w:t>楼，占地面积</w:t>
                  </w:r>
                  <w:r>
                    <w:rPr>
                      <w:rFonts w:hint="eastAsia"/>
                    </w:rPr>
                    <w:t>110</w:t>
                  </w:r>
                  <w:r>
                    <w:t>m</w:t>
                  </w:r>
                  <w:r>
                    <w:rPr>
                      <w:vertAlign w:val="superscript"/>
                    </w:rPr>
                    <w:t>2</w:t>
                  </w:r>
                  <w:r>
                    <w:t>，建筑面积</w:t>
                  </w:r>
                  <w:r>
                    <w:rPr>
                      <w:rFonts w:hint="eastAsia"/>
                    </w:rPr>
                    <w:t>110</w:t>
                  </w:r>
                  <w:r>
                    <w:t>m</w:t>
                  </w:r>
                  <w:r>
                    <w:rPr>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0" w:hRule="atLeast"/>
                <w:jc w:val="center"/>
              </w:trPr>
              <w:tc>
                <w:tcPr>
                  <w:tcW w:w="786" w:type="pct"/>
                  <w:vMerge w:val="continue"/>
                  <w:vAlign w:val="center"/>
                </w:tcPr>
                <w:p>
                  <w:pPr>
                    <w:jc w:val="center"/>
                  </w:pPr>
                </w:p>
              </w:tc>
              <w:tc>
                <w:tcPr>
                  <w:tcW w:w="1349" w:type="pct"/>
                  <w:gridSpan w:val="2"/>
                  <w:vAlign w:val="center"/>
                </w:tcPr>
                <w:p>
                  <w:pPr>
                    <w:jc w:val="center"/>
                  </w:pPr>
                  <w:r>
                    <w:t>宿舍</w:t>
                  </w:r>
                </w:p>
              </w:tc>
              <w:tc>
                <w:tcPr>
                  <w:tcW w:w="554" w:type="pct"/>
                  <w:vAlign w:val="center"/>
                </w:tcPr>
                <w:p>
                  <w:pPr>
                    <w:jc w:val="center"/>
                  </w:pPr>
                  <w:r>
                    <w:rPr>
                      <w:rFonts w:hint="eastAsia"/>
                    </w:rPr>
                    <w:t>位于车间南部</w:t>
                  </w:r>
                </w:p>
              </w:tc>
              <w:tc>
                <w:tcPr>
                  <w:tcW w:w="2310" w:type="pct"/>
                  <w:gridSpan w:val="2"/>
                  <w:vAlign w:val="center"/>
                </w:tcPr>
                <w:p>
                  <w:pPr>
                    <w:jc w:val="left"/>
                  </w:pPr>
                  <w:r>
                    <w:rPr>
                      <w:rFonts w:hint="eastAsia"/>
                    </w:rPr>
                    <w:t>3</w:t>
                  </w:r>
                  <w:r>
                    <w:t>楼</w:t>
                  </w:r>
                  <w:r>
                    <w:rPr>
                      <w:rFonts w:hint="eastAsia"/>
                    </w:rPr>
                    <w:t>10间</w:t>
                  </w:r>
                  <w:r>
                    <w:t>，占地面积</w:t>
                  </w:r>
                  <w:r>
                    <w:rPr>
                      <w:rFonts w:hint="eastAsia"/>
                    </w:rPr>
                    <w:t>150</w:t>
                  </w:r>
                  <w:r>
                    <w:t>m</w:t>
                  </w:r>
                  <w:r>
                    <w:rPr>
                      <w:vertAlign w:val="superscript"/>
                    </w:rPr>
                    <w:t>2</w:t>
                  </w:r>
                  <w:r>
                    <w:t>，建筑面积</w:t>
                  </w:r>
                  <w:r>
                    <w:rPr>
                      <w:rFonts w:hint="eastAsia"/>
                    </w:rPr>
                    <w:t>150</w:t>
                  </w:r>
                  <w:r>
                    <w:t>m</w:t>
                  </w:r>
                  <w:r>
                    <w:rPr>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72" w:hRule="atLeast"/>
                <w:jc w:val="center"/>
              </w:trPr>
              <w:tc>
                <w:tcPr>
                  <w:tcW w:w="786" w:type="pct"/>
                  <w:vMerge w:val="restart"/>
                  <w:vAlign w:val="center"/>
                </w:tcPr>
                <w:p>
                  <w:pPr>
                    <w:jc w:val="center"/>
                  </w:pPr>
                  <w:r>
                    <w:t>储运工程</w:t>
                  </w:r>
                </w:p>
              </w:tc>
              <w:tc>
                <w:tcPr>
                  <w:tcW w:w="1349" w:type="pct"/>
                  <w:gridSpan w:val="2"/>
                  <w:vAlign w:val="center"/>
                </w:tcPr>
                <w:p>
                  <w:pPr>
                    <w:jc w:val="center"/>
                  </w:pPr>
                  <w:r>
                    <w:t>原料仓库</w:t>
                  </w:r>
                </w:p>
              </w:tc>
              <w:tc>
                <w:tcPr>
                  <w:tcW w:w="554" w:type="pct"/>
                  <w:vAlign w:val="center"/>
                </w:tcPr>
                <w:p>
                  <w:pPr>
                    <w:jc w:val="left"/>
                  </w:pPr>
                  <w:r>
                    <w:rPr>
                      <w:rFonts w:hint="eastAsia"/>
                    </w:rPr>
                    <w:t>B</w:t>
                  </w:r>
                  <w:r>
                    <w:t>栋厂房</w:t>
                  </w:r>
                </w:p>
              </w:tc>
              <w:tc>
                <w:tcPr>
                  <w:tcW w:w="2310" w:type="pct"/>
                  <w:gridSpan w:val="2"/>
                  <w:vAlign w:val="center"/>
                </w:tcPr>
                <w:p>
                  <w:pPr>
                    <w:jc w:val="left"/>
                  </w:pPr>
                  <w:r>
                    <w:t>位于厂房内西北侧，面积约</w:t>
                  </w:r>
                  <w:r>
                    <w:rPr>
                      <w:rFonts w:hint="eastAsia"/>
                    </w:rPr>
                    <w:t>65</w:t>
                  </w:r>
                  <w:r>
                    <w:t>m</w:t>
                  </w:r>
                  <w:r>
                    <w:rPr>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17" w:hRule="atLeast"/>
                <w:jc w:val="center"/>
              </w:trPr>
              <w:tc>
                <w:tcPr>
                  <w:tcW w:w="786" w:type="pct"/>
                  <w:vMerge w:val="continue"/>
                  <w:vAlign w:val="center"/>
                </w:tcPr>
                <w:p>
                  <w:pPr>
                    <w:jc w:val="center"/>
                  </w:pPr>
                </w:p>
              </w:tc>
              <w:tc>
                <w:tcPr>
                  <w:tcW w:w="1349" w:type="pct"/>
                  <w:gridSpan w:val="2"/>
                  <w:vAlign w:val="center"/>
                </w:tcPr>
                <w:p>
                  <w:pPr>
                    <w:jc w:val="center"/>
                  </w:pPr>
                  <w:r>
                    <w:t>成品仓库</w:t>
                  </w:r>
                </w:p>
              </w:tc>
              <w:tc>
                <w:tcPr>
                  <w:tcW w:w="554" w:type="pct"/>
                  <w:vAlign w:val="center"/>
                </w:tcPr>
                <w:p>
                  <w:pPr>
                    <w:jc w:val="left"/>
                  </w:pPr>
                  <w:r>
                    <w:rPr>
                      <w:rFonts w:hint="eastAsia"/>
                    </w:rPr>
                    <w:t>A</w:t>
                  </w:r>
                  <w:r>
                    <w:t>栋厂房</w:t>
                  </w:r>
                </w:p>
              </w:tc>
              <w:tc>
                <w:tcPr>
                  <w:tcW w:w="2310" w:type="pct"/>
                  <w:gridSpan w:val="2"/>
                  <w:vAlign w:val="center"/>
                </w:tcPr>
                <w:p>
                  <w:pPr>
                    <w:jc w:val="left"/>
                  </w:pPr>
                  <w:r>
                    <w:t>位于厂房内东南侧，面积约30m</w:t>
                  </w:r>
                  <w:r>
                    <w:rPr>
                      <w:vertAlign w:val="superscript"/>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05" w:hRule="atLeast"/>
                <w:jc w:val="center"/>
              </w:trPr>
              <w:tc>
                <w:tcPr>
                  <w:tcW w:w="786" w:type="pct"/>
                  <w:vMerge w:val="restart"/>
                  <w:vAlign w:val="center"/>
                </w:tcPr>
                <w:p>
                  <w:pPr>
                    <w:jc w:val="center"/>
                  </w:pPr>
                  <w:r>
                    <w:t>公用工程</w:t>
                  </w:r>
                </w:p>
              </w:tc>
              <w:tc>
                <w:tcPr>
                  <w:tcW w:w="1349" w:type="pct"/>
                  <w:gridSpan w:val="2"/>
                  <w:vAlign w:val="center"/>
                </w:tcPr>
                <w:p>
                  <w:pPr>
                    <w:jc w:val="center"/>
                  </w:pPr>
                  <w:r>
                    <w:t>给水工程</w:t>
                  </w:r>
                </w:p>
              </w:tc>
              <w:tc>
                <w:tcPr>
                  <w:tcW w:w="2864" w:type="pct"/>
                  <w:gridSpan w:val="3"/>
                  <w:vAlign w:val="center"/>
                </w:tcPr>
                <w:p>
                  <w:pPr>
                    <w:jc w:val="left"/>
                  </w:pPr>
                  <w:r>
                    <w:t>市政自来水供应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0" w:hRule="atLeast"/>
                <w:jc w:val="center"/>
              </w:trPr>
              <w:tc>
                <w:tcPr>
                  <w:tcW w:w="786" w:type="pct"/>
                  <w:vMerge w:val="continue"/>
                  <w:vAlign w:val="center"/>
                </w:tcPr>
                <w:p>
                  <w:pPr>
                    <w:jc w:val="center"/>
                  </w:pPr>
                </w:p>
              </w:tc>
              <w:tc>
                <w:tcPr>
                  <w:tcW w:w="1349" w:type="pct"/>
                  <w:gridSpan w:val="2"/>
                  <w:vAlign w:val="center"/>
                </w:tcPr>
                <w:p>
                  <w:pPr>
                    <w:jc w:val="center"/>
                  </w:pPr>
                  <w:r>
                    <w:t>排水工程</w:t>
                  </w:r>
                </w:p>
              </w:tc>
              <w:tc>
                <w:tcPr>
                  <w:tcW w:w="2864" w:type="pct"/>
                  <w:gridSpan w:val="3"/>
                  <w:vAlign w:val="center"/>
                </w:tcPr>
                <w:p>
                  <w:pPr>
                    <w:jc w:val="left"/>
                  </w:pPr>
                  <w:r>
                    <w:t>雨水排放系统；污水管网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5" w:hRule="atLeast"/>
                <w:jc w:val="center"/>
              </w:trPr>
              <w:tc>
                <w:tcPr>
                  <w:tcW w:w="786" w:type="pct"/>
                  <w:vMerge w:val="continue"/>
                  <w:vAlign w:val="center"/>
                </w:tcPr>
                <w:p>
                  <w:pPr>
                    <w:jc w:val="center"/>
                  </w:pPr>
                </w:p>
              </w:tc>
              <w:tc>
                <w:tcPr>
                  <w:tcW w:w="1349" w:type="pct"/>
                  <w:gridSpan w:val="2"/>
                  <w:vAlign w:val="center"/>
                </w:tcPr>
                <w:p>
                  <w:pPr>
                    <w:jc w:val="center"/>
                  </w:pPr>
                  <w:r>
                    <w:t>供电工程</w:t>
                  </w:r>
                </w:p>
              </w:tc>
              <w:tc>
                <w:tcPr>
                  <w:tcW w:w="2864" w:type="pct"/>
                  <w:gridSpan w:val="3"/>
                  <w:vAlign w:val="center"/>
                </w:tcPr>
                <w:p>
                  <w:pPr>
                    <w:jc w:val="left"/>
                  </w:pPr>
                  <w:r>
                    <w:t>市政电网供应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6" w:hRule="atLeast"/>
                <w:jc w:val="center"/>
              </w:trPr>
              <w:tc>
                <w:tcPr>
                  <w:tcW w:w="786" w:type="pct"/>
                  <w:vMerge w:val="restart"/>
                  <w:vAlign w:val="center"/>
                </w:tcPr>
                <w:p>
                  <w:pPr>
                    <w:jc w:val="center"/>
                  </w:pPr>
                  <w:r>
                    <w:t>环保工程</w:t>
                  </w:r>
                </w:p>
              </w:tc>
              <w:tc>
                <w:tcPr>
                  <w:tcW w:w="387" w:type="pct"/>
                  <w:vMerge w:val="restart"/>
                  <w:vAlign w:val="center"/>
                </w:tcPr>
                <w:p>
                  <w:pPr>
                    <w:jc w:val="center"/>
                  </w:pPr>
                  <w:r>
                    <w:t>废气</w:t>
                  </w:r>
                </w:p>
              </w:tc>
              <w:tc>
                <w:tcPr>
                  <w:tcW w:w="962" w:type="pct"/>
                  <w:vMerge w:val="restart"/>
                  <w:vAlign w:val="center"/>
                </w:tcPr>
                <w:p>
                  <w:pPr>
                    <w:jc w:val="center"/>
                  </w:pPr>
                  <w:r>
                    <w:rPr>
                      <w:rFonts w:hint="eastAsia"/>
                    </w:rPr>
                    <w:t>B</w:t>
                  </w:r>
                  <w:r>
                    <w:t>栋厂房</w:t>
                  </w:r>
                </w:p>
              </w:tc>
              <w:tc>
                <w:tcPr>
                  <w:tcW w:w="2864" w:type="pct"/>
                  <w:gridSpan w:val="3"/>
                  <w:vAlign w:val="center"/>
                </w:tcPr>
                <w:p>
                  <w:pPr>
                    <w:jc w:val="left"/>
                  </w:pPr>
                  <w:r>
                    <w:t>压铸废气：集气装置+水喷淋+两级活性炭装置+15m排气筒（DA001）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512" w:hRule="atLeast"/>
                <w:jc w:val="center"/>
              </w:trPr>
              <w:tc>
                <w:tcPr>
                  <w:tcW w:w="786" w:type="pct"/>
                  <w:vMerge w:val="continue"/>
                  <w:vAlign w:val="center"/>
                </w:tcPr>
                <w:p>
                  <w:pPr>
                    <w:jc w:val="center"/>
                  </w:pPr>
                </w:p>
              </w:tc>
              <w:tc>
                <w:tcPr>
                  <w:tcW w:w="387" w:type="pct"/>
                  <w:vMerge w:val="continue"/>
                  <w:vAlign w:val="center"/>
                </w:tcPr>
                <w:p>
                  <w:pPr>
                    <w:jc w:val="center"/>
                  </w:pPr>
                </w:p>
              </w:tc>
              <w:tc>
                <w:tcPr>
                  <w:tcW w:w="962" w:type="pct"/>
                  <w:vMerge w:val="continue"/>
                  <w:vAlign w:val="center"/>
                </w:tcPr>
                <w:p>
                  <w:pPr>
                    <w:jc w:val="center"/>
                  </w:pPr>
                </w:p>
              </w:tc>
              <w:tc>
                <w:tcPr>
                  <w:tcW w:w="2864" w:type="pct"/>
                  <w:gridSpan w:val="3"/>
                  <w:vAlign w:val="center"/>
                </w:tcPr>
                <w:p>
                  <w:pPr>
                    <w:jc w:val="left"/>
                  </w:pPr>
                  <w:r>
                    <w:t>打磨抛光废气：集气装置+旋风除尘+15m排气筒（DA002）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1" w:hRule="atLeast"/>
                <w:jc w:val="center"/>
              </w:trPr>
              <w:tc>
                <w:tcPr>
                  <w:tcW w:w="786" w:type="pct"/>
                  <w:vMerge w:val="continue"/>
                  <w:vAlign w:val="center"/>
                </w:tcPr>
                <w:p>
                  <w:pPr>
                    <w:jc w:val="center"/>
                  </w:pPr>
                </w:p>
              </w:tc>
              <w:tc>
                <w:tcPr>
                  <w:tcW w:w="387" w:type="pct"/>
                  <w:vMerge w:val="continue"/>
                  <w:vAlign w:val="center"/>
                </w:tcPr>
                <w:p>
                  <w:pPr>
                    <w:jc w:val="center"/>
                  </w:pPr>
                </w:p>
              </w:tc>
              <w:tc>
                <w:tcPr>
                  <w:tcW w:w="962" w:type="pct"/>
                  <w:vMerge w:val="restart"/>
                  <w:vAlign w:val="center"/>
                </w:tcPr>
                <w:p>
                  <w:pPr>
                    <w:jc w:val="center"/>
                  </w:pPr>
                  <w:r>
                    <w:rPr>
                      <w:rFonts w:hint="eastAsia"/>
                    </w:rPr>
                    <w:t>A</w:t>
                  </w:r>
                  <w:r>
                    <w:t>栋厂房</w:t>
                  </w:r>
                </w:p>
              </w:tc>
              <w:tc>
                <w:tcPr>
                  <w:tcW w:w="2864" w:type="pct"/>
                  <w:gridSpan w:val="3"/>
                  <w:vAlign w:val="center"/>
                </w:tcPr>
                <w:p>
                  <w:pPr>
                    <w:jc w:val="left"/>
                  </w:pPr>
                  <w:r>
                    <w:t>粉末喷涂粉尘：集气装置+布袋除尘器+15m排气筒（DA003）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2" w:hRule="atLeast"/>
                <w:jc w:val="center"/>
              </w:trPr>
              <w:tc>
                <w:tcPr>
                  <w:tcW w:w="786" w:type="pct"/>
                  <w:vMerge w:val="continue"/>
                  <w:vAlign w:val="center"/>
                </w:tcPr>
                <w:p>
                  <w:pPr>
                    <w:jc w:val="center"/>
                  </w:pPr>
                </w:p>
              </w:tc>
              <w:tc>
                <w:tcPr>
                  <w:tcW w:w="387" w:type="pct"/>
                  <w:vMerge w:val="continue"/>
                  <w:vAlign w:val="center"/>
                </w:tcPr>
                <w:p>
                  <w:pPr>
                    <w:jc w:val="center"/>
                  </w:pPr>
                </w:p>
              </w:tc>
              <w:tc>
                <w:tcPr>
                  <w:tcW w:w="962" w:type="pct"/>
                  <w:vMerge w:val="continue"/>
                  <w:vAlign w:val="center"/>
                </w:tcPr>
                <w:p>
                  <w:pPr>
                    <w:jc w:val="center"/>
                  </w:pPr>
                </w:p>
              </w:tc>
              <w:tc>
                <w:tcPr>
                  <w:tcW w:w="2864" w:type="pct"/>
                  <w:gridSpan w:val="3"/>
                  <w:vAlign w:val="center"/>
                </w:tcPr>
                <w:p>
                  <w:pPr>
                    <w:jc w:val="left"/>
                    <w:rPr>
                      <w:color w:val="FF0000"/>
                    </w:rPr>
                  </w:pPr>
                  <w:r>
                    <w:t>烘烤固化：集气装置+水喷淋+两级活性炭装置+15m排气筒（DA004）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786" w:type="pct"/>
                  <w:vMerge w:val="continue"/>
                  <w:vAlign w:val="center"/>
                </w:tcPr>
                <w:p>
                  <w:pPr>
                    <w:jc w:val="center"/>
                  </w:pPr>
                </w:p>
              </w:tc>
              <w:tc>
                <w:tcPr>
                  <w:tcW w:w="1349" w:type="pct"/>
                  <w:gridSpan w:val="2"/>
                  <w:vAlign w:val="center"/>
                </w:tcPr>
                <w:p>
                  <w:pPr>
                    <w:jc w:val="center"/>
                  </w:pPr>
                  <w:r>
                    <w:t>噪声</w:t>
                  </w:r>
                </w:p>
              </w:tc>
              <w:tc>
                <w:tcPr>
                  <w:tcW w:w="2864" w:type="pct"/>
                  <w:gridSpan w:val="3"/>
                  <w:vAlign w:val="center"/>
                </w:tcPr>
                <w:p>
                  <w:pPr>
                    <w:adjustRightInd w:val="0"/>
                    <w:snapToGrid w:val="0"/>
                  </w:pPr>
                  <w:r>
                    <w:t>基础减振、厂房隔声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89" w:hRule="atLeast"/>
                <w:jc w:val="center"/>
              </w:trPr>
              <w:tc>
                <w:tcPr>
                  <w:tcW w:w="786" w:type="pct"/>
                  <w:vMerge w:val="continue"/>
                  <w:vAlign w:val="center"/>
                </w:tcPr>
                <w:p>
                  <w:pPr>
                    <w:jc w:val="center"/>
                  </w:pPr>
                </w:p>
              </w:tc>
              <w:tc>
                <w:tcPr>
                  <w:tcW w:w="387" w:type="pct"/>
                  <w:vAlign w:val="center"/>
                </w:tcPr>
                <w:p>
                  <w:pPr>
                    <w:jc w:val="center"/>
                  </w:pPr>
                  <w:r>
                    <w:t>废水</w:t>
                  </w:r>
                </w:p>
              </w:tc>
              <w:tc>
                <w:tcPr>
                  <w:tcW w:w="962" w:type="pct"/>
                  <w:vAlign w:val="center"/>
                </w:tcPr>
                <w:p>
                  <w:pPr>
                    <w:jc w:val="center"/>
                  </w:pPr>
                  <w:r>
                    <w:t>生活污水</w:t>
                  </w:r>
                </w:p>
              </w:tc>
              <w:tc>
                <w:tcPr>
                  <w:tcW w:w="2864" w:type="pct"/>
                  <w:gridSpan w:val="3"/>
                  <w:vAlign w:val="center"/>
                </w:tcPr>
                <w:p>
                  <w:pPr>
                    <w:jc w:val="left"/>
                  </w:pPr>
                  <w:r>
                    <w:t>经三级化粪池预处理后经市政污水管网排入园洲镇第三污水处理厂，经处理后排入新村排渠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7" w:hRule="atLeast"/>
                <w:jc w:val="center"/>
              </w:trPr>
              <w:tc>
                <w:tcPr>
                  <w:tcW w:w="786" w:type="pct"/>
                  <w:vMerge w:val="continue"/>
                  <w:vAlign w:val="center"/>
                </w:tcPr>
                <w:p>
                  <w:pPr>
                    <w:jc w:val="center"/>
                  </w:pPr>
                </w:p>
              </w:tc>
              <w:tc>
                <w:tcPr>
                  <w:tcW w:w="387" w:type="pct"/>
                  <w:vMerge w:val="restart"/>
                  <w:vAlign w:val="center"/>
                </w:tcPr>
                <w:p>
                  <w:pPr>
                    <w:jc w:val="center"/>
                    <w:rPr>
                      <w:color w:val="00B0F0"/>
                    </w:rPr>
                  </w:pPr>
                  <w:r>
                    <w:t>固废</w:t>
                  </w:r>
                </w:p>
              </w:tc>
              <w:tc>
                <w:tcPr>
                  <w:tcW w:w="962" w:type="pct"/>
                  <w:vAlign w:val="center"/>
                </w:tcPr>
                <w:p>
                  <w:pPr>
                    <w:jc w:val="center"/>
                  </w:pPr>
                  <w:r>
                    <w:t>一般工业固废</w:t>
                  </w:r>
                </w:p>
              </w:tc>
              <w:tc>
                <w:tcPr>
                  <w:tcW w:w="713" w:type="pct"/>
                  <w:gridSpan w:val="2"/>
                  <w:vMerge w:val="restart"/>
                  <w:vAlign w:val="center"/>
                </w:tcPr>
                <w:p>
                  <w:pPr>
                    <w:widowControl/>
                    <w:adjustRightInd w:val="0"/>
                    <w:snapToGrid w:val="0"/>
                  </w:pPr>
                  <w:r>
                    <w:t>固废间位于</w:t>
                  </w:r>
                  <w:r>
                    <w:rPr>
                      <w:rFonts w:hint="eastAsia"/>
                    </w:rPr>
                    <w:t>B栋厂房南侧</w:t>
                  </w:r>
                </w:p>
              </w:tc>
              <w:tc>
                <w:tcPr>
                  <w:tcW w:w="2151" w:type="pct"/>
                  <w:vAlign w:val="center"/>
                </w:tcPr>
                <w:p>
                  <w:pPr>
                    <w:widowControl/>
                    <w:adjustRightInd w:val="0"/>
                    <w:snapToGrid w:val="0"/>
                  </w:pPr>
                  <w:r>
                    <w:rPr>
                      <w:lang w:bidi="ar"/>
                    </w:rPr>
                    <w:t>储存于一般固体废物暂存间（占地面积约20</w:t>
                  </w:r>
                  <w:r>
                    <w:t>m</w:t>
                  </w:r>
                  <w:r>
                    <w:rPr>
                      <w:vertAlign w:val="superscript"/>
                    </w:rPr>
                    <w:t>2</w:t>
                  </w:r>
                  <w:r>
                    <w:rPr>
                      <w:lang w:bidi="ar"/>
                    </w:rPr>
                    <w:t>），交由相关专业回收公司回收处理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7" w:hRule="atLeast"/>
                <w:jc w:val="center"/>
              </w:trPr>
              <w:tc>
                <w:tcPr>
                  <w:tcW w:w="786" w:type="pct"/>
                  <w:vMerge w:val="continue"/>
                  <w:vAlign w:val="center"/>
                </w:tcPr>
                <w:p>
                  <w:pPr>
                    <w:jc w:val="center"/>
                  </w:pPr>
                </w:p>
              </w:tc>
              <w:tc>
                <w:tcPr>
                  <w:tcW w:w="387" w:type="pct"/>
                  <w:vMerge w:val="continue"/>
                  <w:vAlign w:val="center"/>
                </w:tcPr>
                <w:p>
                  <w:pPr>
                    <w:jc w:val="center"/>
                  </w:pPr>
                </w:p>
              </w:tc>
              <w:tc>
                <w:tcPr>
                  <w:tcW w:w="962" w:type="pct"/>
                  <w:vAlign w:val="center"/>
                </w:tcPr>
                <w:p>
                  <w:pPr>
                    <w:jc w:val="center"/>
                  </w:pPr>
                  <w:r>
                    <w:t>危废</w:t>
                  </w:r>
                </w:p>
              </w:tc>
              <w:tc>
                <w:tcPr>
                  <w:tcW w:w="713" w:type="pct"/>
                  <w:gridSpan w:val="2"/>
                  <w:vMerge w:val="continue"/>
                  <w:vAlign w:val="center"/>
                </w:tcPr>
                <w:p>
                  <w:pPr>
                    <w:widowControl/>
                    <w:adjustRightInd w:val="0"/>
                    <w:snapToGrid w:val="0"/>
                  </w:pPr>
                </w:p>
              </w:tc>
              <w:tc>
                <w:tcPr>
                  <w:tcW w:w="2151" w:type="pct"/>
                  <w:vAlign w:val="center"/>
                </w:tcPr>
                <w:p>
                  <w:pPr>
                    <w:widowControl/>
                    <w:adjustRightInd w:val="0"/>
                    <w:snapToGrid w:val="0"/>
                  </w:pPr>
                  <w:r>
                    <w:rPr>
                      <w:lang w:bidi="ar"/>
                    </w:rPr>
                    <w:t>储存于危险废物暂存间（占地面积约30</w:t>
                  </w:r>
                  <w:r>
                    <w:t>m</w:t>
                  </w:r>
                  <w:r>
                    <w:rPr>
                      <w:vertAlign w:val="superscript"/>
                    </w:rPr>
                    <w:t>2</w:t>
                  </w:r>
                  <w:r>
                    <w:rPr>
                      <w:lang w:bidi="ar"/>
                    </w:rPr>
                    <w:t>），交由有资质单位处理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8" w:hRule="atLeast"/>
                <w:jc w:val="center"/>
              </w:trPr>
              <w:tc>
                <w:tcPr>
                  <w:tcW w:w="786" w:type="pct"/>
                  <w:vMerge w:val="continue"/>
                  <w:vAlign w:val="center"/>
                </w:tcPr>
                <w:p>
                  <w:pPr>
                    <w:jc w:val="center"/>
                  </w:pPr>
                </w:p>
              </w:tc>
              <w:tc>
                <w:tcPr>
                  <w:tcW w:w="387" w:type="pct"/>
                  <w:vMerge w:val="continue"/>
                  <w:vAlign w:val="center"/>
                </w:tcPr>
                <w:p>
                  <w:pPr>
                    <w:jc w:val="center"/>
                  </w:pPr>
                </w:p>
              </w:tc>
              <w:tc>
                <w:tcPr>
                  <w:tcW w:w="962" w:type="pct"/>
                  <w:vAlign w:val="center"/>
                </w:tcPr>
                <w:p>
                  <w:pPr>
                    <w:jc w:val="center"/>
                  </w:pPr>
                  <w:r>
                    <w:t>生活垃圾</w:t>
                  </w:r>
                </w:p>
              </w:tc>
              <w:tc>
                <w:tcPr>
                  <w:tcW w:w="713" w:type="pct"/>
                  <w:gridSpan w:val="2"/>
                  <w:vMerge w:val="continue"/>
                  <w:vAlign w:val="center"/>
                </w:tcPr>
                <w:p>
                  <w:pPr>
                    <w:jc w:val="left"/>
                  </w:pPr>
                </w:p>
              </w:tc>
              <w:tc>
                <w:tcPr>
                  <w:tcW w:w="2151" w:type="pct"/>
                  <w:vAlign w:val="center"/>
                </w:tcPr>
                <w:p>
                  <w:pPr>
                    <w:jc w:val="left"/>
                  </w:pPr>
                  <w:r>
                    <w:t>交由环卫部门统一清运处理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9" w:hRule="atLeast"/>
                <w:jc w:val="center"/>
              </w:trPr>
              <w:tc>
                <w:tcPr>
                  <w:tcW w:w="786" w:type="pct"/>
                  <w:vAlign w:val="center"/>
                </w:tcPr>
                <w:p>
                  <w:pPr>
                    <w:jc w:val="center"/>
                    <w:rPr>
                      <w:color w:val="00B0F0"/>
                    </w:rPr>
                  </w:pPr>
                  <w:r>
                    <w:t>依托工程</w:t>
                  </w:r>
                </w:p>
              </w:tc>
              <w:tc>
                <w:tcPr>
                  <w:tcW w:w="1349" w:type="pct"/>
                  <w:gridSpan w:val="2"/>
                  <w:vAlign w:val="center"/>
                </w:tcPr>
                <w:p>
                  <w:pPr>
                    <w:jc w:val="center"/>
                  </w:pPr>
                  <w:r>
                    <w:t>/</w:t>
                  </w:r>
                </w:p>
              </w:tc>
              <w:tc>
                <w:tcPr>
                  <w:tcW w:w="2864" w:type="pct"/>
                  <w:gridSpan w:val="3"/>
                  <w:vAlign w:val="center"/>
                </w:tcPr>
                <w:p>
                  <w:pPr>
                    <w:jc w:val="left"/>
                  </w:pPr>
                  <w:r>
                    <w:t>园洲镇第三污水处理厂</w:t>
                  </w:r>
                </w:p>
              </w:tc>
            </w:tr>
          </w:tbl>
          <w:p>
            <w:pPr>
              <w:widowControl/>
              <w:spacing w:before="120" w:beforeLines="50" w:line="360" w:lineRule="auto"/>
              <w:ind w:firstLine="422" w:firstLineChars="200"/>
              <w:rPr>
                <w:b/>
                <w:bCs/>
              </w:rPr>
            </w:pPr>
            <w:r>
              <w:rPr>
                <w:b/>
                <w:bCs/>
              </w:rPr>
              <w:t>2、环保投资估算</w:t>
            </w:r>
          </w:p>
          <w:p>
            <w:pPr>
              <w:pStyle w:val="2"/>
              <w:spacing w:after="120" w:afterLines="5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表2-2 环保投资一览表</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0"/>
              <w:gridCol w:w="896"/>
              <w:gridCol w:w="1494"/>
              <w:gridCol w:w="4708"/>
              <w:gridCol w:w="8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2" w:type="pct"/>
                  <w:vAlign w:val="center"/>
                </w:tcPr>
                <w:p>
                  <w:pPr>
                    <w:tabs>
                      <w:tab w:val="left" w:pos="1081"/>
                    </w:tabs>
                    <w:adjustRightInd w:val="0"/>
                    <w:snapToGrid w:val="0"/>
                    <w:jc w:val="center"/>
                    <w:textAlignment w:val="baseline"/>
                    <w:rPr>
                      <w:b/>
                      <w:bCs/>
                    </w:rPr>
                  </w:pPr>
                  <w:r>
                    <w:rPr>
                      <w:b/>
                      <w:bCs/>
                    </w:rPr>
                    <w:t>序号</w:t>
                  </w:r>
                </w:p>
              </w:tc>
              <w:tc>
                <w:tcPr>
                  <w:tcW w:w="533" w:type="pct"/>
                  <w:vAlign w:val="center"/>
                </w:tcPr>
                <w:p>
                  <w:pPr>
                    <w:tabs>
                      <w:tab w:val="left" w:pos="1081"/>
                    </w:tabs>
                    <w:adjustRightInd w:val="0"/>
                    <w:snapToGrid w:val="0"/>
                    <w:jc w:val="center"/>
                    <w:textAlignment w:val="baseline"/>
                    <w:rPr>
                      <w:b/>
                      <w:bCs/>
                    </w:rPr>
                  </w:pPr>
                  <w:r>
                    <w:rPr>
                      <w:b/>
                      <w:bCs/>
                    </w:rPr>
                    <w:t>污染源</w:t>
                  </w:r>
                </w:p>
              </w:tc>
              <w:tc>
                <w:tcPr>
                  <w:tcW w:w="888" w:type="pct"/>
                  <w:vAlign w:val="center"/>
                </w:tcPr>
                <w:p>
                  <w:pPr>
                    <w:tabs>
                      <w:tab w:val="left" w:pos="1081"/>
                    </w:tabs>
                    <w:adjustRightInd w:val="0"/>
                    <w:snapToGrid w:val="0"/>
                    <w:jc w:val="center"/>
                    <w:textAlignment w:val="baseline"/>
                    <w:rPr>
                      <w:b/>
                      <w:bCs/>
                    </w:rPr>
                  </w:pPr>
                  <w:r>
                    <w:rPr>
                      <w:b/>
                      <w:bCs/>
                    </w:rPr>
                    <w:t>污染物名称</w:t>
                  </w:r>
                </w:p>
              </w:tc>
              <w:tc>
                <w:tcPr>
                  <w:tcW w:w="2798" w:type="pct"/>
                  <w:vAlign w:val="center"/>
                </w:tcPr>
                <w:p>
                  <w:pPr>
                    <w:tabs>
                      <w:tab w:val="left" w:pos="1081"/>
                    </w:tabs>
                    <w:adjustRightInd w:val="0"/>
                    <w:snapToGrid w:val="0"/>
                    <w:jc w:val="center"/>
                    <w:textAlignment w:val="baseline"/>
                    <w:rPr>
                      <w:b/>
                      <w:bCs/>
                    </w:rPr>
                  </w:pPr>
                  <w:r>
                    <w:rPr>
                      <w:b/>
                      <w:bCs/>
                    </w:rPr>
                    <w:t>主要环保措施</w:t>
                  </w:r>
                </w:p>
              </w:tc>
              <w:tc>
                <w:tcPr>
                  <w:tcW w:w="517" w:type="pct"/>
                  <w:vAlign w:val="center"/>
                </w:tcPr>
                <w:p>
                  <w:pPr>
                    <w:tabs>
                      <w:tab w:val="left" w:pos="1081"/>
                    </w:tabs>
                    <w:adjustRightInd w:val="0"/>
                    <w:snapToGrid w:val="0"/>
                    <w:jc w:val="center"/>
                    <w:textAlignment w:val="baseline"/>
                    <w:rPr>
                      <w:b/>
                      <w:bCs/>
                    </w:rPr>
                  </w:pPr>
                  <w:r>
                    <w:rPr>
                      <w:b/>
                      <w:bCs/>
                    </w:rPr>
                    <w:t>预计投资（万元）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jc w:val="center"/>
              </w:trPr>
              <w:tc>
                <w:tcPr>
                  <w:tcW w:w="262" w:type="pct"/>
                  <w:vMerge w:val="restart"/>
                  <w:vAlign w:val="center"/>
                </w:tcPr>
                <w:p>
                  <w:pPr>
                    <w:tabs>
                      <w:tab w:val="left" w:pos="1081"/>
                    </w:tabs>
                    <w:adjustRightInd w:val="0"/>
                    <w:snapToGrid w:val="0"/>
                    <w:jc w:val="center"/>
                    <w:textAlignment w:val="baseline"/>
                  </w:pPr>
                  <w:r>
                    <w:t>1</w:t>
                  </w:r>
                </w:p>
              </w:tc>
              <w:tc>
                <w:tcPr>
                  <w:tcW w:w="533" w:type="pct"/>
                  <w:vMerge w:val="restart"/>
                  <w:vAlign w:val="center"/>
                </w:tcPr>
                <w:p>
                  <w:pPr>
                    <w:tabs>
                      <w:tab w:val="left" w:pos="1081"/>
                    </w:tabs>
                    <w:adjustRightInd w:val="0"/>
                    <w:snapToGrid w:val="0"/>
                    <w:jc w:val="center"/>
                    <w:textAlignment w:val="baseline"/>
                  </w:pPr>
                  <w:r>
                    <w:t>废气</w:t>
                  </w:r>
                </w:p>
              </w:tc>
              <w:tc>
                <w:tcPr>
                  <w:tcW w:w="888" w:type="pct"/>
                  <w:vAlign w:val="center"/>
                </w:tcPr>
                <w:p>
                  <w:pPr>
                    <w:jc w:val="center"/>
                  </w:pPr>
                  <w:r>
                    <w:t>压铸废气</w:t>
                  </w:r>
                </w:p>
              </w:tc>
              <w:tc>
                <w:tcPr>
                  <w:tcW w:w="2798" w:type="pct"/>
                  <w:vAlign w:val="center"/>
                </w:tcPr>
                <w:p>
                  <w:pPr>
                    <w:jc w:val="left"/>
                  </w:pPr>
                  <w:r>
                    <w:t>集气装置+水喷淋塔+二级活性炭吸附装置+15m排气筒</w:t>
                  </w:r>
                </w:p>
              </w:tc>
              <w:tc>
                <w:tcPr>
                  <w:tcW w:w="517" w:type="pct"/>
                  <w:vMerge w:val="restart"/>
                  <w:vAlign w:val="center"/>
                </w:tcPr>
                <w:p>
                  <w:pPr>
                    <w:tabs>
                      <w:tab w:val="left" w:pos="1081"/>
                    </w:tabs>
                    <w:adjustRightInd w:val="0"/>
                    <w:snapToGrid w:val="0"/>
                    <w:jc w:val="center"/>
                    <w:textAlignment w:val="baseline"/>
                  </w:pPr>
                  <w: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262" w:type="pct"/>
                  <w:vMerge w:val="continue"/>
                  <w:vAlign w:val="center"/>
                </w:tcPr>
                <w:p>
                  <w:pPr>
                    <w:tabs>
                      <w:tab w:val="left" w:pos="1081"/>
                    </w:tabs>
                    <w:adjustRightInd w:val="0"/>
                    <w:snapToGrid w:val="0"/>
                    <w:jc w:val="center"/>
                    <w:textAlignment w:val="baseline"/>
                  </w:pPr>
                </w:p>
              </w:tc>
              <w:tc>
                <w:tcPr>
                  <w:tcW w:w="533" w:type="pct"/>
                  <w:vMerge w:val="continue"/>
                  <w:vAlign w:val="center"/>
                </w:tcPr>
                <w:p>
                  <w:pPr>
                    <w:tabs>
                      <w:tab w:val="left" w:pos="1081"/>
                    </w:tabs>
                    <w:adjustRightInd w:val="0"/>
                    <w:snapToGrid w:val="0"/>
                    <w:jc w:val="center"/>
                    <w:textAlignment w:val="baseline"/>
                  </w:pPr>
                </w:p>
              </w:tc>
              <w:tc>
                <w:tcPr>
                  <w:tcW w:w="888" w:type="pct"/>
                  <w:vAlign w:val="center"/>
                </w:tcPr>
                <w:p>
                  <w:pPr>
                    <w:jc w:val="center"/>
                  </w:pPr>
                  <w:r>
                    <w:t>打磨抛光粉尘</w:t>
                  </w:r>
                </w:p>
              </w:tc>
              <w:tc>
                <w:tcPr>
                  <w:tcW w:w="2798" w:type="pct"/>
                  <w:vAlign w:val="center"/>
                </w:tcPr>
                <w:p>
                  <w:pPr>
                    <w:jc w:val="left"/>
                    <w:rPr>
                      <w:bCs/>
                    </w:rPr>
                  </w:pPr>
                  <w:r>
                    <w:t>集气装置+旋风除尘+15m排气筒</w:t>
                  </w:r>
                </w:p>
              </w:tc>
              <w:tc>
                <w:tcPr>
                  <w:tcW w:w="517" w:type="pct"/>
                  <w:vMerge w:val="continue"/>
                  <w:vAlign w:val="center"/>
                </w:tcPr>
                <w:p>
                  <w:pPr>
                    <w:tabs>
                      <w:tab w:val="left" w:pos="1081"/>
                    </w:tabs>
                    <w:adjustRightInd w:val="0"/>
                    <w:snapToGrid w:val="0"/>
                    <w:jc w:val="center"/>
                    <w:textAlignment w:val="baseline"/>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4" w:hRule="atLeast"/>
                <w:jc w:val="center"/>
              </w:trPr>
              <w:tc>
                <w:tcPr>
                  <w:tcW w:w="262" w:type="pct"/>
                  <w:vMerge w:val="continue"/>
                  <w:vAlign w:val="center"/>
                </w:tcPr>
                <w:p>
                  <w:pPr>
                    <w:tabs>
                      <w:tab w:val="left" w:pos="1081"/>
                    </w:tabs>
                    <w:adjustRightInd w:val="0"/>
                    <w:snapToGrid w:val="0"/>
                    <w:jc w:val="center"/>
                    <w:textAlignment w:val="baseline"/>
                  </w:pPr>
                </w:p>
              </w:tc>
              <w:tc>
                <w:tcPr>
                  <w:tcW w:w="533" w:type="pct"/>
                  <w:vMerge w:val="continue"/>
                  <w:vAlign w:val="center"/>
                </w:tcPr>
                <w:p>
                  <w:pPr>
                    <w:tabs>
                      <w:tab w:val="left" w:pos="1081"/>
                    </w:tabs>
                    <w:adjustRightInd w:val="0"/>
                    <w:snapToGrid w:val="0"/>
                    <w:jc w:val="center"/>
                    <w:textAlignment w:val="baseline"/>
                  </w:pPr>
                </w:p>
              </w:tc>
              <w:tc>
                <w:tcPr>
                  <w:tcW w:w="888" w:type="pct"/>
                  <w:vAlign w:val="center"/>
                </w:tcPr>
                <w:p>
                  <w:pPr>
                    <w:jc w:val="center"/>
                  </w:pPr>
                  <w:r>
                    <w:t>粉末喷涂粉尘</w:t>
                  </w:r>
                </w:p>
              </w:tc>
              <w:tc>
                <w:tcPr>
                  <w:tcW w:w="2798" w:type="pct"/>
                  <w:vAlign w:val="center"/>
                </w:tcPr>
                <w:p>
                  <w:pPr>
                    <w:jc w:val="left"/>
                    <w:rPr>
                      <w:bCs/>
                    </w:rPr>
                  </w:pPr>
                  <w:r>
                    <w:t>集气装置+布袋除尘器+15m排气筒</w:t>
                  </w:r>
                </w:p>
              </w:tc>
              <w:tc>
                <w:tcPr>
                  <w:tcW w:w="517" w:type="pct"/>
                  <w:vMerge w:val="continue"/>
                  <w:vAlign w:val="center"/>
                </w:tcPr>
                <w:p>
                  <w:pPr>
                    <w:tabs>
                      <w:tab w:val="left" w:pos="1081"/>
                    </w:tabs>
                    <w:adjustRightInd w:val="0"/>
                    <w:snapToGrid w:val="0"/>
                    <w:jc w:val="center"/>
                    <w:textAlignment w:val="baseline"/>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9" w:hRule="atLeast"/>
                <w:jc w:val="center"/>
              </w:trPr>
              <w:tc>
                <w:tcPr>
                  <w:tcW w:w="262" w:type="pct"/>
                  <w:vMerge w:val="continue"/>
                  <w:vAlign w:val="center"/>
                </w:tcPr>
                <w:p>
                  <w:pPr>
                    <w:tabs>
                      <w:tab w:val="left" w:pos="1081"/>
                    </w:tabs>
                    <w:adjustRightInd w:val="0"/>
                    <w:snapToGrid w:val="0"/>
                    <w:jc w:val="center"/>
                    <w:textAlignment w:val="baseline"/>
                  </w:pPr>
                </w:p>
              </w:tc>
              <w:tc>
                <w:tcPr>
                  <w:tcW w:w="533" w:type="pct"/>
                  <w:vMerge w:val="continue"/>
                  <w:vAlign w:val="center"/>
                </w:tcPr>
                <w:p>
                  <w:pPr>
                    <w:tabs>
                      <w:tab w:val="left" w:pos="1081"/>
                    </w:tabs>
                    <w:adjustRightInd w:val="0"/>
                    <w:snapToGrid w:val="0"/>
                    <w:jc w:val="center"/>
                    <w:textAlignment w:val="baseline"/>
                  </w:pPr>
                </w:p>
              </w:tc>
              <w:tc>
                <w:tcPr>
                  <w:tcW w:w="888" w:type="pct"/>
                  <w:vAlign w:val="center"/>
                </w:tcPr>
                <w:p>
                  <w:pPr>
                    <w:jc w:val="center"/>
                  </w:pPr>
                  <w:r>
                    <w:t>烘烤固化废气</w:t>
                  </w:r>
                </w:p>
              </w:tc>
              <w:tc>
                <w:tcPr>
                  <w:tcW w:w="2798" w:type="pct"/>
                  <w:vAlign w:val="center"/>
                </w:tcPr>
                <w:p>
                  <w:pPr>
                    <w:jc w:val="left"/>
                    <w:rPr>
                      <w:bCs/>
                    </w:rPr>
                  </w:pPr>
                  <w:r>
                    <w:t>集气装置+水喷淋塔+二级活性炭吸附装置+15m排气筒</w:t>
                  </w:r>
                </w:p>
              </w:tc>
              <w:tc>
                <w:tcPr>
                  <w:tcW w:w="517" w:type="pct"/>
                  <w:vMerge w:val="continue"/>
                  <w:vAlign w:val="center"/>
                </w:tcPr>
                <w:p>
                  <w:pPr>
                    <w:tabs>
                      <w:tab w:val="left" w:pos="1081"/>
                    </w:tabs>
                    <w:adjustRightInd w:val="0"/>
                    <w:snapToGrid w:val="0"/>
                    <w:jc w:val="center"/>
                    <w:textAlignment w:val="baseline"/>
                    <w:rPr>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2" w:type="pct"/>
                  <w:vAlign w:val="center"/>
                </w:tcPr>
                <w:p>
                  <w:pPr>
                    <w:tabs>
                      <w:tab w:val="left" w:pos="1081"/>
                    </w:tabs>
                    <w:adjustRightInd w:val="0"/>
                    <w:snapToGrid w:val="0"/>
                    <w:jc w:val="center"/>
                    <w:textAlignment w:val="baseline"/>
                  </w:pPr>
                  <w:r>
                    <w:t>2</w:t>
                  </w:r>
                </w:p>
              </w:tc>
              <w:tc>
                <w:tcPr>
                  <w:tcW w:w="533" w:type="pct"/>
                  <w:vAlign w:val="center"/>
                </w:tcPr>
                <w:p>
                  <w:pPr>
                    <w:tabs>
                      <w:tab w:val="left" w:pos="1081"/>
                    </w:tabs>
                    <w:adjustRightInd w:val="0"/>
                    <w:snapToGrid w:val="0"/>
                    <w:jc w:val="center"/>
                    <w:textAlignment w:val="baseline"/>
                  </w:pPr>
                  <w:r>
                    <w:t>废水</w:t>
                  </w:r>
                </w:p>
              </w:tc>
              <w:tc>
                <w:tcPr>
                  <w:tcW w:w="888" w:type="pct"/>
                  <w:vAlign w:val="center"/>
                </w:tcPr>
                <w:p>
                  <w:pPr>
                    <w:tabs>
                      <w:tab w:val="left" w:pos="1081"/>
                    </w:tabs>
                    <w:adjustRightInd w:val="0"/>
                    <w:snapToGrid w:val="0"/>
                    <w:jc w:val="center"/>
                    <w:textAlignment w:val="baseline"/>
                  </w:pPr>
                  <w:r>
                    <w:t>生活污水</w:t>
                  </w:r>
                </w:p>
              </w:tc>
              <w:tc>
                <w:tcPr>
                  <w:tcW w:w="2798" w:type="pct"/>
                  <w:vAlign w:val="center"/>
                </w:tcPr>
                <w:p>
                  <w:pPr>
                    <w:tabs>
                      <w:tab w:val="left" w:pos="1081"/>
                    </w:tabs>
                    <w:adjustRightInd w:val="0"/>
                    <w:snapToGrid w:val="0"/>
                    <w:jc w:val="center"/>
                    <w:textAlignment w:val="baseline"/>
                  </w:pPr>
                  <w:r>
                    <w:t>经三级化粪池预处理后排入市政管网</w:t>
                  </w:r>
                </w:p>
              </w:tc>
              <w:tc>
                <w:tcPr>
                  <w:tcW w:w="517" w:type="pct"/>
                  <w:vAlign w:val="center"/>
                </w:tcPr>
                <w:p>
                  <w:pPr>
                    <w:tabs>
                      <w:tab w:val="left" w:pos="1081"/>
                    </w:tabs>
                    <w:adjustRightInd w:val="0"/>
                    <w:snapToGrid w:val="0"/>
                    <w:jc w:val="center"/>
                    <w:textAlignment w:val="baseline"/>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2" w:type="pct"/>
                  <w:vMerge w:val="restart"/>
                  <w:vAlign w:val="center"/>
                </w:tcPr>
                <w:p>
                  <w:pPr>
                    <w:tabs>
                      <w:tab w:val="left" w:pos="1081"/>
                    </w:tabs>
                    <w:adjustRightInd w:val="0"/>
                    <w:snapToGrid w:val="0"/>
                    <w:jc w:val="center"/>
                    <w:textAlignment w:val="baseline"/>
                  </w:pPr>
                  <w:r>
                    <w:t>3</w:t>
                  </w:r>
                </w:p>
              </w:tc>
              <w:tc>
                <w:tcPr>
                  <w:tcW w:w="533" w:type="pct"/>
                  <w:vMerge w:val="restart"/>
                  <w:vAlign w:val="center"/>
                </w:tcPr>
                <w:p>
                  <w:pPr>
                    <w:tabs>
                      <w:tab w:val="left" w:pos="1081"/>
                    </w:tabs>
                    <w:adjustRightInd w:val="0"/>
                    <w:snapToGrid w:val="0"/>
                    <w:jc w:val="center"/>
                    <w:textAlignment w:val="baseline"/>
                  </w:pPr>
                  <w:r>
                    <w:t>固废</w:t>
                  </w:r>
                </w:p>
              </w:tc>
              <w:tc>
                <w:tcPr>
                  <w:tcW w:w="888" w:type="pct"/>
                  <w:vAlign w:val="center"/>
                </w:tcPr>
                <w:p>
                  <w:pPr>
                    <w:tabs>
                      <w:tab w:val="left" w:pos="1081"/>
                    </w:tabs>
                    <w:adjustRightInd w:val="0"/>
                    <w:snapToGrid w:val="0"/>
                    <w:jc w:val="center"/>
                    <w:textAlignment w:val="baseline"/>
                  </w:pPr>
                  <w:r>
                    <w:t>生活垃圾</w:t>
                  </w:r>
                </w:p>
              </w:tc>
              <w:tc>
                <w:tcPr>
                  <w:tcW w:w="2798" w:type="pct"/>
                  <w:vAlign w:val="center"/>
                </w:tcPr>
                <w:p>
                  <w:pPr>
                    <w:tabs>
                      <w:tab w:val="left" w:pos="1081"/>
                    </w:tabs>
                    <w:adjustRightInd w:val="0"/>
                    <w:snapToGrid w:val="0"/>
                    <w:jc w:val="center"/>
                    <w:textAlignment w:val="baseline"/>
                  </w:pPr>
                  <w:r>
                    <w:t>垃圾桶、交由环卫部门清理</w:t>
                  </w:r>
                </w:p>
              </w:tc>
              <w:tc>
                <w:tcPr>
                  <w:tcW w:w="517" w:type="pct"/>
                  <w:vAlign w:val="center"/>
                </w:tcPr>
                <w:p>
                  <w:pPr>
                    <w:tabs>
                      <w:tab w:val="left" w:pos="1081"/>
                    </w:tabs>
                    <w:adjustRightInd w:val="0"/>
                    <w:snapToGrid w:val="0"/>
                    <w:jc w:val="center"/>
                    <w:textAlignment w:val="baseline"/>
                  </w:pPr>
                  <w: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5" w:hRule="atLeast"/>
                <w:jc w:val="center"/>
              </w:trPr>
              <w:tc>
                <w:tcPr>
                  <w:tcW w:w="262" w:type="pct"/>
                  <w:vMerge w:val="continue"/>
                  <w:vAlign w:val="center"/>
                </w:tcPr>
                <w:p>
                  <w:pPr>
                    <w:tabs>
                      <w:tab w:val="left" w:pos="1081"/>
                    </w:tabs>
                    <w:adjustRightInd w:val="0"/>
                    <w:snapToGrid w:val="0"/>
                    <w:jc w:val="center"/>
                    <w:textAlignment w:val="baseline"/>
                  </w:pPr>
                </w:p>
              </w:tc>
              <w:tc>
                <w:tcPr>
                  <w:tcW w:w="533" w:type="pct"/>
                  <w:vMerge w:val="continue"/>
                  <w:vAlign w:val="center"/>
                </w:tcPr>
                <w:p>
                  <w:pPr>
                    <w:tabs>
                      <w:tab w:val="left" w:pos="1081"/>
                    </w:tabs>
                    <w:adjustRightInd w:val="0"/>
                    <w:snapToGrid w:val="0"/>
                    <w:jc w:val="center"/>
                    <w:textAlignment w:val="baseline"/>
                  </w:pPr>
                </w:p>
              </w:tc>
              <w:tc>
                <w:tcPr>
                  <w:tcW w:w="888" w:type="pct"/>
                  <w:vAlign w:val="center"/>
                </w:tcPr>
                <w:p>
                  <w:pPr>
                    <w:tabs>
                      <w:tab w:val="left" w:pos="1081"/>
                    </w:tabs>
                    <w:adjustRightInd w:val="0"/>
                    <w:snapToGrid w:val="0"/>
                    <w:jc w:val="center"/>
                    <w:textAlignment w:val="baseline"/>
                  </w:pPr>
                  <w:r>
                    <w:t>一般工业固体废物</w:t>
                  </w:r>
                </w:p>
              </w:tc>
              <w:tc>
                <w:tcPr>
                  <w:tcW w:w="2798" w:type="pct"/>
                  <w:vAlign w:val="center"/>
                </w:tcPr>
                <w:p>
                  <w:pPr>
                    <w:tabs>
                      <w:tab w:val="left" w:pos="1081"/>
                    </w:tabs>
                    <w:adjustRightInd w:val="0"/>
                    <w:snapToGrid w:val="0"/>
                    <w:jc w:val="center"/>
                    <w:textAlignment w:val="baseline"/>
                  </w:pPr>
                  <w:r>
                    <w:t>回用于生产、交专业公司回收处理</w:t>
                  </w:r>
                </w:p>
              </w:tc>
              <w:tc>
                <w:tcPr>
                  <w:tcW w:w="517" w:type="pct"/>
                  <w:vAlign w:val="center"/>
                </w:tcPr>
                <w:p>
                  <w:pPr>
                    <w:tabs>
                      <w:tab w:val="left" w:pos="1081"/>
                    </w:tabs>
                    <w:adjustRightInd w:val="0"/>
                    <w:snapToGrid w:val="0"/>
                    <w:jc w:val="center"/>
                    <w:textAlignment w:val="baseline"/>
                    <w:rPr>
                      <w:color w:val="FF0000"/>
                    </w:rPr>
                  </w:pPr>
                  <w: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2" w:type="pct"/>
                  <w:vMerge w:val="continue"/>
                  <w:vAlign w:val="center"/>
                </w:tcPr>
                <w:p>
                  <w:pPr>
                    <w:tabs>
                      <w:tab w:val="left" w:pos="1081"/>
                    </w:tabs>
                    <w:adjustRightInd w:val="0"/>
                    <w:snapToGrid w:val="0"/>
                    <w:jc w:val="center"/>
                    <w:textAlignment w:val="baseline"/>
                  </w:pPr>
                </w:p>
              </w:tc>
              <w:tc>
                <w:tcPr>
                  <w:tcW w:w="533" w:type="pct"/>
                  <w:vMerge w:val="continue"/>
                  <w:vAlign w:val="center"/>
                </w:tcPr>
                <w:p>
                  <w:pPr>
                    <w:tabs>
                      <w:tab w:val="left" w:pos="1081"/>
                    </w:tabs>
                    <w:adjustRightInd w:val="0"/>
                    <w:snapToGrid w:val="0"/>
                    <w:jc w:val="center"/>
                    <w:textAlignment w:val="baseline"/>
                  </w:pPr>
                </w:p>
              </w:tc>
              <w:tc>
                <w:tcPr>
                  <w:tcW w:w="888" w:type="pct"/>
                  <w:vAlign w:val="center"/>
                </w:tcPr>
                <w:p>
                  <w:pPr>
                    <w:tabs>
                      <w:tab w:val="left" w:pos="1081"/>
                    </w:tabs>
                    <w:adjustRightInd w:val="0"/>
                    <w:snapToGrid w:val="0"/>
                    <w:jc w:val="center"/>
                    <w:textAlignment w:val="baseline"/>
                  </w:pPr>
                  <w:r>
                    <w:t>危险废物</w:t>
                  </w:r>
                </w:p>
              </w:tc>
              <w:tc>
                <w:tcPr>
                  <w:tcW w:w="2798" w:type="pct"/>
                  <w:vAlign w:val="center"/>
                </w:tcPr>
                <w:p>
                  <w:pPr>
                    <w:tabs>
                      <w:tab w:val="left" w:pos="1081"/>
                    </w:tabs>
                    <w:adjustRightInd w:val="0"/>
                    <w:snapToGrid w:val="0"/>
                    <w:jc w:val="center"/>
                    <w:textAlignment w:val="baseline"/>
                  </w:pPr>
                  <w:r>
                    <w:t>委托有资质单位转运处置</w:t>
                  </w:r>
                </w:p>
              </w:tc>
              <w:tc>
                <w:tcPr>
                  <w:tcW w:w="517" w:type="pct"/>
                  <w:vAlign w:val="center"/>
                </w:tcPr>
                <w:p>
                  <w:pPr>
                    <w:tabs>
                      <w:tab w:val="left" w:pos="1081"/>
                    </w:tabs>
                    <w:adjustRightInd w:val="0"/>
                    <w:snapToGrid w:val="0"/>
                    <w:jc w:val="center"/>
                    <w:textAlignment w:val="baseline"/>
                  </w:pPr>
                  <w: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62" w:type="pct"/>
                  <w:vAlign w:val="center"/>
                </w:tcPr>
                <w:p>
                  <w:pPr>
                    <w:tabs>
                      <w:tab w:val="left" w:pos="1081"/>
                    </w:tabs>
                    <w:adjustRightInd w:val="0"/>
                    <w:snapToGrid w:val="0"/>
                    <w:jc w:val="center"/>
                    <w:textAlignment w:val="baseline"/>
                  </w:pPr>
                  <w:r>
                    <w:t>4</w:t>
                  </w:r>
                </w:p>
              </w:tc>
              <w:tc>
                <w:tcPr>
                  <w:tcW w:w="533" w:type="pct"/>
                  <w:vAlign w:val="center"/>
                </w:tcPr>
                <w:p>
                  <w:pPr>
                    <w:tabs>
                      <w:tab w:val="left" w:pos="1081"/>
                    </w:tabs>
                    <w:adjustRightInd w:val="0"/>
                    <w:snapToGrid w:val="0"/>
                    <w:jc w:val="center"/>
                    <w:textAlignment w:val="baseline"/>
                  </w:pPr>
                  <w:r>
                    <w:t>噪声</w:t>
                  </w:r>
                </w:p>
              </w:tc>
              <w:tc>
                <w:tcPr>
                  <w:tcW w:w="3686" w:type="pct"/>
                  <w:gridSpan w:val="2"/>
                  <w:vAlign w:val="center"/>
                </w:tcPr>
                <w:p>
                  <w:pPr>
                    <w:tabs>
                      <w:tab w:val="left" w:pos="1081"/>
                    </w:tabs>
                    <w:adjustRightInd w:val="0"/>
                    <w:snapToGrid w:val="0"/>
                    <w:jc w:val="left"/>
                    <w:textAlignment w:val="baseline"/>
                  </w:pPr>
                  <w:r>
                    <w:t>设置减振隔声措施，生产车间设置隔音门窗等措施，定期对各种机械设备进行维护与保养</w:t>
                  </w:r>
                </w:p>
              </w:tc>
              <w:tc>
                <w:tcPr>
                  <w:tcW w:w="517" w:type="pct"/>
                  <w:vAlign w:val="center"/>
                </w:tcPr>
                <w:p>
                  <w:pPr>
                    <w:tabs>
                      <w:tab w:val="left" w:pos="1081"/>
                    </w:tabs>
                    <w:adjustRightInd w:val="0"/>
                    <w:snapToGrid w:val="0"/>
                    <w:jc w:val="center"/>
                    <w:textAlignment w:val="baseline"/>
                    <w:rPr>
                      <w:color w:val="FF0000"/>
                    </w:rPr>
                  </w:pPr>
                  <w: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262" w:type="pct"/>
                  <w:vAlign w:val="center"/>
                </w:tcPr>
                <w:p>
                  <w:pPr>
                    <w:tabs>
                      <w:tab w:val="left" w:pos="1081"/>
                    </w:tabs>
                    <w:adjustRightInd w:val="0"/>
                    <w:snapToGrid w:val="0"/>
                    <w:jc w:val="center"/>
                    <w:textAlignment w:val="baseline"/>
                  </w:pPr>
                  <w:r>
                    <w:t>5</w:t>
                  </w:r>
                </w:p>
              </w:tc>
              <w:tc>
                <w:tcPr>
                  <w:tcW w:w="533" w:type="pct"/>
                  <w:vAlign w:val="center"/>
                </w:tcPr>
                <w:p>
                  <w:pPr>
                    <w:jc w:val="center"/>
                  </w:pPr>
                  <w:r>
                    <w:t>环境</w:t>
                  </w:r>
                </w:p>
                <w:p>
                  <w:pPr>
                    <w:jc w:val="center"/>
                  </w:pPr>
                  <w:r>
                    <w:t>风险</w:t>
                  </w:r>
                </w:p>
              </w:tc>
              <w:tc>
                <w:tcPr>
                  <w:tcW w:w="3686" w:type="pct"/>
                  <w:gridSpan w:val="2"/>
                  <w:vAlign w:val="center"/>
                </w:tcPr>
                <w:p>
                  <w:pPr>
                    <w:jc w:val="center"/>
                  </w:pPr>
                  <w:r>
                    <w:t>手提式干粉灭火器、推车式灭火器、灭火毯、沙子等应急措施</w:t>
                  </w:r>
                </w:p>
              </w:tc>
              <w:tc>
                <w:tcPr>
                  <w:tcW w:w="517" w:type="pct"/>
                  <w:vAlign w:val="center"/>
                </w:tcPr>
                <w:p>
                  <w:pPr>
                    <w:jc w:val="center"/>
                    <w:rPr>
                      <w:color w:val="FF0000"/>
                      <w:sz w:val="20"/>
                    </w:rPr>
                  </w:pPr>
                  <w:r>
                    <w:rPr>
                      <w:sz w:val="20"/>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0" w:hRule="atLeast"/>
                <w:jc w:val="center"/>
              </w:trPr>
              <w:tc>
                <w:tcPr>
                  <w:tcW w:w="262" w:type="pct"/>
                  <w:vAlign w:val="center"/>
                </w:tcPr>
                <w:p>
                  <w:pPr>
                    <w:tabs>
                      <w:tab w:val="left" w:pos="1081"/>
                    </w:tabs>
                    <w:adjustRightInd w:val="0"/>
                    <w:snapToGrid w:val="0"/>
                    <w:jc w:val="center"/>
                    <w:textAlignment w:val="baseline"/>
                  </w:pPr>
                  <w:r>
                    <w:t>6</w:t>
                  </w:r>
                </w:p>
              </w:tc>
              <w:tc>
                <w:tcPr>
                  <w:tcW w:w="4220" w:type="pct"/>
                  <w:gridSpan w:val="3"/>
                  <w:vAlign w:val="center"/>
                </w:tcPr>
                <w:p>
                  <w:pPr>
                    <w:tabs>
                      <w:tab w:val="left" w:pos="1081"/>
                    </w:tabs>
                    <w:adjustRightInd w:val="0"/>
                    <w:snapToGrid w:val="0"/>
                    <w:jc w:val="center"/>
                    <w:textAlignment w:val="baseline"/>
                  </w:pPr>
                  <w:r>
                    <w:t>合计</w:t>
                  </w:r>
                </w:p>
              </w:tc>
              <w:tc>
                <w:tcPr>
                  <w:tcW w:w="517" w:type="pct"/>
                  <w:vAlign w:val="center"/>
                </w:tcPr>
                <w:p>
                  <w:pPr>
                    <w:tabs>
                      <w:tab w:val="left" w:pos="1081"/>
                    </w:tabs>
                    <w:adjustRightInd w:val="0"/>
                    <w:snapToGrid w:val="0"/>
                    <w:jc w:val="center"/>
                    <w:textAlignment w:val="baseline"/>
                  </w:pPr>
                  <w:r>
                    <w:t>60</w:t>
                  </w:r>
                </w:p>
              </w:tc>
            </w:tr>
          </w:tbl>
          <w:p>
            <w:pPr>
              <w:widowControl/>
              <w:spacing w:before="120" w:beforeLines="50" w:line="360" w:lineRule="auto"/>
              <w:ind w:firstLine="422" w:firstLineChars="200"/>
              <w:rPr>
                <w:b/>
                <w:bCs/>
              </w:rPr>
            </w:pPr>
            <w:r>
              <w:rPr>
                <w:b/>
                <w:bCs/>
              </w:rPr>
              <w:t>3、主要产品信息</w:t>
            </w:r>
          </w:p>
          <w:p>
            <w:pPr>
              <w:pStyle w:val="2"/>
              <w:spacing w:after="120" w:afterLines="50"/>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表2-3 项目主要产品及产量</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1526"/>
              <w:gridCol w:w="1126"/>
              <w:gridCol w:w="1424"/>
              <w:gridCol w:w="1010"/>
              <w:gridCol w:w="1395"/>
              <w:gridCol w:w="1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471" w:type="pct"/>
                  <w:vAlign w:val="center"/>
                </w:tcPr>
                <w:p>
                  <w:pPr>
                    <w:adjustRightInd w:val="0"/>
                    <w:snapToGrid w:val="0"/>
                    <w:jc w:val="center"/>
                    <w:rPr>
                      <w:b/>
                    </w:rPr>
                  </w:pPr>
                  <w:r>
                    <w:rPr>
                      <w:b/>
                    </w:rPr>
                    <w:t>序号</w:t>
                  </w:r>
                </w:p>
              </w:tc>
              <w:tc>
                <w:tcPr>
                  <w:tcW w:w="923" w:type="pct"/>
                  <w:vAlign w:val="center"/>
                </w:tcPr>
                <w:p>
                  <w:pPr>
                    <w:adjustRightInd w:val="0"/>
                    <w:snapToGrid w:val="0"/>
                    <w:jc w:val="center"/>
                    <w:rPr>
                      <w:b/>
                    </w:rPr>
                  </w:pPr>
                  <w:r>
                    <w:rPr>
                      <w:b/>
                    </w:rPr>
                    <w:t>产品名称</w:t>
                  </w:r>
                </w:p>
              </w:tc>
              <w:tc>
                <w:tcPr>
                  <w:tcW w:w="819" w:type="pct"/>
                  <w:vAlign w:val="center"/>
                </w:tcPr>
                <w:p>
                  <w:pPr>
                    <w:adjustRightInd w:val="0"/>
                    <w:snapToGrid w:val="0"/>
                    <w:jc w:val="center"/>
                    <w:rPr>
                      <w:b/>
                    </w:rPr>
                  </w:pPr>
                  <w:r>
                    <w:rPr>
                      <w:b/>
                    </w:rPr>
                    <w:t>项目产量</w:t>
                  </w:r>
                </w:p>
              </w:tc>
              <w:tc>
                <w:tcPr>
                  <w:tcW w:w="1345" w:type="pct"/>
                  <w:gridSpan w:val="2"/>
                  <w:vAlign w:val="center"/>
                </w:tcPr>
                <w:p>
                  <w:pPr>
                    <w:adjustRightInd w:val="0"/>
                    <w:snapToGrid w:val="0"/>
                    <w:jc w:val="center"/>
                    <w:rPr>
                      <w:b/>
                    </w:rPr>
                  </w:pPr>
                  <w:r>
                    <w:rPr>
                      <w:b/>
                    </w:rPr>
                    <w:t>单位</w:t>
                  </w:r>
                </w:p>
              </w:tc>
              <w:tc>
                <w:tcPr>
                  <w:tcW w:w="1440" w:type="pct"/>
                  <w:gridSpan w:val="2"/>
                  <w:vAlign w:val="center"/>
                </w:tcPr>
                <w:p>
                  <w:pPr>
                    <w:adjustRightInd w:val="0"/>
                    <w:snapToGrid w:val="0"/>
                    <w:jc w:val="center"/>
                    <w:rPr>
                      <w:b/>
                    </w:rPr>
                  </w:pPr>
                  <w:r>
                    <w:rPr>
                      <w:b/>
                    </w:rPr>
                    <w:t>贮存位置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432" w:hRule="atLeast"/>
                <w:jc w:val="center"/>
              </w:trPr>
              <w:tc>
                <w:tcPr>
                  <w:tcW w:w="471" w:type="pct"/>
                  <w:vAlign w:val="center"/>
                </w:tcPr>
                <w:p>
                  <w:pPr>
                    <w:adjustRightInd w:val="0"/>
                    <w:snapToGrid w:val="0"/>
                    <w:jc w:val="center"/>
                    <w:rPr>
                      <w:bCs/>
                    </w:rPr>
                  </w:pPr>
                  <w:r>
                    <w:rPr>
                      <w:bCs/>
                    </w:rPr>
                    <w:t>1</w:t>
                  </w:r>
                </w:p>
              </w:tc>
              <w:tc>
                <w:tcPr>
                  <w:tcW w:w="923" w:type="pct"/>
                  <w:vAlign w:val="center"/>
                </w:tcPr>
                <w:p>
                  <w:pPr>
                    <w:adjustRightInd w:val="0"/>
                    <w:snapToGrid w:val="0"/>
                    <w:jc w:val="center"/>
                    <w:rPr>
                      <w:bCs/>
                    </w:rPr>
                  </w:pPr>
                  <w:r>
                    <w:rPr>
                      <w:bCs/>
                    </w:rPr>
                    <w:t>锌合金制品</w:t>
                  </w:r>
                </w:p>
              </w:tc>
              <w:tc>
                <w:tcPr>
                  <w:tcW w:w="819" w:type="pct"/>
                  <w:vAlign w:val="center"/>
                </w:tcPr>
                <w:p>
                  <w:pPr>
                    <w:adjustRightInd w:val="0"/>
                    <w:snapToGrid w:val="0"/>
                    <w:jc w:val="center"/>
                    <w:rPr>
                      <w:bCs/>
                    </w:rPr>
                  </w:pPr>
                  <w:r>
                    <w:rPr>
                      <w:bCs/>
                    </w:rPr>
                    <w:t>150</w:t>
                  </w:r>
                </w:p>
              </w:tc>
              <w:tc>
                <w:tcPr>
                  <w:tcW w:w="1345" w:type="pct"/>
                  <w:gridSpan w:val="2"/>
                  <w:vAlign w:val="center"/>
                </w:tcPr>
                <w:p>
                  <w:pPr>
                    <w:adjustRightInd w:val="0"/>
                    <w:snapToGrid w:val="0"/>
                    <w:jc w:val="center"/>
                    <w:rPr>
                      <w:bCs/>
                    </w:rPr>
                  </w:pPr>
                  <w:r>
                    <w:rPr>
                      <w:bCs/>
                    </w:rPr>
                    <w:t>t/a</w:t>
                  </w:r>
                </w:p>
              </w:tc>
              <w:tc>
                <w:tcPr>
                  <w:tcW w:w="1440" w:type="pct"/>
                  <w:gridSpan w:val="2"/>
                  <w:vAlign w:val="center"/>
                </w:tcPr>
                <w:p>
                  <w:pPr>
                    <w:adjustRightInd w:val="0"/>
                    <w:snapToGrid w:val="0"/>
                    <w:jc w:val="center"/>
                    <w:rPr>
                      <w:bCs/>
                    </w:rPr>
                  </w:pPr>
                  <w:r>
                    <w:rPr>
                      <w:bCs/>
                    </w:rPr>
                    <w:t>成品区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71" w:type="pct"/>
                  <w:vAlign w:val="center"/>
                </w:tcPr>
                <w:p>
                  <w:pPr>
                    <w:adjustRightInd w:val="0"/>
                    <w:snapToGrid w:val="0"/>
                    <w:jc w:val="center"/>
                    <w:rPr>
                      <w:bCs/>
                    </w:rPr>
                  </w:pPr>
                  <w:r>
                    <w:rPr>
                      <w:bCs/>
                    </w:rPr>
                    <w:t>2</w:t>
                  </w:r>
                </w:p>
              </w:tc>
              <w:tc>
                <w:tcPr>
                  <w:tcW w:w="923" w:type="pct"/>
                  <w:vAlign w:val="center"/>
                </w:tcPr>
                <w:p>
                  <w:pPr>
                    <w:adjustRightInd w:val="0"/>
                    <w:snapToGrid w:val="0"/>
                    <w:jc w:val="center"/>
                    <w:rPr>
                      <w:bCs/>
                    </w:rPr>
                  </w:pPr>
                  <w:r>
                    <w:rPr>
                      <w:bCs/>
                    </w:rPr>
                    <w:t>铝合金制品</w:t>
                  </w:r>
                </w:p>
              </w:tc>
              <w:tc>
                <w:tcPr>
                  <w:tcW w:w="819" w:type="pct"/>
                  <w:vAlign w:val="center"/>
                </w:tcPr>
                <w:p>
                  <w:pPr>
                    <w:adjustRightInd w:val="0"/>
                    <w:snapToGrid w:val="0"/>
                    <w:jc w:val="center"/>
                    <w:rPr>
                      <w:bCs/>
                    </w:rPr>
                  </w:pPr>
                  <w:r>
                    <w:rPr>
                      <w:bCs/>
                    </w:rPr>
                    <w:t>900</w:t>
                  </w:r>
                </w:p>
              </w:tc>
              <w:tc>
                <w:tcPr>
                  <w:tcW w:w="1345" w:type="pct"/>
                  <w:gridSpan w:val="2"/>
                  <w:vAlign w:val="center"/>
                </w:tcPr>
                <w:p>
                  <w:pPr>
                    <w:adjustRightInd w:val="0"/>
                    <w:snapToGrid w:val="0"/>
                    <w:jc w:val="center"/>
                    <w:rPr>
                      <w:bCs/>
                    </w:rPr>
                  </w:pPr>
                  <w:r>
                    <w:rPr>
                      <w:bCs/>
                    </w:rPr>
                    <w:t>t/a</w:t>
                  </w:r>
                </w:p>
              </w:tc>
              <w:tc>
                <w:tcPr>
                  <w:tcW w:w="1440" w:type="pct"/>
                  <w:gridSpan w:val="2"/>
                  <w:vAlign w:val="center"/>
                </w:tcPr>
                <w:p>
                  <w:pPr>
                    <w:adjustRightInd w:val="0"/>
                    <w:snapToGrid w:val="0"/>
                    <w:jc w:val="center"/>
                    <w:rPr>
                      <w:bCs/>
                    </w:rPr>
                  </w:pPr>
                  <w:r>
                    <w:rPr>
                      <w:bCs/>
                    </w:rPr>
                    <w:t>成品区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7"/>
                  <w:vAlign w:val="center"/>
                </w:tcPr>
                <w:p>
                  <w:pPr>
                    <w:adjustRightInd w:val="0"/>
                    <w:snapToGrid w:val="0"/>
                    <w:jc w:val="center"/>
                    <w:rPr>
                      <w:bCs/>
                    </w:rPr>
                  </w:pPr>
                  <w:r>
                    <w:rPr>
                      <w:b/>
                      <w:bCs/>
                    </w:rPr>
                    <w:t>具体产品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71" w:type="pct"/>
                  <w:vAlign w:val="center"/>
                </w:tcPr>
                <w:p>
                  <w:pPr>
                    <w:adjustRightInd w:val="0"/>
                    <w:snapToGrid w:val="0"/>
                    <w:jc w:val="center"/>
                    <w:rPr>
                      <w:bCs/>
                    </w:rPr>
                  </w:pPr>
                  <w:r>
                    <w:rPr>
                      <w:bCs/>
                    </w:rPr>
                    <w:t>序号</w:t>
                  </w:r>
                </w:p>
              </w:tc>
              <w:tc>
                <w:tcPr>
                  <w:tcW w:w="923" w:type="pct"/>
                  <w:vAlign w:val="center"/>
                </w:tcPr>
                <w:p>
                  <w:pPr>
                    <w:adjustRightInd w:val="0"/>
                    <w:snapToGrid w:val="0"/>
                    <w:jc w:val="center"/>
                    <w:rPr>
                      <w:bCs/>
                    </w:rPr>
                  </w:pPr>
                  <w:r>
                    <w:rPr>
                      <w:bCs/>
                    </w:rPr>
                    <w:t>产品名称</w:t>
                  </w:r>
                </w:p>
              </w:tc>
              <w:tc>
                <w:tcPr>
                  <w:tcW w:w="819" w:type="pct"/>
                  <w:vAlign w:val="center"/>
                </w:tcPr>
                <w:p>
                  <w:pPr>
                    <w:adjustRightInd w:val="0"/>
                    <w:snapToGrid w:val="0"/>
                    <w:jc w:val="center"/>
                    <w:rPr>
                      <w:bCs/>
                    </w:rPr>
                  </w:pPr>
                  <w:r>
                    <w:rPr>
                      <w:bCs/>
                    </w:rPr>
                    <w:t>产品总重量</w:t>
                  </w:r>
                </w:p>
              </w:tc>
              <w:tc>
                <w:tcPr>
                  <w:tcW w:w="662" w:type="pct"/>
                  <w:vAlign w:val="center"/>
                </w:tcPr>
                <w:p>
                  <w:pPr>
                    <w:adjustRightInd w:val="0"/>
                    <w:snapToGrid w:val="0"/>
                    <w:jc w:val="center"/>
                    <w:rPr>
                      <w:bCs/>
                    </w:rPr>
                  </w:pPr>
                  <w:r>
                    <w:rPr>
                      <w:rFonts w:hint="eastAsia"/>
                      <w:bCs/>
                    </w:rPr>
                    <w:t>产品尺寸</w:t>
                  </w:r>
                </w:p>
              </w:tc>
              <w:tc>
                <w:tcPr>
                  <w:tcW w:w="682" w:type="pct"/>
                  <w:vAlign w:val="center"/>
                </w:tcPr>
                <w:p>
                  <w:pPr>
                    <w:adjustRightInd w:val="0"/>
                    <w:snapToGrid w:val="0"/>
                    <w:jc w:val="center"/>
                    <w:rPr>
                      <w:bCs/>
                      <w:kern w:val="2"/>
                      <w:szCs w:val="21"/>
                    </w:rPr>
                  </w:pPr>
                  <w:r>
                    <w:rPr>
                      <w:bCs/>
                    </w:rPr>
                    <w:t>单位重量</w:t>
                  </w:r>
                </w:p>
              </w:tc>
              <w:tc>
                <w:tcPr>
                  <w:tcW w:w="791" w:type="pct"/>
                  <w:vAlign w:val="center"/>
                </w:tcPr>
                <w:p>
                  <w:pPr>
                    <w:adjustRightInd w:val="0"/>
                    <w:snapToGrid w:val="0"/>
                    <w:jc w:val="center"/>
                    <w:rPr>
                      <w:bCs/>
                    </w:rPr>
                  </w:pPr>
                  <w:r>
                    <w:rPr>
                      <w:bCs/>
                    </w:rPr>
                    <w:t>产品个数</w:t>
                  </w:r>
                </w:p>
              </w:tc>
              <w:tc>
                <w:tcPr>
                  <w:tcW w:w="648" w:type="pct"/>
                  <w:vAlign w:val="center"/>
                </w:tcPr>
                <w:p>
                  <w:pPr>
                    <w:adjustRightInd w:val="0"/>
                    <w:snapToGrid w:val="0"/>
                    <w:jc w:val="center"/>
                    <w:rPr>
                      <w:bCs/>
                    </w:rPr>
                  </w:pPr>
                  <w:r>
                    <w:rPr>
                      <w:bCs/>
                    </w:rPr>
                    <w:t>贮存位置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71" w:type="pct"/>
                  <w:vAlign w:val="center"/>
                </w:tcPr>
                <w:p>
                  <w:pPr>
                    <w:adjustRightInd w:val="0"/>
                    <w:snapToGrid w:val="0"/>
                    <w:jc w:val="center"/>
                    <w:rPr>
                      <w:bCs/>
                    </w:rPr>
                  </w:pPr>
                  <w:r>
                    <w:rPr>
                      <w:bCs/>
                    </w:rPr>
                    <w:t>1</w:t>
                  </w:r>
                </w:p>
              </w:tc>
              <w:tc>
                <w:tcPr>
                  <w:tcW w:w="923" w:type="pct"/>
                  <w:vAlign w:val="center"/>
                </w:tcPr>
                <w:p>
                  <w:pPr>
                    <w:adjustRightInd w:val="0"/>
                    <w:snapToGrid w:val="0"/>
                    <w:jc w:val="center"/>
                    <w:rPr>
                      <w:bCs/>
                    </w:rPr>
                  </w:pPr>
                  <w:r>
                    <w:rPr>
                      <w:bCs/>
                    </w:rPr>
                    <w:t>汽车配件</w:t>
                  </w:r>
                </w:p>
              </w:tc>
              <w:tc>
                <w:tcPr>
                  <w:tcW w:w="819" w:type="pct"/>
                  <w:vAlign w:val="center"/>
                </w:tcPr>
                <w:p>
                  <w:pPr>
                    <w:adjustRightInd w:val="0"/>
                    <w:snapToGrid w:val="0"/>
                    <w:jc w:val="center"/>
                    <w:rPr>
                      <w:bCs/>
                    </w:rPr>
                  </w:pPr>
                  <w:r>
                    <w:rPr>
                      <w:bCs/>
                    </w:rPr>
                    <w:t>900t</w:t>
                  </w:r>
                </w:p>
              </w:tc>
              <w:tc>
                <w:tcPr>
                  <w:tcW w:w="662" w:type="pct"/>
                  <w:vAlign w:val="center"/>
                </w:tcPr>
                <w:p>
                  <w:pPr>
                    <w:adjustRightInd w:val="0"/>
                    <w:snapToGrid w:val="0"/>
                    <w:jc w:val="center"/>
                    <w:rPr>
                      <w:bCs/>
                    </w:rPr>
                  </w:pPr>
                  <w:r>
                    <w:rPr>
                      <w:rFonts w:hint="eastAsia"/>
                      <w:bCs/>
                    </w:rPr>
                    <w:t>0.4*0.4*0.25</w:t>
                  </w:r>
                </w:p>
              </w:tc>
              <w:tc>
                <w:tcPr>
                  <w:tcW w:w="682" w:type="pct"/>
                  <w:vAlign w:val="center"/>
                </w:tcPr>
                <w:p>
                  <w:pPr>
                    <w:adjustRightInd w:val="0"/>
                    <w:snapToGrid w:val="0"/>
                    <w:jc w:val="center"/>
                    <w:rPr>
                      <w:bCs/>
                      <w:kern w:val="2"/>
                      <w:szCs w:val="21"/>
                    </w:rPr>
                  </w:pPr>
                  <w:r>
                    <w:rPr>
                      <w:bCs/>
                    </w:rPr>
                    <w:t>1.34kg</w:t>
                  </w:r>
                </w:p>
              </w:tc>
              <w:tc>
                <w:tcPr>
                  <w:tcW w:w="791" w:type="pct"/>
                  <w:vAlign w:val="center"/>
                </w:tcPr>
                <w:p>
                  <w:pPr>
                    <w:adjustRightInd w:val="0"/>
                    <w:snapToGrid w:val="0"/>
                    <w:jc w:val="center"/>
                    <w:rPr>
                      <w:bCs/>
                    </w:rPr>
                  </w:pPr>
                  <w:r>
                    <w:rPr>
                      <w:bCs/>
                    </w:rPr>
                    <w:t>67万件</w:t>
                  </w:r>
                </w:p>
              </w:tc>
              <w:tc>
                <w:tcPr>
                  <w:tcW w:w="648" w:type="pct"/>
                  <w:vAlign w:val="center"/>
                </w:tcPr>
                <w:p>
                  <w:pPr>
                    <w:adjustRightInd w:val="0"/>
                    <w:snapToGrid w:val="0"/>
                    <w:jc w:val="center"/>
                    <w:rPr>
                      <w:bCs/>
                    </w:rPr>
                  </w:pPr>
                  <w:r>
                    <w:rPr>
                      <w:bCs/>
                    </w:rPr>
                    <w:t>成品区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71" w:type="pct"/>
                  <w:vAlign w:val="center"/>
                </w:tcPr>
                <w:p>
                  <w:pPr>
                    <w:adjustRightInd w:val="0"/>
                    <w:snapToGrid w:val="0"/>
                    <w:jc w:val="center"/>
                    <w:rPr>
                      <w:bCs/>
                    </w:rPr>
                  </w:pPr>
                  <w:r>
                    <w:rPr>
                      <w:bCs/>
                    </w:rPr>
                    <w:t>2</w:t>
                  </w:r>
                </w:p>
              </w:tc>
              <w:tc>
                <w:tcPr>
                  <w:tcW w:w="923" w:type="pct"/>
                  <w:vAlign w:val="center"/>
                </w:tcPr>
                <w:p>
                  <w:pPr>
                    <w:adjustRightInd w:val="0"/>
                    <w:snapToGrid w:val="0"/>
                    <w:jc w:val="center"/>
                    <w:rPr>
                      <w:bCs/>
                    </w:rPr>
                  </w:pPr>
                  <w:r>
                    <w:rPr>
                      <w:bCs/>
                    </w:rPr>
                    <w:t>灯类配件</w:t>
                  </w:r>
                </w:p>
              </w:tc>
              <w:tc>
                <w:tcPr>
                  <w:tcW w:w="819" w:type="pct"/>
                  <w:vAlign w:val="center"/>
                </w:tcPr>
                <w:p>
                  <w:pPr>
                    <w:adjustRightInd w:val="0"/>
                    <w:snapToGrid w:val="0"/>
                    <w:jc w:val="center"/>
                    <w:rPr>
                      <w:bCs/>
                    </w:rPr>
                  </w:pPr>
                  <w:r>
                    <w:rPr>
                      <w:bCs/>
                    </w:rPr>
                    <w:t>75t</w:t>
                  </w:r>
                </w:p>
              </w:tc>
              <w:tc>
                <w:tcPr>
                  <w:tcW w:w="662" w:type="pct"/>
                  <w:vAlign w:val="center"/>
                </w:tcPr>
                <w:p>
                  <w:pPr>
                    <w:adjustRightInd w:val="0"/>
                    <w:snapToGrid w:val="0"/>
                    <w:jc w:val="center"/>
                    <w:rPr>
                      <w:bCs/>
                    </w:rPr>
                  </w:pPr>
                  <w:r>
                    <w:rPr>
                      <w:rFonts w:hint="eastAsia"/>
                      <w:bCs/>
                    </w:rPr>
                    <w:t>0.1*0.05*0.05</w:t>
                  </w:r>
                </w:p>
              </w:tc>
              <w:tc>
                <w:tcPr>
                  <w:tcW w:w="682" w:type="pct"/>
                  <w:vAlign w:val="center"/>
                </w:tcPr>
                <w:p>
                  <w:pPr>
                    <w:adjustRightInd w:val="0"/>
                    <w:snapToGrid w:val="0"/>
                    <w:jc w:val="center"/>
                    <w:rPr>
                      <w:bCs/>
                      <w:kern w:val="2"/>
                      <w:szCs w:val="21"/>
                    </w:rPr>
                  </w:pPr>
                  <w:r>
                    <w:rPr>
                      <w:bCs/>
                    </w:rPr>
                    <w:t>0.75kg</w:t>
                  </w:r>
                </w:p>
              </w:tc>
              <w:tc>
                <w:tcPr>
                  <w:tcW w:w="791" w:type="pct"/>
                  <w:vAlign w:val="center"/>
                </w:tcPr>
                <w:p>
                  <w:pPr>
                    <w:adjustRightInd w:val="0"/>
                    <w:snapToGrid w:val="0"/>
                    <w:jc w:val="center"/>
                    <w:rPr>
                      <w:bCs/>
                    </w:rPr>
                  </w:pPr>
                  <w:r>
                    <w:rPr>
                      <w:bCs/>
                    </w:rPr>
                    <w:t>10.5万件</w:t>
                  </w:r>
                </w:p>
              </w:tc>
              <w:tc>
                <w:tcPr>
                  <w:tcW w:w="648" w:type="pct"/>
                  <w:vAlign w:val="center"/>
                </w:tcPr>
                <w:p>
                  <w:pPr>
                    <w:adjustRightInd w:val="0"/>
                    <w:snapToGrid w:val="0"/>
                    <w:jc w:val="center"/>
                    <w:rPr>
                      <w:bCs/>
                    </w:rPr>
                  </w:pPr>
                  <w:r>
                    <w:rPr>
                      <w:bCs/>
                    </w:rPr>
                    <w:t>成品区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cantSplit/>
                <w:trHeight w:val="397" w:hRule="atLeast"/>
                <w:jc w:val="center"/>
              </w:trPr>
              <w:tc>
                <w:tcPr>
                  <w:tcW w:w="471" w:type="pct"/>
                  <w:vAlign w:val="center"/>
                </w:tcPr>
                <w:p>
                  <w:pPr>
                    <w:adjustRightInd w:val="0"/>
                    <w:snapToGrid w:val="0"/>
                    <w:jc w:val="center"/>
                    <w:rPr>
                      <w:bCs/>
                    </w:rPr>
                  </w:pPr>
                  <w:r>
                    <w:rPr>
                      <w:bCs/>
                    </w:rPr>
                    <w:t>3</w:t>
                  </w:r>
                </w:p>
              </w:tc>
              <w:tc>
                <w:tcPr>
                  <w:tcW w:w="923" w:type="pct"/>
                  <w:vAlign w:val="center"/>
                </w:tcPr>
                <w:p>
                  <w:pPr>
                    <w:adjustRightInd w:val="0"/>
                    <w:snapToGrid w:val="0"/>
                    <w:jc w:val="center"/>
                    <w:rPr>
                      <w:bCs/>
                    </w:rPr>
                  </w:pPr>
                  <w:r>
                    <w:rPr>
                      <w:bCs/>
                    </w:rPr>
                    <w:t>显示器配件</w:t>
                  </w:r>
                </w:p>
              </w:tc>
              <w:tc>
                <w:tcPr>
                  <w:tcW w:w="819" w:type="pct"/>
                  <w:vAlign w:val="center"/>
                </w:tcPr>
                <w:p>
                  <w:pPr>
                    <w:adjustRightInd w:val="0"/>
                    <w:snapToGrid w:val="0"/>
                    <w:jc w:val="center"/>
                    <w:rPr>
                      <w:bCs/>
                    </w:rPr>
                  </w:pPr>
                  <w:r>
                    <w:rPr>
                      <w:bCs/>
                    </w:rPr>
                    <w:t>75t</w:t>
                  </w:r>
                </w:p>
              </w:tc>
              <w:tc>
                <w:tcPr>
                  <w:tcW w:w="662" w:type="pct"/>
                  <w:vAlign w:val="center"/>
                </w:tcPr>
                <w:p>
                  <w:pPr>
                    <w:adjustRightInd w:val="0"/>
                    <w:snapToGrid w:val="0"/>
                    <w:jc w:val="center"/>
                    <w:rPr>
                      <w:bCs/>
                    </w:rPr>
                  </w:pPr>
                  <w:r>
                    <w:rPr>
                      <w:rFonts w:hint="eastAsia"/>
                      <w:bCs/>
                    </w:rPr>
                    <w:t>0.2*0.2*0.04</w:t>
                  </w:r>
                </w:p>
              </w:tc>
              <w:tc>
                <w:tcPr>
                  <w:tcW w:w="682" w:type="pct"/>
                  <w:vAlign w:val="center"/>
                </w:tcPr>
                <w:p>
                  <w:pPr>
                    <w:adjustRightInd w:val="0"/>
                    <w:snapToGrid w:val="0"/>
                    <w:jc w:val="center"/>
                    <w:rPr>
                      <w:bCs/>
                      <w:kern w:val="2"/>
                      <w:szCs w:val="21"/>
                    </w:rPr>
                  </w:pPr>
                  <w:r>
                    <w:rPr>
                      <w:bCs/>
                    </w:rPr>
                    <w:t>0.288kg</w:t>
                  </w:r>
                </w:p>
              </w:tc>
              <w:tc>
                <w:tcPr>
                  <w:tcW w:w="791" w:type="pct"/>
                  <w:vAlign w:val="center"/>
                </w:tcPr>
                <w:p>
                  <w:pPr>
                    <w:adjustRightInd w:val="0"/>
                    <w:snapToGrid w:val="0"/>
                    <w:jc w:val="center"/>
                    <w:rPr>
                      <w:bCs/>
                    </w:rPr>
                  </w:pPr>
                  <w:r>
                    <w:rPr>
                      <w:bCs/>
                    </w:rPr>
                    <w:t>26万件</w:t>
                  </w:r>
                </w:p>
              </w:tc>
              <w:tc>
                <w:tcPr>
                  <w:tcW w:w="648" w:type="pct"/>
                  <w:vAlign w:val="center"/>
                </w:tcPr>
                <w:p>
                  <w:pPr>
                    <w:adjustRightInd w:val="0"/>
                    <w:snapToGrid w:val="0"/>
                    <w:jc w:val="center"/>
                    <w:rPr>
                      <w:bCs/>
                    </w:rPr>
                  </w:pPr>
                  <w:r>
                    <w:rPr>
                      <w:bCs/>
                    </w:rPr>
                    <w:t>成品区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95" w:type="pct"/>
                  <w:gridSpan w:val="2"/>
                  <w:vAlign w:val="center"/>
                </w:tcPr>
                <w:p>
                  <w:pPr>
                    <w:adjustRightInd w:val="0"/>
                    <w:snapToGrid w:val="0"/>
                    <w:jc w:val="center"/>
                    <w:rPr>
                      <w:bCs/>
                    </w:rPr>
                  </w:pPr>
                  <w:r>
                    <w:rPr>
                      <w:bCs/>
                    </w:rPr>
                    <w:drawing>
                      <wp:inline distT="0" distB="0" distL="114300" distR="114300">
                        <wp:extent cx="1316355" cy="1284605"/>
                        <wp:effectExtent l="0" t="0" r="9525" b="10795"/>
                        <wp:docPr id="324" name="图片 324" descr="汽车配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4" name="图片 324" descr="汽车配件"/>
                                <pic:cNvPicPr>
                                  <a:picLocks noChangeAspect="1"/>
                                </pic:cNvPicPr>
                              </pic:nvPicPr>
                              <pic:blipFill>
                                <a:blip r:embed="rId10"/>
                                <a:stretch>
                                  <a:fillRect/>
                                </a:stretch>
                              </pic:blipFill>
                              <pic:spPr>
                                <a:xfrm>
                                  <a:off x="0" y="0"/>
                                  <a:ext cx="1316355" cy="1284605"/>
                                </a:xfrm>
                                <a:prstGeom prst="rect">
                                  <a:avLst/>
                                </a:prstGeom>
                              </pic:spPr>
                            </pic:pic>
                          </a:graphicData>
                        </a:graphic>
                      </wp:inline>
                    </w:drawing>
                  </w:r>
                </w:p>
              </w:tc>
              <w:tc>
                <w:tcPr>
                  <w:tcW w:w="2164" w:type="pct"/>
                  <w:gridSpan w:val="3"/>
                  <w:vAlign w:val="center"/>
                </w:tcPr>
                <w:p>
                  <w:pPr>
                    <w:adjustRightInd w:val="0"/>
                    <w:snapToGrid w:val="0"/>
                    <w:jc w:val="center"/>
                    <w:rPr>
                      <w:bCs/>
                    </w:rPr>
                  </w:pPr>
                  <w:r>
                    <w:rPr>
                      <w:bCs/>
                    </w:rPr>
                    <w:drawing>
                      <wp:inline distT="0" distB="0" distL="114300" distR="114300">
                        <wp:extent cx="1751330" cy="1249680"/>
                        <wp:effectExtent l="0" t="0" r="1270" b="0"/>
                        <wp:docPr id="325" name="图片 325" descr="显示器配件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5" name="图片 325" descr="显示器配件 (2)"/>
                                <pic:cNvPicPr>
                                  <a:picLocks noChangeAspect="1"/>
                                </pic:cNvPicPr>
                              </pic:nvPicPr>
                              <pic:blipFill>
                                <a:blip r:embed="rId11"/>
                                <a:srcRect l="17609" r="18677"/>
                                <a:stretch>
                                  <a:fillRect/>
                                </a:stretch>
                              </pic:blipFill>
                              <pic:spPr>
                                <a:xfrm>
                                  <a:off x="0" y="0"/>
                                  <a:ext cx="1751330" cy="1249680"/>
                                </a:xfrm>
                                <a:prstGeom prst="rect">
                                  <a:avLst/>
                                </a:prstGeom>
                              </pic:spPr>
                            </pic:pic>
                          </a:graphicData>
                        </a:graphic>
                      </wp:inline>
                    </w:drawing>
                  </w:r>
                </w:p>
              </w:tc>
              <w:tc>
                <w:tcPr>
                  <w:tcW w:w="1440" w:type="pct"/>
                  <w:gridSpan w:val="2"/>
                  <w:vAlign w:val="center"/>
                </w:tcPr>
                <w:p>
                  <w:pPr>
                    <w:adjustRightInd w:val="0"/>
                    <w:snapToGrid w:val="0"/>
                    <w:jc w:val="center"/>
                    <w:rPr>
                      <w:bCs/>
                    </w:rPr>
                  </w:pPr>
                  <w:r>
                    <w:rPr>
                      <w:bCs/>
                    </w:rPr>
                    <w:drawing>
                      <wp:inline distT="0" distB="0" distL="114300" distR="114300">
                        <wp:extent cx="1470025" cy="1145540"/>
                        <wp:effectExtent l="0" t="0" r="8255" b="12700"/>
                        <wp:docPr id="327" name="图片 327" descr="灯类配件"/>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7" name="图片 327" descr="灯类配件"/>
                                <pic:cNvPicPr>
                                  <a:picLocks noChangeAspect="1"/>
                                </pic:cNvPicPr>
                              </pic:nvPicPr>
                              <pic:blipFill>
                                <a:blip r:embed="rId12"/>
                                <a:srcRect l="16274" r="22447"/>
                                <a:stretch>
                                  <a:fillRect/>
                                </a:stretch>
                              </pic:blipFill>
                              <pic:spPr>
                                <a:xfrm>
                                  <a:off x="0" y="0"/>
                                  <a:ext cx="1470025" cy="11455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1395" w:type="pct"/>
                  <w:gridSpan w:val="2"/>
                  <w:vAlign w:val="center"/>
                </w:tcPr>
                <w:p>
                  <w:pPr>
                    <w:adjustRightInd w:val="0"/>
                    <w:snapToGrid w:val="0"/>
                    <w:jc w:val="center"/>
                    <w:rPr>
                      <w:bCs/>
                    </w:rPr>
                  </w:pPr>
                  <w:r>
                    <w:rPr>
                      <w:bCs/>
                    </w:rPr>
                    <w:t>汽车配件</w:t>
                  </w:r>
                </w:p>
              </w:tc>
              <w:tc>
                <w:tcPr>
                  <w:tcW w:w="2164" w:type="pct"/>
                  <w:gridSpan w:val="3"/>
                  <w:vAlign w:val="center"/>
                </w:tcPr>
                <w:p>
                  <w:pPr>
                    <w:adjustRightInd w:val="0"/>
                    <w:snapToGrid w:val="0"/>
                    <w:jc w:val="center"/>
                    <w:rPr>
                      <w:bCs/>
                    </w:rPr>
                  </w:pPr>
                  <w:r>
                    <w:rPr>
                      <w:bCs/>
                    </w:rPr>
                    <w:t>显示器配件</w:t>
                  </w:r>
                </w:p>
              </w:tc>
              <w:tc>
                <w:tcPr>
                  <w:tcW w:w="1440" w:type="pct"/>
                  <w:gridSpan w:val="2"/>
                  <w:vAlign w:val="center"/>
                </w:tcPr>
                <w:p>
                  <w:pPr>
                    <w:adjustRightInd w:val="0"/>
                    <w:snapToGrid w:val="0"/>
                    <w:jc w:val="center"/>
                    <w:rPr>
                      <w:bCs/>
                    </w:rPr>
                  </w:pPr>
                  <w:r>
                    <w:rPr>
                      <w:bCs/>
                    </w:rPr>
                    <w:t>灯饰配件</w:t>
                  </w:r>
                </w:p>
              </w:tc>
            </w:tr>
          </w:tbl>
          <w:p>
            <w:pPr>
              <w:widowControl/>
              <w:spacing w:before="120" w:beforeLines="50" w:line="360" w:lineRule="auto"/>
              <w:ind w:firstLine="422" w:firstLineChars="200"/>
              <w:rPr>
                <w:b/>
                <w:bCs/>
              </w:rPr>
            </w:pPr>
            <w:r>
              <w:rPr>
                <w:b/>
                <w:bCs/>
              </w:rPr>
              <w:t>4、原辅材料消耗情况</w:t>
            </w:r>
          </w:p>
          <w:p>
            <w:pPr>
              <w:widowControl/>
              <w:spacing w:line="360" w:lineRule="auto"/>
              <w:jc w:val="center"/>
              <w:rPr>
                <w:b/>
                <w:bCs/>
              </w:rPr>
            </w:pPr>
            <w:r>
              <w:rPr>
                <w:b/>
                <w:bCs/>
              </w:rPr>
              <w:t>表2-4 主要原辅材料用量一览表</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97"/>
              <w:gridCol w:w="1441"/>
              <w:gridCol w:w="1365"/>
              <w:gridCol w:w="1471"/>
              <w:gridCol w:w="1787"/>
              <w:gridCol w:w="174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5" w:type="pct"/>
                  <w:vAlign w:val="center"/>
                </w:tcPr>
                <w:p>
                  <w:pPr>
                    <w:pStyle w:val="469"/>
                    <w:snapToGrid w:val="0"/>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序号</w:t>
                  </w:r>
                </w:p>
              </w:tc>
              <w:tc>
                <w:tcPr>
                  <w:tcW w:w="856" w:type="pct"/>
                  <w:vAlign w:val="center"/>
                </w:tcPr>
                <w:p>
                  <w:pPr>
                    <w:pStyle w:val="469"/>
                    <w:snapToGrid w:val="0"/>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名称</w:t>
                  </w:r>
                </w:p>
              </w:tc>
              <w:tc>
                <w:tcPr>
                  <w:tcW w:w="811" w:type="pct"/>
                  <w:vAlign w:val="center"/>
                </w:tcPr>
                <w:p>
                  <w:pPr>
                    <w:pStyle w:val="469"/>
                    <w:snapToGrid w:val="0"/>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年用量</w:t>
                  </w:r>
                </w:p>
              </w:tc>
              <w:tc>
                <w:tcPr>
                  <w:tcW w:w="874" w:type="pct"/>
                  <w:vAlign w:val="center"/>
                </w:tcPr>
                <w:p>
                  <w:pPr>
                    <w:pStyle w:val="469"/>
                    <w:snapToGrid w:val="0"/>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单位</w:t>
                  </w:r>
                </w:p>
              </w:tc>
              <w:tc>
                <w:tcPr>
                  <w:tcW w:w="1062" w:type="pct"/>
                  <w:vAlign w:val="center"/>
                </w:tcPr>
                <w:p>
                  <w:pPr>
                    <w:pStyle w:val="469"/>
                    <w:snapToGrid w:val="0"/>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最大储存量</w:t>
                  </w:r>
                </w:p>
              </w:tc>
              <w:tc>
                <w:tcPr>
                  <w:tcW w:w="1038" w:type="pct"/>
                  <w:vAlign w:val="center"/>
                </w:tcPr>
                <w:p>
                  <w:pPr>
                    <w:pStyle w:val="469"/>
                    <w:snapToGrid w:val="0"/>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存放位置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5" w:type="pct"/>
                  <w:vAlign w:val="center"/>
                </w:tcPr>
                <w:p>
                  <w:pPr>
                    <w:adjustRightInd w:val="0"/>
                    <w:snapToGrid w:val="0"/>
                    <w:jc w:val="center"/>
                  </w:pPr>
                  <w:r>
                    <w:t>1</w:t>
                  </w:r>
                </w:p>
              </w:tc>
              <w:tc>
                <w:tcPr>
                  <w:tcW w:w="856" w:type="pct"/>
                  <w:vAlign w:val="center"/>
                </w:tcPr>
                <w:p>
                  <w:pPr>
                    <w:adjustRightInd w:val="0"/>
                    <w:snapToGrid w:val="0"/>
                    <w:jc w:val="center"/>
                    <w:rPr>
                      <w:bCs/>
                    </w:rPr>
                  </w:pPr>
                  <w:r>
                    <w:rPr>
                      <w:bCs/>
                    </w:rPr>
                    <w:t>锌合金锭</w:t>
                  </w:r>
                </w:p>
              </w:tc>
              <w:tc>
                <w:tcPr>
                  <w:tcW w:w="811" w:type="pct"/>
                  <w:vAlign w:val="center"/>
                </w:tcPr>
                <w:p>
                  <w:pPr>
                    <w:adjustRightInd w:val="0"/>
                    <w:snapToGrid w:val="0"/>
                    <w:jc w:val="center"/>
                    <w:rPr>
                      <w:bCs/>
                    </w:rPr>
                  </w:pPr>
                  <w:r>
                    <w:rPr>
                      <w:bCs/>
                    </w:rPr>
                    <w:t>15</w:t>
                  </w:r>
                  <w:r>
                    <w:rPr>
                      <w:rFonts w:hint="eastAsia"/>
                      <w:bCs/>
                    </w:rPr>
                    <w:t>3</w:t>
                  </w:r>
                </w:p>
              </w:tc>
              <w:tc>
                <w:tcPr>
                  <w:tcW w:w="874"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t</w:t>
                  </w:r>
                </w:p>
              </w:tc>
              <w:tc>
                <w:tcPr>
                  <w:tcW w:w="1062"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30t</w:t>
                  </w:r>
                </w:p>
              </w:tc>
              <w:tc>
                <w:tcPr>
                  <w:tcW w:w="1038" w:type="pct"/>
                  <w:vMerge w:val="restar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原料仓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5" w:type="pct"/>
                  <w:vAlign w:val="center"/>
                </w:tcPr>
                <w:p>
                  <w:pPr>
                    <w:adjustRightInd w:val="0"/>
                    <w:snapToGrid w:val="0"/>
                    <w:jc w:val="center"/>
                  </w:pPr>
                  <w:r>
                    <w:t>2</w:t>
                  </w:r>
                </w:p>
              </w:tc>
              <w:tc>
                <w:tcPr>
                  <w:tcW w:w="856" w:type="pct"/>
                  <w:vAlign w:val="center"/>
                </w:tcPr>
                <w:p>
                  <w:pPr>
                    <w:adjustRightInd w:val="0"/>
                    <w:snapToGrid w:val="0"/>
                    <w:jc w:val="center"/>
                    <w:rPr>
                      <w:bCs/>
                    </w:rPr>
                  </w:pPr>
                  <w:r>
                    <w:rPr>
                      <w:bCs/>
                    </w:rPr>
                    <w:t>铝合金锭</w:t>
                  </w:r>
                </w:p>
              </w:tc>
              <w:tc>
                <w:tcPr>
                  <w:tcW w:w="811" w:type="pct"/>
                  <w:vAlign w:val="center"/>
                </w:tcPr>
                <w:p>
                  <w:pPr>
                    <w:adjustRightInd w:val="0"/>
                    <w:snapToGrid w:val="0"/>
                    <w:jc w:val="center"/>
                    <w:rPr>
                      <w:bCs/>
                    </w:rPr>
                  </w:pPr>
                  <w:r>
                    <w:rPr>
                      <w:bCs/>
                    </w:rPr>
                    <w:t>9</w:t>
                  </w:r>
                  <w:r>
                    <w:rPr>
                      <w:rFonts w:hint="eastAsia"/>
                      <w:bCs/>
                    </w:rPr>
                    <w:t>12</w:t>
                  </w:r>
                </w:p>
              </w:tc>
              <w:tc>
                <w:tcPr>
                  <w:tcW w:w="874"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t</w:t>
                  </w:r>
                </w:p>
              </w:tc>
              <w:tc>
                <w:tcPr>
                  <w:tcW w:w="1062"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30t</w:t>
                  </w:r>
                </w:p>
              </w:tc>
              <w:tc>
                <w:tcPr>
                  <w:tcW w:w="1038" w:type="pct"/>
                  <w:vMerge w:val="continue"/>
                  <w:vAlign w:val="center"/>
                </w:tcPr>
                <w:p>
                  <w:pPr>
                    <w:pStyle w:val="469"/>
                    <w:snapToGrid w:val="0"/>
                    <w:spacing w:line="240" w:lineRule="auto"/>
                    <w:rPr>
                      <w:rFonts w:ascii="Times New Roman" w:hAnsi="Times New Roman" w:eastAsia="宋体" w:cs="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5" w:type="pct"/>
                  <w:vAlign w:val="center"/>
                </w:tcPr>
                <w:p>
                  <w:pPr>
                    <w:adjustRightInd w:val="0"/>
                    <w:snapToGrid w:val="0"/>
                    <w:jc w:val="center"/>
                  </w:pPr>
                  <w:r>
                    <w:t>3</w:t>
                  </w:r>
                </w:p>
              </w:tc>
              <w:tc>
                <w:tcPr>
                  <w:tcW w:w="856" w:type="pct"/>
                  <w:vAlign w:val="center"/>
                </w:tcPr>
                <w:p>
                  <w:pPr>
                    <w:adjustRightInd w:val="0"/>
                    <w:snapToGrid w:val="0"/>
                    <w:jc w:val="center"/>
                    <w:rPr>
                      <w:bCs/>
                    </w:rPr>
                  </w:pPr>
                  <w:r>
                    <w:rPr>
                      <w:bCs/>
                    </w:rPr>
                    <w:t>脱模剂</w:t>
                  </w:r>
                </w:p>
              </w:tc>
              <w:tc>
                <w:tcPr>
                  <w:tcW w:w="811" w:type="pct"/>
                  <w:vAlign w:val="center"/>
                </w:tcPr>
                <w:p>
                  <w:pPr>
                    <w:adjustRightInd w:val="0"/>
                    <w:snapToGrid w:val="0"/>
                    <w:jc w:val="center"/>
                    <w:rPr>
                      <w:bCs/>
                    </w:rPr>
                  </w:pPr>
                  <w:r>
                    <w:rPr>
                      <w:bCs/>
                    </w:rPr>
                    <w:t>4</w:t>
                  </w:r>
                </w:p>
              </w:tc>
              <w:tc>
                <w:tcPr>
                  <w:tcW w:w="874"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t</w:t>
                  </w:r>
                </w:p>
              </w:tc>
              <w:tc>
                <w:tcPr>
                  <w:tcW w:w="1062"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1t</w:t>
                  </w:r>
                </w:p>
              </w:tc>
              <w:tc>
                <w:tcPr>
                  <w:tcW w:w="1038" w:type="pct"/>
                  <w:vMerge w:val="continue"/>
                  <w:vAlign w:val="center"/>
                </w:tcPr>
                <w:p>
                  <w:pPr>
                    <w:pStyle w:val="469"/>
                    <w:snapToGrid w:val="0"/>
                    <w:spacing w:line="240" w:lineRule="auto"/>
                    <w:rPr>
                      <w:rFonts w:ascii="Times New Roman" w:hAnsi="Times New Roman" w:eastAsia="宋体" w:cs="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5" w:type="pct"/>
                  <w:vAlign w:val="center"/>
                </w:tcPr>
                <w:p>
                  <w:pPr>
                    <w:adjustRightInd w:val="0"/>
                    <w:snapToGrid w:val="0"/>
                    <w:jc w:val="center"/>
                  </w:pPr>
                  <w:r>
                    <w:t>4</w:t>
                  </w:r>
                </w:p>
              </w:tc>
              <w:tc>
                <w:tcPr>
                  <w:tcW w:w="856" w:type="pct"/>
                  <w:vAlign w:val="center"/>
                </w:tcPr>
                <w:p>
                  <w:pPr>
                    <w:adjustRightInd w:val="0"/>
                    <w:snapToGrid w:val="0"/>
                    <w:jc w:val="center"/>
                    <w:rPr>
                      <w:bCs/>
                    </w:rPr>
                  </w:pPr>
                  <w:r>
                    <w:rPr>
                      <w:bCs/>
                    </w:rPr>
                    <w:t>切削液</w:t>
                  </w:r>
                </w:p>
              </w:tc>
              <w:tc>
                <w:tcPr>
                  <w:tcW w:w="811" w:type="pct"/>
                  <w:vAlign w:val="center"/>
                </w:tcPr>
                <w:p>
                  <w:pPr>
                    <w:adjustRightInd w:val="0"/>
                    <w:snapToGrid w:val="0"/>
                    <w:jc w:val="center"/>
                    <w:rPr>
                      <w:bCs/>
                    </w:rPr>
                  </w:pPr>
                  <w:r>
                    <w:rPr>
                      <w:bCs/>
                    </w:rPr>
                    <w:t>0.8</w:t>
                  </w:r>
                </w:p>
              </w:tc>
              <w:tc>
                <w:tcPr>
                  <w:tcW w:w="874"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t</w:t>
                  </w:r>
                </w:p>
              </w:tc>
              <w:tc>
                <w:tcPr>
                  <w:tcW w:w="1062"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0.2t</w:t>
                  </w:r>
                </w:p>
              </w:tc>
              <w:tc>
                <w:tcPr>
                  <w:tcW w:w="1038" w:type="pct"/>
                  <w:vMerge w:val="continue"/>
                  <w:vAlign w:val="center"/>
                </w:tcPr>
                <w:p>
                  <w:pPr>
                    <w:pStyle w:val="469"/>
                    <w:snapToGrid w:val="0"/>
                    <w:spacing w:line="240" w:lineRule="auto"/>
                    <w:rPr>
                      <w:rFonts w:ascii="Times New Roman" w:hAnsi="Times New Roman" w:eastAsia="宋体" w:cs="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5" w:type="pct"/>
                  <w:vAlign w:val="center"/>
                </w:tcPr>
                <w:p>
                  <w:pPr>
                    <w:adjustRightInd w:val="0"/>
                    <w:snapToGrid w:val="0"/>
                    <w:jc w:val="center"/>
                  </w:pPr>
                  <w:r>
                    <w:t>5</w:t>
                  </w:r>
                </w:p>
              </w:tc>
              <w:tc>
                <w:tcPr>
                  <w:tcW w:w="856" w:type="pct"/>
                  <w:vAlign w:val="center"/>
                </w:tcPr>
                <w:p>
                  <w:pPr>
                    <w:adjustRightInd w:val="0"/>
                    <w:snapToGrid w:val="0"/>
                    <w:jc w:val="center"/>
                    <w:rPr>
                      <w:bCs/>
                    </w:rPr>
                  </w:pPr>
                  <w:r>
                    <w:rPr>
                      <w:bCs/>
                    </w:rPr>
                    <w:t>粉末涂料</w:t>
                  </w:r>
                </w:p>
              </w:tc>
              <w:tc>
                <w:tcPr>
                  <w:tcW w:w="811" w:type="pct"/>
                  <w:vAlign w:val="center"/>
                </w:tcPr>
                <w:p>
                  <w:pPr>
                    <w:adjustRightInd w:val="0"/>
                    <w:snapToGrid w:val="0"/>
                    <w:jc w:val="center"/>
                    <w:rPr>
                      <w:bCs/>
                    </w:rPr>
                  </w:pPr>
                  <w:r>
                    <w:rPr>
                      <w:bCs/>
                    </w:rPr>
                    <w:t>1.82</w:t>
                  </w:r>
                </w:p>
              </w:tc>
              <w:tc>
                <w:tcPr>
                  <w:tcW w:w="874"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t</w:t>
                  </w:r>
                </w:p>
              </w:tc>
              <w:tc>
                <w:tcPr>
                  <w:tcW w:w="1062"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0.5t</w:t>
                  </w:r>
                </w:p>
              </w:tc>
              <w:tc>
                <w:tcPr>
                  <w:tcW w:w="1038" w:type="pct"/>
                  <w:vMerge w:val="continue"/>
                  <w:vAlign w:val="center"/>
                </w:tcPr>
                <w:p>
                  <w:pPr>
                    <w:pStyle w:val="469"/>
                    <w:snapToGrid w:val="0"/>
                    <w:spacing w:line="240" w:lineRule="auto"/>
                    <w:rPr>
                      <w:rFonts w:ascii="Times New Roman" w:hAnsi="Times New Roman" w:eastAsia="宋体" w:cs="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5" w:type="pct"/>
                  <w:vAlign w:val="center"/>
                </w:tcPr>
                <w:p>
                  <w:pPr>
                    <w:adjustRightInd w:val="0"/>
                    <w:snapToGrid w:val="0"/>
                    <w:jc w:val="center"/>
                  </w:pPr>
                  <w:r>
                    <w:t>6</w:t>
                  </w:r>
                </w:p>
              </w:tc>
              <w:tc>
                <w:tcPr>
                  <w:tcW w:w="856" w:type="pct"/>
                  <w:vAlign w:val="center"/>
                </w:tcPr>
                <w:p>
                  <w:pPr>
                    <w:adjustRightInd w:val="0"/>
                    <w:snapToGrid w:val="0"/>
                    <w:jc w:val="center"/>
                    <w:rPr>
                      <w:bCs/>
                    </w:rPr>
                  </w:pPr>
                  <w:r>
                    <w:rPr>
                      <w:bCs/>
                    </w:rPr>
                    <w:t>不锈钢砂</w:t>
                  </w:r>
                </w:p>
              </w:tc>
              <w:tc>
                <w:tcPr>
                  <w:tcW w:w="811" w:type="pct"/>
                  <w:vAlign w:val="center"/>
                </w:tcPr>
                <w:p>
                  <w:pPr>
                    <w:adjustRightInd w:val="0"/>
                    <w:snapToGrid w:val="0"/>
                    <w:jc w:val="center"/>
                  </w:pPr>
                  <w:r>
                    <w:t>3</w:t>
                  </w:r>
                </w:p>
              </w:tc>
              <w:tc>
                <w:tcPr>
                  <w:tcW w:w="874"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t</w:t>
                  </w:r>
                </w:p>
              </w:tc>
              <w:tc>
                <w:tcPr>
                  <w:tcW w:w="1062"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3t</w:t>
                  </w:r>
                </w:p>
              </w:tc>
              <w:tc>
                <w:tcPr>
                  <w:tcW w:w="1038" w:type="pct"/>
                  <w:vMerge w:val="continue"/>
                  <w:vAlign w:val="center"/>
                </w:tcPr>
                <w:p>
                  <w:pPr>
                    <w:pStyle w:val="469"/>
                    <w:snapToGrid w:val="0"/>
                    <w:spacing w:line="240" w:lineRule="auto"/>
                    <w:rPr>
                      <w:rFonts w:ascii="Times New Roman" w:hAnsi="Times New Roman" w:eastAsia="宋体" w:cs="Times New Roman"/>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355" w:type="pct"/>
                  <w:vAlign w:val="center"/>
                </w:tcPr>
                <w:p>
                  <w:pPr>
                    <w:adjustRightInd w:val="0"/>
                    <w:snapToGrid w:val="0"/>
                    <w:jc w:val="center"/>
                  </w:pPr>
                  <w:r>
                    <w:t>7</w:t>
                  </w:r>
                </w:p>
              </w:tc>
              <w:tc>
                <w:tcPr>
                  <w:tcW w:w="856" w:type="pct"/>
                  <w:vAlign w:val="center"/>
                </w:tcPr>
                <w:p>
                  <w:pPr>
                    <w:adjustRightInd w:val="0"/>
                    <w:snapToGrid w:val="0"/>
                    <w:jc w:val="center"/>
                    <w:rPr>
                      <w:bCs/>
                    </w:rPr>
                  </w:pPr>
                  <w:r>
                    <w:rPr>
                      <w:bCs/>
                    </w:rPr>
                    <w:t>液压油</w:t>
                  </w:r>
                </w:p>
              </w:tc>
              <w:tc>
                <w:tcPr>
                  <w:tcW w:w="811" w:type="pct"/>
                  <w:vAlign w:val="center"/>
                </w:tcPr>
                <w:p>
                  <w:pPr>
                    <w:adjustRightInd w:val="0"/>
                    <w:snapToGrid w:val="0"/>
                    <w:jc w:val="center"/>
                  </w:pPr>
                  <w:r>
                    <w:t>0.2</w:t>
                  </w:r>
                </w:p>
              </w:tc>
              <w:tc>
                <w:tcPr>
                  <w:tcW w:w="874"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t</w:t>
                  </w:r>
                </w:p>
              </w:tc>
              <w:tc>
                <w:tcPr>
                  <w:tcW w:w="1062" w:type="pct"/>
                  <w:vAlign w:val="center"/>
                </w:tcPr>
                <w:p>
                  <w:pPr>
                    <w:pStyle w:val="469"/>
                    <w:snapToGrid w:val="0"/>
                    <w:spacing w:line="240" w:lineRule="auto"/>
                    <w:rPr>
                      <w:rFonts w:ascii="Times New Roman" w:hAnsi="Times New Roman" w:eastAsia="宋体" w:cs="Times New Roman"/>
                      <w:sz w:val="21"/>
                      <w:szCs w:val="21"/>
                      <w:lang w:eastAsia="zh-CN"/>
                    </w:rPr>
                  </w:pPr>
                  <w:r>
                    <w:rPr>
                      <w:rFonts w:ascii="Times New Roman" w:hAnsi="Times New Roman" w:eastAsia="宋体" w:cs="Times New Roman"/>
                      <w:sz w:val="21"/>
                      <w:szCs w:val="21"/>
                      <w:lang w:eastAsia="zh-CN"/>
                    </w:rPr>
                    <w:t>0.1t</w:t>
                  </w:r>
                </w:p>
              </w:tc>
              <w:tc>
                <w:tcPr>
                  <w:tcW w:w="1038" w:type="pct"/>
                  <w:vMerge w:val="continue"/>
                  <w:vAlign w:val="center"/>
                </w:tcPr>
                <w:p>
                  <w:pPr>
                    <w:pStyle w:val="469"/>
                    <w:snapToGrid w:val="0"/>
                    <w:spacing w:line="240" w:lineRule="auto"/>
                    <w:rPr>
                      <w:rFonts w:ascii="Times New Roman" w:hAnsi="Times New Roman" w:eastAsia="宋体" w:cs="Times New Roman"/>
                      <w:sz w:val="21"/>
                      <w:szCs w:val="21"/>
                      <w:lang w:eastAsia="zh-CN"/>
                    </w:rPr>
                  </w:pPr>
                </w:p>
              </w:tc>
            </w:tr>
          </w:tbl>
          <w:p>
            <w:pPr>
              <w:widowControl/>
              <w:adjustRightInd w:val="0"/>
              <w:snapToGrid w:val="0"/>
              <w:spacing w:before="120" w:beforeLines="50" w:line="360" w:lineRule="auto"/>
              <w:ind w:firstLine="420"/>
            </w:pPr>
            <w:r>
              <w:t>原辅材料的理化性质说明：</w:t>
            </w:r>
          </w:p>
          <w:p>
            <w:pPr>
              <w:spacing w:line="360" w:lineRule="auto"/>
              <w:ind w:firstLine="422" w:firstLineChars="200"/>
              <w:rPr>
                <w:bCs/>
              </w:rPr>
            </w:pPr>
            <w:r>
              <w:rPr>
                <w:b/>
                <w:bCs/>
              </w:rPr>
              <w:t>脱模剂：</w:t>
            </w:r>
            <w:r>
              <w:t>项目</w:t>
            </w:r>
            <w:r>
              <w:rPr>
                <w:rFonts w:hint="eastAsia"/>
                <w:bCs/>
              </w:rPr>
              <w:t>采用的压铸脱模剂是一种水性脱模剂，适用于铝、锌、镁及其合金或其它金属材料的压铸、浇注成型时作洗模及脱模之用，具有耐高温、润滑性能好、能使压铸件光滑亮泽等优点，不含粉料、不必经常拆修模具，可延长模具使用寿命和节省工时，对铸件、模具设备均无腐蚀。根据脱模剂成分检测报告和MSDS报告（详见附件5），其主要成分为乳化剂8~11%、改性硅油15%、有机脂肪脂类1~5%、氧化聚乙烯蜡5%、水65%、其他5%。</w:t>
            </w:r>
          </w:p>
          <w:p>
            <w:pPr>
              <w:spacing w:line="360" w:lineRule="auto"/>
              <w:ind w:firstLine="422" w:firstLineChars="200"/>
            </w:pPr>
            <w:r>
              <w:rPr>
                <w:b/>
                <w:bCs/>
              </w:rPr>
              <w:t>切削液：</w:t>
            </w:r>
            <w:r>
              <w:t>是一种用在金属切削、磨加工过程中，用来冷却和润滑刀具和加工件的工业用液体，切削液由多种超强功能助剂经科学复合配合而成，同时具备良好的冷却性能、润滑性能、防锈性能、除油清洗功能、防腐功能、易稀释特点。克服了传统皂基乳化液夏天易臭、冬天难稀释、防锈效果差的毛病，对车床漆也无不良影响，适用于黑色金属的切削及磨加工，属当前最领先的磨削产品。切削液各项指标均优于皂化油，它具有良好的冷却、清洗、防锈等特点，并且具备无毒、无味、对人体无侵蚀、对设备不腐蚀、对环境不污染等特点。切削液主要由水、矿物油等物质组成，其中水占了大部分。</w:t>
            </w:r>
          </w:p>
          <w:p>
            <w:pPr>
              <w:spacing w:line="360" w:lineRule="auto"/>
              <w:ind w:firstLine="422" w:firstLineChars="200"/>
            </w:pPr>
            <w:r>
              <w:rPr>
                <w:b/>
                <w:bCs/>
              </w:rPr>
              <w:t>粉末涂料：</w:t>
            </w:r>
            <w:r>
              <w:t>是一种新型的不含溶剂100%固体粉末状涂料，具有耐腐蚀性和坚韧性的热固性粉末涂料。根据企业提供的粉末涂料MSDS（详见附件6），本项目所用粉末涂料主要成分为：环氧树脂（39%）、聚酯树脂（23%）、硫酸钡（30%）、安息香（1%）、PE蜡（2%）、碳黑（5%）组成，具有无溶剂、无污染、可回收、环保、节省能源和资源、减轻劳动强度和涂膜机械强度高等特点。根据《低挥发性有机化合物含量涂料产品技术要求》（GB/T38597-2020）中表3规定无溶剂涂料中VOCs含量≤60g/L，本项目所使用粉末涂料VOCs含量为7g/L，属于低VOCs含量的涂料。</w:t>
            </w:r>
          </w:p>
          <w:p>
            <w:pPr>
              <w:spacing w:line="360" w:lineRule="auto"/>
              <w:ind w:firstLine="422" w:firstLineChars="200"/>
            </w:pPr>
            <w:r>
              <w:rPr>
                <w:b/>
                <w:bCs/>
              </w:rPr>
              <w:t>液压油：</w:t>
            </w:r>
            <w:r>
              <w:t>利用液体压力能的液压系统使用的液压介质，在液压系统中起着能量传递、抗磨、系统润滑、防腐、防锈、冷却等作用。它由乙二醇、高分子聚合物、水溶性稠化剂、蒸馏水或去离子水以及抗磨、防锈、消泡等添加剂组成。</w:t>
            </w:r>
          </w:p>
          <w:p>
            <w:pPr>
              <w:pStyle w:val="21"/>
              <w:ind w:firstLine="422" w:firstLineChars="200"/>
              <w:rPr>
                <w:rFonts w:ascii="Times New Roman" w:hAnsi="Times New Roman"/>
                <w:b w:val="0"/>
                <w:sz w:val="21"/>
                <w:lang w:eastAsia="zh-CN"/>
              </w:rPr>
            </w:pPr>
            <w:r>
              <w:rPr>
                <w:rFonts w:hint="eastAsia" w:ascii="Times New Roman" w:hAnsi="Times New Roman"/>
                <w:bCs/>
                <w:sz w:val="21"/>
                <w:lang w:eastAsia="zh-CN"/>
              </w:rPr>
              <w:t>锌合金：</w:t>
            </w:r>
            <w:r>
              <w:rPr>
                <w:rFonts w:hint="eastAsia" w:ascii="Times New Roman" w:hAnsi="Times New Roman"/>
                <w:b w:val="0"/>
                <w:sz w:val="21"/>
                <w:lang w:eastAsia="zh-CN"/>
              </w:rPr>
              <w:t>锌合金是以锌为基础加入其他元素组成的合金，其他合金元素有铝、铜、镁、铁、镉、铅、镍、锡等。本项目锌合金电熔温度控制在400~450℃之间，因此在此温度之间锌合金熔融状态的流动性好。</w:t>
            </w:r>
          </w:p>
          <w:p>
            <w:pPr>
              <w:spacing w:line="360" w:lineRule="auto"/>
              <w:ind w:firstLine="422" w:firstLineChars="200"/>
            </w:pPr>
            <w:r>
              <w:rPr>
                <w:rFonts w:hint="eastAsia"/>
                <w:b/>
                <w:bCs/>
              </w:rPr>
              <w:t>铝合金锭：</w:t>
            </w:r>
            <w:r>
              <w:rPr>
                <w:rFonts w:hint="eastAsia"/>
              </w:rPr>
              <w:t>铝合金是以铝为基础加入其他元素组成的合金，其合金元素有硅、铜、镁、锌、锰、钛等。铝合金的熔点略高于锌合金，电熔温度控制在660~700℃之间，在此温度之间铝合金熔融状态的流动性好。</w:t>
            </w:r>
          </w:p>
          <w:p>
            <w:pPr>
              <w:adjustRightInd w:val="0"/>
              <w:snapToGrid w:val="0"/>
              <w:spacing w:after="120" w:afterLines="50"/>
              <w:jc w:val="center"/>
              <w:rPr>
                <w:b/>
                <w:bCs/>
              </w:rPr>
            </w:pPr>
            <w:r>
              <w:rPr>
                <w:b/>
                <w:bCs/>
              </w:rPr>
              <w:t>表2-</w:t>
            </w:r>
            <w:r>
              <w:rPr>
                <w:rFonts w:hint="eastAsia"/>
                <w:b/>
                <w:bCs/>
              </w:rPr>
              <w:t>5</w:t>
            </w:r>
            <w:r>
              <w:rPr>
                <w:b/>
                <w:bCs/>
              </w:rPr>
              <w:t xml:space="preserve"> 铝合金</w:t>
            </w:r>
            <w:r>
              <w:rPr>
                <w:rFonts w:hint="eastAsia"/>
                <w:b/>
                <w:bCs/>
              </w:rPr>
              <w:t>锭主要</w:t>
            </w:r>
            <w:r>
              <w:rPr>
                <w:b/>
                <w:bCs/>
              </w:rPr>
              <w:t>成分一览表</w:t>
            </w:r>
          </w:p>
          <w:tbl>
            <w:tblPr>
              <w:tblStyle w:val="10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0"/>
              <w:gridCol w:w="807"/>
              <w:gridCol w:w="794"/>
              <w:gridCol w:w="1136"/>
              <w:gridCol w:w="794"/>
              <w:gridCol w:w="900"/>
              <w:gridCol w:w="979"/>
              <w:gridCol w:w="851"/>
              <w:gridCol w:w="9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Merge w:val="restart"/>
                  <w:vAlign w:val="center"/>
                </w:tcPr>
                <w:p>
                  <w:pPr>
                    <w:jc w:val="center"/>
                  </w:pPr>
                  <w:r>
                    <w:rPr>
                      <w:b/>
                      <w:bCs/>
                    </w:rPr>
                    <w:t>铝合金</w:t>
                  </w:r>
                  <w:r>
                    <w:rPr>
                      <w:rFonts w:hint="eastAsia"/>
                      <w:b/>
                      <w:bCs/>
                    </w:rPr>
                    <w:t>锭ADC12</w:t>
                  </w:r>
                </w:p>
              </w:tc>
              <w:tc>
                <w:tcPr>
                  <w:tcW w:w="4272" w:type="pct"/>
                  <w:gridSpan w:val="8"/>
                  <w:vAlign w:val="center"/>
                </w:tcPr>
                <w:p>
                  <w:pPr>
                    <w:jc w:val="center"/>
                  </w:pPr>
                  <w:r>
                    <w:rPr>
                      <w:b/>
                      <w:bCs/>
                    </w:rPr>
                    <w:t>主要成分（</w:t>
                  </w:r>
                  <w:r>
                    <w:rPr>
                      <w:rFonts w:hint="eastAsia"/>
                      <w:b/>
                      <w:bCs/>
                    </w:rPr>
                    <w:t>%</w:t>
                  </w:r>
                  <w:r>
                    <w:rPr>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Merge w:val="continue"/>
                  <w:vAlign w:val="center"/>
                </w:tcPr>
                <w:p>
                  <w:pPr>
                    <w:jc w:val="center"/>
                  </w:pPr>
                </w:p>
              </w:tc>
              <w:tc>
                <w:tcPr>
                  <w:tcW w:w="482" w:type="pct"/>
                  <w:vAlign w:val="center"/>
                </w:tcPr>
                <w:p>
                  <w:pPr>
                    <w:adjustRightInd w:val="0"/>
                    <w:snapToGrid w:val="0"/>
                    <w:jc w:val="center"/>
                  </w:pPr>
                  <w:r>
                    <w:rPr>
                      <w:rFonts w:hint="eastAsia"/>
                      <w:b/>
                    </w:rPr>
                    <w:t>硅</w:t>
                  </w:r>
                </w:p>
              </w:tc>
              <w:tc>
                <w:tcPr>
                  <w:tcW w:w="455" w:type="pct"/>
                  <w:vAlign w:val="center"/>
                </w:tcPr>
                <w:p>
                  <w:pPr>
                    <w:adjustRightInd w:val="0"/>
                    <w:snapToGrid w:val="0"/>
                    <w:jc w:val="center"/>
                  </w:pPr>
                  <w:r>
                    <w:rPr>
                      <w:rFonts w:hint="eastAsia"/>
                      <w:b/>
                    </w:rPr>
                    <w:t>铁</w:t>
                  </w:r>
                </w:p>
              </w:tc>
              <w:tc>
                <w:tcPr>
                  <w:tcW w:w="678" w:type="pct"/>
                  <w:vAlign w:val="center"/>
                </w:tcPr>
                <w:p>
                  <w:pPr>
                    <w:adjustRightInd w:val="0"/>
                    <w:snapToGrid w:val="0"/>
                    <w:jc w:val="center"/>
                  </w:pPr>
                  <w:r>
                    <w:rPr>
                      <w:rFonts w:hint="eastAsia"/>
                      <w:b/>
                    </w:rPr>
                    <w:t>铜</w:t>
                  </w:r>
                </w:p>
              </w:tc>
              <w:tc>
                <w:tcPr>
                  <w:tcW w:w="473" w:type="pct"/>
                  <w:vAlign w:val="center"/>
                </w:tcPr>
                <w:p>
                  <w:pPr>
                    <w:adjustRightInd w:val="0"/>
                    <w:snapToGrid w:val="0"/>
                    <w:jc w:val="center"/>
                  </w:pPr>
                  <w:r>
                    <w:rPr>
                      <w:rFonts w:hint="eastAsia"/>
                      <w:b/>
                    </w:rPr>
                    <w:t>锰</w:t>
                  </w:r>
                </w:p>
              </w:tc>
              <w:tc>
                <w:tcPr>
                  <w:tcW w:w="536" w:type="pct"/>
                  <w:vAlign w:val="center"/>
                </w:tcPr>
                <w:p>
                  <w:pPr>
                    <w:adjustRightInd w:val="0"/>
                    <w:snapToGrid w:val="0"/>
                    <w:jc w:val="center"/>
                  </w:pPr>
                  <w:r>
                    <w:rPr>
                      <w:rFonts w:hint="eastAsia"/>
                      <w:b/>
                    </w:rPr>
                    <w:t>镁</w:t>
                  </w:r>
                </w:p>
              </w:tc>
              <w:tc>
                <w:tcPr>
                  <w:tcW w:w="587" w:type="pct"/>
                  <w:vAlign w:val="center"/>
                </w:tcPr>
                <w:p>
                  <w:pPr>
                    <w:adjustRightInd w:val="0"/>
                    <w:snapToGrid w:val="0"/>
                    <w:jc w:val="center"/>
                  </w:pPr>
                  <w:r>
                    <w:rPr>
                      <w:rFonts w:hint="eastAsia"/>
                      <w:b/>
                    </w:rPr>
                    <w:t>镍</w:t>
                  </w:r>
                </w:p>
              </w:tc>
              <w:tc>
                <w:tcPr>
                  <w:tcW w:w="508" w:type="pct"/>
                  <w:vAlign w:val="center"/>
                </w:tcPr>
                <w:p>
                  <w:pPr>
                    <w:adjustRightInd w:val="0"/>
                    <w:snapToGrid w:val="0"/>
                    <w:jc w:val="center"/>
                  </w:pPr>
                  <w:r>
                    <w:rPr>
                      <w:rFonts w:hint="eastAsia"/>
                      <w:b/>
                    </w:rPr>
                    <w:t>锌</w:t>
                  </w:r>
                </w:p>
              </w:tc>
              <w:tc>
                <w:tcPr>
                  <w:tcW w:w="553" w:type="pct"/>
                  <w:vAlign w:val="center"/>
                </w:tcPr>
                <w:p>
                  <w:pPr>
                    <w:adjustRightInd w:val="0"/>
                    <w:snapToGrid w:val="0"/>
                    <w:jc w:val="center"/>
                  </w:pPr>
                  <w:r>
                    <w:rPr>
                      <w:rFonts w:hint="eastAsia"/>
                      <w:b/>
                    </w:rPr>
                    <w:t>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Merge w:val="continue"/>
                  <w:vAlign w:val="center"/>
                </w:tcPr>
                <w:p>
                  <w:pPr>
                    <w:jc w:val="center"/>
                  </w:pPr>
                </w:p>
              </w:tc>
              <w:tc>
                <w:tcPr>
                  <w:tcW w:w="482" w:type="pct"/>
                  <w:vAlign w:val="center"/>
                </w:tcPr>
                <w:p>
                  <w:pPr>
                    <w:widowControl/>
                    <w:jc w:val="center"/>
                  </w:pPr>
                  <w:r>
                    <w:rPr>
                      <w:bCs/>
                    </w:rPr>
                    <w:t>10.331</w:t>
                  </w:r>
                </w:p>
              </w:tc>
              <w:tc>
                <w:tcPr>
                  <w:tcW w:w="455" w:type="pct"/>
                  <w:vAlign w:val="center"/>
                </w:tcPr>
                <w:p>
                  <w:pPr>
                    <w:jc w:val="center"/>
                  </w:pPr>
                  <w:r>
                    <w:rPr>
                      <w:bCs/>
                    </w:rPr>
                    <w:t>0.840</w:t>
                  </w:r>
                </w:p>
              </w:tc>
              <w:tc>
                <w:tcPr>
                  <w:tcW w:w="678" w:type="pct"/>
                  <w:vAlign w:val="center"/>
                </w:tcPr>
                <w:p>
                  <w:pPr>
                    <w:widowControl/>
                    <w:jc w:val="center"/>
                  </w:pPr>
                  <w:r>
                    <w:t>1.621</w:t>
                  </w:r>
                </w:p>
              </w:tc>
              <w:tc>
                <w:tcPr>
                  <w:tcW w:w="473" w:type="pct"/>
                  <w:vAlign w:val="center"/>
                </w:tcPr>
                <w:p>
                  <w:pPr>
                    <w:pStyle w:val="69"/>
                    <w:adjustRightInd w:val="0"/>
                    <w:snapToGrid w:val="0"/>
                    <w:jc w:val="center"/>
                  </w:pPr>
                  <w:r>
                    <w:rPr>
                      <w:bCs/>
                      <w:sz w:val="21"/>
                      <w:szCs w:val="21"/>
                    </w:rPr>
                    <w:t>0.164</w:t>
                  </w:r>
                </w:p>
              </w:tc>
              <w:tc>
                <w:tcPr>
                  <w:tcW w:w="536" w:type="pct"/>
                  <w:vAlign w:val="center"/>
                </w:tcPr>
                <w:p>
                  <w:pPr>
                    <w:pStyle w:val="69"/>
                    <w:adjustRightInd w:val="0"/>
                    <w:snapToGrid w:val="0"/>
                    <w:jc w:val="center"/>
                  </w:pPr>
                  <w:r>
                    <w:rPr>
                      <w:bCs/>
                      <w:sz w:val="21"/>
                      <w:szCs w:val="21"/>
                    </w:rPr>
                    <w:t>0.236</w:t>
                  </w:r>
                </w:p>
              </w:tc>
              <w:tc>
                <w:tcPr>
                  <w:tcW w:w="587" w:type="pct"/>
                  <w:vAlign w:val="center"/>
                </w:tcPr>
                <w:p>
                  <w:pPr>
                    <w:pStyle w:val="69"/>
                    <w:adjustRightInd w:val="0"/>
                    <w:snapToGrid w:val="0"/>
                    <w:jc w:val="center"/>
                  </w:pPr>
                  <w:r>
                    <w:rPr>
                      <w:bCs/>
                      <w:sz w:val="21"/>
                      <w:szCs w:val="21"/>
                    </w:rPr>
                    <w:t>0.0001</w:t>
                  </w:r>
                </w:p>
              </w:tc>
              <w:tc>
                <w:tcPr>
                  <w:tcW w:w="508" w:type="pct"/>
                  <w:vAlign w:val="center"/>
                </w:tcPr>
                <w:p>
                  <w:pPr>
                    <w:pStyle w:val="69"/>
                    <w:adjustRightInd w:val="0"/>
                    <w:snapToGrid w:val="0"/>
                    <w:jc w:val="center"/>
                  </w:pPr>
                  <w:r>
                    <w:rPr>
                      <w:bCs/>
                      <w:sz w:val="21"/>
                      <w:szCs w:val="21"/>
                    </w:rPr>
                    <w:t>0.879</w:t>
                  </w:r>
                </w:p>
              </w:tc>
              <w:tc>
                <w:tcPr>
                  <w:tcW w:w="553" w:type="pct"/>
                  <w:vAlign w:val="center"/>
                </w:tcPr>
                <w:p>
                  <w:pPr>
                    <w:pStyle w:val="69"/>
                    <w:adjustRightInd w:val="0"/>
                    <w:snapToGrid w:val="0"/>
                    <w:jc w:val="center"/>
                  </w:pPr>
                  <w:r>
                    <w:rPr>
                      <w:rFonts w:hint="eastAsia"/>
                      <w:bCs/>
                      <w:sz w:val="21"/>
                      <w:szCs w:val="21"/>
                    </w:rPr>
                    <w:t>＜0</w:t>
                  </w:r>
                  <w:r>
                    <w:rPr>
                      <w:bCs/>
                      <w:sz w:val="21"/>
                      <w:szCs w:val="21"/>
                    </w:rPr>
                    <w:t>.0001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Merge w:val="continue"/>
                  <w:vAlign w:val="center"/>
                </w:tcPr>
                <w:p>
                  <w:pPr>
                    <w:jc w:val="center"/>
                  </w:pPr>
                </w:p>
              </w:tc>
              <w:tc>
                <w:tcPr>
                  <w:tcW w:w="482" w:type="pct"/>
                  <w:vAlign w:val="center"/>
                </w:tcPr>
                <w:p>
                  <w:pPr>
                    <w:widowControl/>
                    <w:jc w:val="center"/>
                  </w:pPr>
                  <w:r>
                    <w:rPr>
                      <w:rFonts w:hint="eastAsia"/>
                      <w:b/>
                    </w:rPr>
                    <w:t>锡</w:t>
                  </w:r>
                </w:p>
              </w:tc>
              <w:tc>
                <w:tcPr>
                  <w:tcW w:w="455" w:type="pct"/>
                  <w:vAlign w:val="center"/>
                </w:tcPr>
                <w:p>
                  <w:pPr>
                    <w:jc w:val="center"/>
                  </w:pPr>
                  <w:r>
                    <w:rPr>
                      <w:rFonts w:hint="eastAsia"/>
                      <w:b/>
                    </w:rPr>
                    <w:t>钛</w:t>
                  </w:r>
                </w:p>
              </w:tc>
              <w:tc>
                <w:tcPr>
                  <w:tcW w:w="678" w:type="pct"/>
                  <w:vAlign w:val="center"/>
                </w:tcPr>
                <w:p>
                  <w:pPr>
                    <w:widowControl/>
                    <w:jc w:val="center"/>
                  </w:pPr>
                  <w:r>
                    <w:rPr>
                      <w:rFonts w:hint="eastAsia"/>
                      <w:b/>
                    </w:rPr>
                    <w:t>铬</w:t>
                  </w:r>
                </w:p>
              </w:tc>
              <w:tc>
                <w:tcPr>
                  <w:tcW w:w="473" w:type="pct"/>
                  <w:vAlign w:val="center"/>
                </w:tcPr>
                <w:p>
                  <w:pPr>
                    <w:pStyle w:val="69"/>
                    <w:adjustRightInd w:val="0"/>
                    <w:snapToGrid w:val="0"/>
                    <w:jc w:val="center"/>
                  </w:pPr>
                  <w:r>
                    <w:rPr>
                      <w:rFonts w:hint="eastAsia"/>
                      <w:b/>
                      <w:sz w:val="21"/>
                      <w:szCs w:val="21"/>
                    </w:rPr>
                    <w:t>钙</w:t>
                  </w:r>
                </w:p>
              </w:tc>
              <w:tc>
                <w:tcPr>
                  <w:tcW w:w="536" w:type="pct"/>
                  <w:vAlign w:val="center"/>
                </w:tcPr>
                <w:p>
                  <w:pPr>
                    <w:pStyle w:val="69"/>
                    <w:adjustRightInd w:val="0"/>
                    <w:snapToGrid w:val="0"/>
                    <w:jc w:val="center"/>
                  </w:pPr>
                  <w:r>
                    <w:rPr>
                      <w:rFonts w:hint="eastAsia"/>
                      <w:b/>
                      <w:sz w:val="21"/>
                      <w:szCs w:val="21"/>
                    </w:rPr>
                    <w:t>镉</w:t>
                  </w:r>
                </w:p>
              </w:tc>
              <w:tc>
                <w:tcPr>
                  <w:tcW w:w="587" w:type="pct"/>
                  <w:vAlign w:val="center"/>
                </w:tcPr>
                <w:p>
                  <w:pPr>
                    <w:pStyle w:val="69"/>
                    <w:adjustRightInd w:val="0"/>
                    <w:snapToGrid w:val="0"/>
                    <w:jc w:val="center"/>
                  </w:pPr>
                  <w:r>
                    <w:rPr>
                      <w:rFonts w:hint="eastAsia"/>
                      <w:b/>
                      <w:sz w:val="21"/>
                      <w:szCs w:val="21"/>
                    </w:rPr>
                    <w:t>钠</w:t>
                  </w:r>
                </w:p>
              </w:tc>
              <w:tc>
                <w:tcPr>
                  <w:tcW w:w="508" w:type="pct"/>
                  <w:vAlign w:val="center"/>
                </w:tcPr>
                <w:p>
                  <w:pPr>
                    <w:pStyle w:val="69"/>
                    <w:adjustRightInd w:val="0"/>
                    <w:snapToGrid w:val="0"/>
                    <w:jc w:val="center"/>
                  </w:pPr>
                  <w:r>
                    <w:rPr>
                      <w:rFonts w:hint="eastAsia"/>
                      <w:b/>
                      <w:sz w:val="21"/>
                      <w:szCs w:val="21"/>
                    </w:rPr>
                    <w:t>汞</w:t>
                  </w:r>
                </w:p>
              </w:tc>
              <w:tc>
                <w:tcPr>
                  <w:tcW w:w="553" w:type="pct"/>
                  <w:vAlign w:val="center"/>
                </w:tcPr>
                <w:p>
                  <w:pPr>
                    <w:pStyle w:val="69"/>
                    <w:adjustRightInd w:val="0"/>
                    <w:snapToGrid w:val="0"/>
                    <w:jc w:val="center"/>
                  </w:pPr>
                  <w:r>
                    <w:rPr>
                      <w:rFonts w:hint="eastAsia"/>
                      <w:b/>
                      <w:sz w:val="21"/>
                      <w:szCs w:val="21"/>
                    </w:rPr>
                    <w:t>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28" w:type="pct"/>
                  <w:vMerge w:val="continue"/>
                  <w:vAlign w:val="center"/>
                </w:tcPr>
                <w:p>
                  <w:pPr>
                    <w:jc w:val="center"/>
                  </w:pPr>
                </w:p>
              </w:tc>
              <w:tc>
                <w:tcPr>
                  <w:tcW w:w="482" w:type="pct"/>
                  <w:vAlign w:val="center"/>
                </w:tcPr>
                <w:p>
                  <w:pPr>
                    <w:widowControl/>
                    <w:jc w:val="center"/>
                  </w:pPr>
                  <w:r>
                    <w:rPr>
                      <w:rFonts w:hint="eastAsia"/>
                      <w:bCs/>
                    </w:rPr>
                    <w:t>0</w:t>
                  </w:r>
                  <w:r>
                    <w:rPr>
                      <w:bCs/>
                    </w:rPr>
                    <w:t>.0349</w:t>
                  </w:r>
                </w:p>
              </w:tc>
              <w:tc>
                <w:tcPr>
                  <w:tcW w:w="455" w:type="pct"/>
                  <w:vAlign w:val="center"/>
                </w:tcPr>
                <w:p>
                  <w:pPr>
                    <w:jc w:val="center"/>
                  </w:pPr>
                  <w:r>
                    <w:rPr>
                      <w:rFonts w:hint="eastAsia"/>
                      <w:bCs/>
                    </w:rPr>
                    <w:t>0</w:t>
                  </w:r>
                  <w:r>
                    <w:rPr>
                      <w:bCs/>
                    </w:rPr>
                    <w:t>.0408</w:t>
                  </w:r>
                </w:p>
              </w:tc>
              <w:tc>
                <w:tcPr>
                  <w:tcW w:w="678" w:type="pct"/>
                  <w:vAlign w:val="center"/>
                </w:tcPr>
                <w:p>
                  <w:pPr>
                    <w:widowControl/>
                    <w:jc w:val="center"/>
                  </w:pPr>
                  <w:r>
                    <w:rPr>
                      <w:rFonts w:hint="eastAsia"/>
                      <w:bCs/>
                    </w:rPr>
                    <w:t>＜0</w:t>
                  </w:r>
                  <w:r>
                    <w:rPr>
                      <w:bCs/>
                    </w:rPr>
                    <w:t>.00015</w:t>
                  </w:r>
                </w:p>
              </w:tc>
              <w:tc>
                <w:tcPr>
                  <w:tcW w:w="473" w:type="pct"/>
                  <w:vAlign w:val="center"/>
                </w:tcPr>
                <w:p>
                  <w:pPr>
                    <w:pStyle w:val="69"/>
                    <w:adjustRightInd w:val="0"/>
                    <w:snapToGrid w:val="0"/>
                    <w:jc w:val="center"/>
                  </w:pPr>
                  <w:r>
                    <w:rPr>
                      <w:bCs/>
                      <w:sz w:val="21"/>
                      <w:szCs w:val="21"/>
                    </w:rPr>
                    <w:t>0.0019</w:t>
                  </w:r>
                </w:p>
              </w:tc>
              <w:tc>
                <w:tcPr>
                  <w:tcW w:w="536" w:type="pct"/>
                  <w:vAlign w:val="center"/>
                </w:tcPr>
                <w:p>
                  <w:pPr>
                    <w:pStyle w:val="69"/>
                    <w:adjustRightInd w:val="0"/>
                    <w:snapToGrid w:val="0"/>
                    <w:jc w:val="center"/>
                  </w:pPr>
                  <w:r>
                    <w:rPr>
                      <w:rFonts w:hint="eastAsia"/>
                      <w:bCs/>
                      <w:sz w:val="21"/>
                      <w:szCs w:val="21"/>
                    </w:rPr>
                    <w:t>＜0</w:t>
                  </w:r>
                  <w:r>
                    <w:rPr>
                      <w:bCs/>
                      <w:sz w:val="21"/>
                      <w:szCs w:val="21"/>
                    </w:rPr>
                    <w:t>.00001</w:t>
                  </w:r>
                </w:p>
              </w:tc>
              <w:tc>
                <w:tcPr>
                  <w:tcW w:w="587" w:type="pct"/>
                  <w:vAlign w:val="center"/>
                </w:tcPr>
                <w:p>
                  <w:pPr>
                    <w:pStyle w:val="69"/>
                    <w:adjustRightInd w:val="0"/>
                    <w:snapToGrid w:val="0"/>
                    <w:jc w:val="center"/>
                  </w:pPr>
                  <w:r>
                    <w:rPr>
                      <w:rFonts w:hint="eastAsia"/>
                      <w:bCs/>
                      <w:sz w:val="21"/>
                      <w:szCs w:val="21"/>
                    </w:rPr>
                    <w:t>＜0</w:t>
                  </w:r>
                  <w:r>
                    <w:rPr>
                      <w:bCs/>
                      <w:sz w:val="21"/>
                      <w:szCs w:val="21"/>
                    </w:rPr>
                    <w:t>.00010</w:t>
                  </w:r>
                </w:p>
              </w:tc>
              <w:tc>
                <w:tcPr>
                  <w:tcW w:w="508" w:type="pct"/>
                  <w:vAlign w:val="center"/>
                </w:tcPr>
                <w:p>
                  <w:pPr>
                    <w:pStyle w:val="69"/>
                    <w:adjustRightInd w:val="0"/>
                    <w:snapToGrid w:val="0"/>
                    <w:jc w:val="center"/>
                  </w:pPr>
                  <w:r>
                    <w:rPr>
                      <w:rFonts w:hint="eastAsia"/>
                      <w:bCs/>
                      <w:sz w:val="21"/>
                      <w:szCs w:val="21"/>
                    </w:rPr>
                    <w:t>＜</w:t>
                  </w:r>
                  <w:r>
                    <w:rPr>
                      <w:bCs/>
                      <w:sz w:val="21"/>
                      <w:szCs w:val="21"/>
                    </w:rPr>
                    <w:t>0.0003</w:t>
                  </w:r>
                </w:p>
              </w:tc>
              <w:tc>
                <w:tcPr>
                  <w:tcW w:w="553" w:type="pct"/>
                  <w:vAlign w:val="center"/>
                </w:tcPr>
                <w:p>
                  <w:pPr>
                    <w:pStyle w:val="69"/>
                    <w:adjustRightInd w:val="0"/>
                    <w:snapToGrid w:val="0"/>
                    <w:jc w:val="center"/>
                  </w:pPr>
                  <w:r>
                    <w:rPr>
                      <w:rFonts w:hint="eastAsia"/>
                      <w:bCs/>
                      <w:sz w:val="21"/>
                      <w:szCs w:val="21"/>
                    </w:rPr>
                    <w:t>8</w:t>
                  </w:r>
                  <w:r>
                    <w:rPr>
                      <w:bCs/>
                      <w:sz w:val="21"/>
                      <w:szCs w:val="21"/>
                    </w:rPr>
                    <w:t>5.6</w:t>
                  </w:r>
                </w:p>
              </w:tc>
            </w:tr>
          </w:tbl>
          <w:p>
            <w:pPr>
              <w:adjustRightInd w:val="0"/>
              <w:snapToGrid w:val="0"/>
              <w:spacing w:after="120" w:afterLines="50"/>
              <w:rPr>
                <w:b/>
                <w:bCs/>
              </w:rPr>
            </w:pPr>
            <w:r>
              <w:rPr>
                <w:rFonts w:hint="eastAsia"/>
              </w:rPr>
              <w:t>注：项目铝合金锭主要成分来源于原料成分报告，根据成分报告，项目铝合金锭中有毒有害重金属（镉、铅、汞）含量极少，可忽略不计，详见附件7。</w:t>
            </w:r>
          </w:p>
          <w:p>
            <w:pPr>
              <w:adjustRightInd w:val="0"/>
              <w:snapToGrid w:val="0"/>
              <w:spacing w:after="120" w:afterLines="50"/>
              <w:jc w:val="center"/>
              <w:rPr>
                <w:b/>
                <w:bCs/>
              </w:rPr>
            </w:pPr>
            <w:r>
              <w:rPr>
                <w:rFonts w:hint="eastAsia"/>
                <w:b/>
                <w:bCs/>
              </w:rPr>
              <w:t>表2-6 锌合金锭主要成分一览表</w:t>
            </w:r>
          </w:p>
          <w:tbl>
            <w:tblPr>
              <w:tblStyle w:val="10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48"/>
              <w:gridCol w:w="584"/>
              <w:gridCol w:w="794"/>
              <w:gridCol w:w="794"/>
              <w:gridCol w:w="794"/>
              <w:gridCol w:w="689"/>
              <w:gridCol w:w="839"/>
              <w:gridCol w:w="944"/>
              <w:gridCol w:w="944"/>
              <w:gridCol w:w="5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97" w:hRule="atLeast"/>
                <w:jc w:val="center"/>
              </w:trPr>
              <w:tc>
                <w:tcPr>
                  <w:tcW w:w="1451" w:type="dxa"/>
                  <w:vMerge w:val="restart"/>
                  <w:tcBorders>
                    <w:tl2br w:val="nil"/>
                    <w:tr2bl w:val="nil"/>
                  </w:tcBorders>
                  <w:vAlign w:val="center"/>
                </w:tcPr>
                <w:p>
                  <w:pPr>
                    <w:jc w:val="center"/>
                  </w:pPr>
                  <w:r>
                    <w:rPr>
                      <w:rFonts w:hint="eastAsia"/>
                      <w:b/>
                      <w:bCs/>
                    </w:rPr>
                    <w:t>锌</w:t>
                  </w:r>
                  <w:r>
                    <w:rPr>
                      <w:b/>
                      <w:bCs/>
                    </w:rPr>
                    <w:t>合金</w:t>
                  </w:r>
                  <w:r>
                    <w:rPr>
                      <w:rFonts w:hint="eastAsia"/>
                      <w:b/>
                      <w:bCs/>
                    </w:rPr>
                    <w:t>锭（3#）</w:t>
                  </w:r>
                </w:p>
              </w:tc>
              <w:tc>
                <w:tcPr>
                  <w:tcW w:w="6960" w:type="dxa"/>
                  <w:gridSpan w:val="9"/>
                  <w:tcBorders>
                    <w:tl2br w:val="nil"/>
                    <w:tr2bl w:val="nil"/>
                  </w:tcBorders>
                  <w:vAlign w:val="center"/>
                </w:tcPr>
                <w:p>
                  <w:pPr>
                    <w:jc w:val="center"/>
                  </w:pPr>
                  <w:r>
                    <w:rPr>
                      <w:b/>
                      <w:bCs/>
                    </w:rPr>
                    <w:t>主要成分（</w:t>
                  </w:r>
                  <w:r>
                    <w:rPr>
                      <w:rFonts w:hint="eastAsia"/>
                      <w:b/>
                      <w:bCs/>
                    </w:rPr>
                    <w:t>%</w:t>
                  </w:r>
                  <w:r>
                    <w:rPr>
                      <w:b/>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1" w:type="dxa"/>
                  <w:vMerge w:val="continue"/>
                  <w:tcBorders>
                    <w:tl2br w:val="nil"/>
                    <w:tr2bl w:val="nil"/>
                  </w:tcBorders>
                  <w:vAlign w:val="center"/>
                </w:tcPr>
                <w:p>
                  <w:pPr>
                    <w:jc w:val="center"/>
                  </w:pPr>
                </w:p>
              </w:tc>
              <w:tc>
                <w:tcPr>
                  <w:tcW w:w="584" w:type="dxa"/>
                  <w:tcBorders>
                    <w:tl2br w:val="nil"/>
                    <w:tr2bl w:val="nil"/>
                  </w:tcBorders>
                  <w:vAlign w:val="center"/>
                </w:tcPr>
                <w:p>
                  <w:pPr>
                    <w:adjustRightInd w:val="0"/>
                    <w:snapToGrid w:val="0"/>
                    <w:jc w:val="center"/>
                  </w:pPr>
                  <w:r>
                    <w:rPr>
                      <w:rFonts w:hint="eastAsia"/>
                      <w:b/>
                    </w:rPr>
                    <w:t>铝</w:t>
                  </w:r>
                </w:p>
              </w:tc>
              <w:tc>
                <w:tcPr>
                  <w:tcW w:w="794" w:type="dxa"/>
                  <w:tcBorders>
                    <w:tl2br w:val="nil"/>
                    <w:tr2bl w:val="nil"/>
                  </w:tcBorders>
                  <w:vAlign w:val="center"/>
                </w:tcPr>
                <w:p>
                  <w:pPr>
                    <w:adjustRightInd w:val="0"/>
                    <w:snapToGrid w:val="0"/>
                    <w:jc w:val="center"/>
                  </w:pPr>
                  <w:r>
                    <w:rPr>
                      <w:rFonts w:hint="eastAsia"/>
                      <w:b/>
                    </w:rPr>
                    <w:t>镉</w:t>
                  </w:r>
                </w:p>
              </w:tc>
              <w:tc>
                <w:tcPr>
                  <w:tcW w:w="794" w:type="dxa"/>
                  <w:tcBorders>
                    <w:tl2br w:val="nil"/>
                    <w:tr2bl w:val="nil"/>
                  </w:tcBorders>
                  <w:vAlign w:val="center"/>
                </w:tcPr>
                <w:p>
                  <w:pPr>
                    <w:adjustRightInd w:val="0"/>
                    <w:snapToGrid w:val="0"/>
                    <w:jc w:val="center"/>
                  </w:pPr>
                  <w:r>
                    <w:rPr>
                      <w:rFonts w:hint="eastAsia"/>
                      <w:b/>
                    </w:rPr>
                    <w:t>铜</w:t>
                  </w:r>
                </w:p>
              </w:tc>
              <w:tc>
                <w:tcPr>
                  <w:tcW w:w="794" w:type="dxa"/>
                  <w:tcBorders>
                    <w:tl2br w:val="nil"/>
                    <w:tr2bl w:val="nil"/>
                  </w:tcBorders>
                  <w:vAlign w:val="center"/>
                </w:tcPr>
                <w:p>
                  <w:pPr>
                    <w:adjustRightInd w:val="0"/>
                    <w:snapToGrid w:val="0"/>
                    <w:jc w:val="center"/>
                  </w:pPr>
                  <w:r>
                    <w:rPr>
                      <w:rFonts w:hint="eastAsia"/>
                      <w:b/>
                    </w:rPr>
                    <w:t>铁</w:t>
                  </w:r>
                </w:p>
              </w:tc>
              <w:tc>
                <w:tcPr>
                  <w:tcW w:w="689" w:type="dxa"/>
                  <w:tcBorders>
                    <w:tl2br w:val="nil"/>
                    <w:tr2bl w:val="nil"/>
                  </w:tcBorders>
                  <w:vAlign w:val="center"/>
                </w:tcPr>
                <w:p>
                  <w:pPr>
                    <w:adjustRightInd w:val="0"/>
                    <w:snapToGrid w:val="0"/>
                    <w:jc w:val="center"/>
                  </w:pPr>
                  <w:r>
                    <w:rPr>
                      <w:rFonts w:hint="eastAsia"/>
                      <w:b/>
                    </w:rPr>
                    <w:t>镁</w:t>
                  </w:r>
                </w:p>
              </w:tc>
              <w:tc>
                <w:tcPr>
                  <w:tcW w:w="839" w:type="dxa"/>
                  <w:tcBorders>
                    <w:tl2br w:val="nil"/>
                    <w:tr2bl w:val="nil"/>
                  </w:tcBorders>
                  <w:vAlign w:val="center"/>
                </w:tcPr>
                <w:p>
                  <w:pPr>
                    <w:adjustRightInd w:val="0"/>
                    <w:snapToGrid w:val="0"/>
                    <w:jc w:val="center"/>
                  </w:pPr>
                  <w:r>
                    <w:rPr>
                      <w:rFonts w:hint="eastAsia"/>
                      <w:b/>
                    </w:rPr>
                    <w:t>镍</w:t>
                  </w:r>
                </w:p>
              </w:tc>
              <w:tc>
                <w:tcPr>
                  <w:tcW w:w="944" w:type="dxa"/>
                  <w:tcBorders>
                    <w:tl2br w:val="nil"/>
                    <w:tr2bl w:val="nil"/>
                  </w:tcBorders>
                  <w:vAlign w:val="center"/>
                </w:tcPr>
                <w:p>
                  <w:pPr>
                    <w:adjustRightInd w:val="0"/>
                    <w:snapToGrid w:val="0"/>
                    <w:jc w:val="center"/>
                  </w:pPr>
                  <w:r>
                    <w:rPr>
                      <w:rFonts w:hint="eastAsia"/>
                      <w:b/>
                    </w:rPr>
                    <w:t>铅</w:t>
                  </w:r>
                </w:p>
              </w:tc>
              <w:tc>
                <w:tcPr>
                  <w:tcW w:w="944" w:type="dxa"/>
                  <w:tcBorders>
                    <w:tl2br w:val="nil"/>
                    <w:tr2bl w:val="nil"/>
                  </w:tcBorders>
                  <w:vAlign w:val="center"/>
                </w:tcPr>
                <w:p>
                  <w:pPr>
                    <w:adjustRightInd w:val="0"/>
                    <w:snapToGrid w:val="0"/>
                    <w:jc w:val="center"/>
                  </w:pPr>
                  <w:r>
                    <w:rPr>
                      <w:rFonts w:hint="eastAsia"/>
                      <w:b/>
                    </w:rPr>
                    <w:t>锡</w:t>
                  </w:r>
                </w:p>
              </w:tc>
              <w:tc>
                <w:tcPr>
                  <w:tcW w:w="578" w:type="dxa"/>
                  <w:tcBorders>
                    <w:tl2br w:val="nil"/>
                    <w:tr2bl w:val="nil"/>
                  </w:tcBorders>
                  <w:vAlign w:val="center"/>
                </w:tcPr>
                <w:p>
                  <w:pPr>
                    <w:adjustRightInd w:val="0"/>
                    <w:snapToGrid w:val="0"/>
                    <w:jc w:val="center"/>
                    <w:rPr>
                      <w:b/>
                    </w:rPr>
                  </w:pPr>
                  <w:r>
                    <w:rPr>
                      <w:rFonts w:hint="eastAsia"/>
                      <w:b/>
                    </w:rPr>
                    <w:t>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451" w:type="dxa"/>
                  <w:vMerge w:val="continue"/>
                  <w:tcBorders>
                    <w:tl2br w:val="nil"/>
                    <w:tr2bl w:val="nil"/>
                  </w:tcBorders>
                  <w:vAlign w:val="center"/>
                </w:tcPr>
                <w:p>
                  <w:pPr>
                    <w:jc w:val="center"/>
                  </w:pPr>
                </w:p>
              </w:tc>
              <w:tc>
                <w:tcPr>
                  <w:tcW w:w="584" w:type="dxa"/>
                  <w:tcBorders>
                    <w:tl2br w:val="nil"/>
                    <w:tr2bl w:val="nil"/>
                  </w:tcBorders>
                  <w:vAlign w:val="center"/>
                </w:tcPr>
                <w:p>
                  <w:pPr>
                    <w:widowControl/>
                    <w:jc w:val="center"/>
                  </w:pPr>
                  <w:r>
                    <w:rPr>
                      <w:bCs/>
                    </w:rPr>
                    <w:t>4.15</w:t>
                  </w:r>
                </w:p>
              </w:tc>
              <w:tc>
                <w:tcPr>
                  <w:tcW w:w="794" w:type="dxa"/>
                  <w:tcBorders>
                    <w:tl2br w:val="nil"/>
                    <w:tr2bl w:val="nil"/>
                  </w:tcBorders>
                  <w:vAlign w:val="center"/>
                </w:tcPr>
                <w:p>
                  <w:pPr>
                    <w:jc w:val="center"/>
                  </w:pPr>
                  <w:r>
                    <w:rPr>
                      <w:bCs/>
                    </w:rPr>
                    <w:t>0.0005</w:t>
                  </w:r>
                </w:p>
              </w:tc>
              <w:tc>
                <w:tcPr>
                  <w:tcW w:w="794" w:type="dxa"/>
                  <w:tcBorders>
                    <w:tl2br w:val="nil"/>
                    <w:tr2bl w:val="nil"/>
                  </w:tcBorders>
                  <w:vAlign w:val="center"/>
                </w:tcPr>
                <w:p>
                  <w:pPr>
                    <w:widowControl/>
                    <w:jc w:val="center"/>
                  </w:pPr>
                  <w:r>
                    <w:rPr>
                      <w:bCs/>
                    </w:rPr>
                    <w:t>0.0007</w:t>
                  </w:r>
                </w:p>
              </w:tc>
              <w:tc>
                <w:tcPr>
                  <w:tcW w:w="794" w:type="dxa"/>
                  <w:tcBorders>
                    <w:tl2br w:val="nil"/>
                    <w:tr2bl w:val="nil"/>
                  </w:tcBorders>
                  <w:vAlign w:val="center"/>
                </w:tcPr>
                <w:p>
                  <w:pPr>
                    <w:pStyle w:val="69"/>
                    <w:adjustRightInd w:val="0"/>
                    <w:snapToGrid w:val="0"/>
                    <w:jc w:val="center"/>
                  </w:pPr>
                  <w:r>
                    <w:rPr>
                      <w:rFonts w:hint="eastAsia"/>
                      <w:bCs/>
                      <w:sz w:val="21"/>
                      <w:szCs w:val="21"/>
                    </w:rPr>
                    <w:t>0.0</w:t>
                  </w:r>
                  <w:r>
                    <w:rPr>
                      <w:bCs/>
                      <w:sz w:val="21"/>
                      <w:szCs w:val="21"/>
                    </w:rPr>
                    <w:t>034</w:t>
                  </w:r>
                </w:p>
              </w:tc>
              <w:tc>
                <w:tcPr>
                  <w:tcW w:w="689" w:type="dxa"/>
                  <w:tcBorders>
                    <w:tl2br w:val="nil"/>
                    <w:tr2bl w:val="nil"/>
                  </w:tcBorders>
                  <w:vAlign w:val="center"/>
                </w:tcPr>
                <w:p>
                  <w:pPr>
                    <w:pStyle w:val="69"/>
                    <w:adjustRightInd w:val="0"/>
                    <w:snapToGrid w:val="0"/>
                    <w:jc w:val="center"/>
                  </w:pPr>
                  <w:r>
                    <w:rPr>
                      <w:rFonts w:hint="eastAsia"/>
                      <w:bCs/>
                      <w:sz w:val="21"/>
                      <w:szCs w:val="21"/>
                    </w:rPr>
                    <w:t>0.0</w:t>
                  </w:r>
                  <w:r>
                    <w:rPr>
                      <w:bCs/>
                      <w:sz w:val="21"/>
                      <w:szCs w:val="21"/>
                    </w:rPr>
                    <w:t>48</w:t>
                  </w:r>
                </w:p>
              </w:tc>
              <w:tc>
                <w:tcPr>
                  <w:tcW w:w="839" w:type="dxa"/>
                  <w:tcBorders>
                    <w:tl2br w:val="nil"/>
                    <w:tr2bl w:val="nil"/>
                  </w:tcBorders>
                  <w:vAlign w:val="center"/>
                </w:tcPr>
                <w:p>
                  <w:pPr>
                    <w:pStyle w:val="69"/>
                    <w:adjustRightInd w:val="0"/>
                    <w:snapToGrid w:val="0"/>
                    <w:jc w:val="center"/>
                  </w:pPr>
                  <w:r>
                    <w:rPr>
                      <w:rFonts w:hint="eastAsia"/>
                      <w:bCs/>
                      <w:sz w:val="21"/>
                      <w:szCs w:val="21"/>
                    </w:rPr>
                    <w:t>＜0</w:t>
                  </w:r>
                  <w:r>
                    <w:rPr>
                      <w:bCs/>
                      <w:sz w:val="21"/>
                      <w:szCs w:val="21"/>
                    </w:rPr>
                    <w:t>.001</w:t>
                  </w:r>
                </w:p>
              </w:tc>
              <w:tc>
                <w:tcPr>
                  <w:tcW w:w="944" w:type="dxa"/>
                  <w:tcBorders>
                    <w:tl2br w:val="nil"/>
                    <w:tr2bl w:val="nil"/>
                  </w:tcBorders>
                  <w:vAlign w:val="center"/>
                </w:tcPr>
                <w:p>
                  <w:pPr>
                    <w:pStyle w:val="69"/>
                    <w:adjustRightInd w:val="0"/>
                    <w:snapToGrid w:val="0"/>
                    <w:jc w:val="center"/>
                  </w:pPr>
                  <w:r>
                    <w:rPr>
                      <w:rFonts w:hint="eastAsia"/>
                      <w:bCs/>
                      <w:sz w:val="21"/>
                      <w:szCs w:val="21"/>
                    </w:rPr>
                    <w:t>＜0</w:t>
                  </w:r>
                  <w:r>
                    <w:rPr>
                      <w:bCs/>
                      <w:sz w:val="21"/>
                      <w:szCs w:val="21"/>
                    </w:rPr>
                    <w:t>.0025</w:t>
                  </w:r>
                </w:p>
              </w:tc>
              <w:tc>
                <w:tcPr>
                  <w:tcW w:w="944" w:type="dxa"/>
                  <w:tcBorders>
                    <w:tl2br w:val="nil"/>
                    <w:tr2bl w:val="nil"/>
                  </w:tcBorders>
                  <w:vAlign w:val="center"/>
                </w:tcPr>
                <w:p>
                  <w:pPr>
                    <w:pStyle w:val="69"/>
                    <w:adjustRightInd w:val="0"/>
                    <w:snapToGrid w:val="0"/>
                    <w:jc w:val="center"/>
                  </w:pPr>
                  <w:r>
                    <w:rPr>
                      <w:rFonts w:hint="eastAsia"/>
                      <w:bCs/>
                      <w:sz w:val="21"/>
                      <w:szCs w:val="21"/>
                    </w:rPr>
                    <w:t>＜0</w:t>
                  </w:r>
                  <w:r>
                    <w:rPr>
                      <w:bCs/>
                      <w:sz w:val="21"/>
                      <w:szCs w:val="21"/>
                    </w:rPr>
                    <w:t>.0005</w:t>
                  </w:r>
                </w:p>
              </w:tc>
              <w:tc>
                <w:tcPr>
                  <w:tcW w:w="578" w:type="dxa"/>
                  <w:tcBorders>
                    <w:tl2br w:val="nil"/>
                    <w:tr2bl w:val="nil"/>
                  </w:tcBorders>
                  <w:vAlign w:val="center"/>
                </w:tcPr>
                <w:p>
                  <w:pPr>
                    <w:pStyle w:val="69"/>
                    <w:adjustRightInd w:val="0"/>
                    <w:snapToGrid w:val="0"/>
                    <w:jc w:val="center"/>
                    <w:rPr>
                      <w:bCs/>
                      <w:sz w:val="21"/>
                      <w:szCs w:val="21"/>
                    </w:rPr>
                  </w:pPr>
                  <w:r>
                    <w:rPr>
                      <w:rFonts w:hint="eastAsia"/>
                      <w:sz w:val="21"/>
                      <w:szCs w:val="21"/>
                    </w:rPr>
                    <w:t>余量</w:t>
                  </w:r>
                </w:p>
              </w:tc>
            </w:tr>
          </w:tbl>
          <w:p>
            <w:pPr>
              <w:adjustRightInd w:val="0"/>
              <w:snapToGrid w:val="0"/>
              <w:spacing w:after="120" w:afterLines="50"/>
              <w:rPr>
                <w:b/>
                <w:bCs/>
              </w:rPr>
            </w:pPr>
            <w:r>
              <w:rPr>
                <w:rFonts w:hint="eastAsia"/>
              </w:rPr>
              <w:t>注：项目锌合金锭主要成分来源于原料成分报告，根据成分报告，项目锌合金锭中有毒有害重金属（镉、铅）含量极少，可忽略不计，详见附件8。</w:t>
            </w:r>
          </w:p>
          <w:p>
            <w:pPr>
              <w:widowControl/>
              <w:spacing w:before="120" w:beforeLines="50" w:line="360" w:lineRule="auto"/>
              <w:ind w:firstLine="422" w:firstLineChars="200"/>
              <w:rPr>
                <w:b/>
                <w:bCs/>
              </w:rPr>
            </w:pPr>
            <w:r>
              <w:rPr>
                <w:b/>
                <w:bCs/>
              </w:rPr>
              <w:t>5、项目脱模剂、粉末涂料使用量核算</w:t>
            </w:r>
          </w:p>
          <w:p>
            <w:pPr>
              <w:pStyle w:val="26"/>
              <w:spacing w:line="360" w:lineRule="auto"/>
              <w:ind w:left="422" w:leftChars="0" w:firstLine="0" w:firstLineChars="0"/>
              <w:rPr>
                <w:rFonts w:ascii="Times New Roman" w:hAnsi="Times New Roman"/>
                <w:b/>
                <w:bCs/>
                <w:lang w:eastAsia="zh-CN"/>
              </w:rPr>
            </w:pPr>
            <w:r>
              <w:rPr>
                <w:rFonts w:ascii="Times New Roman" w:hAnsi="Times New Roman"/>
                <w:b/>
                <w:bCs/>
                <w:lang w:eastAsia="zh-CN"/>
              </w:rPr>
              <w:t>（1）项目脱模剂使用量核算</w:t>
            </w:r>
          </w:p>
          <w:p>
            <w:pPr>
              <w:spacing w:line="360" w:lineRule="auto"/>
              <w:ind w:firstLine="420" w:firstLineChars="200"/>
            </w:pPr>
            <w:r>
              <w:t>项目在压铸工序中使用热室压铸机对已电熔后成熔融状态的锌合金压射到模具中冷却成型，开模需用到脱模剂进行铸件与模具之间的脱离，而脱模剂是事先加入到压铸机中由压铸机自动喷射到模具表面上。根据建设单位提供的资料，项目脱模剂用量核算如下表。</w:t>
            </w:r>
          </w:p>
          <w:p>
            <w:pPr>
              <w:adjustRightInd w:val="0"/>
              <w:snapToGrid w:val="0"/>
              <w:spacing w:after="120" w:afterLines="50"/>
              <w:jc w:val="center"/>
              <w:rPr>
                <w:b/>
                <w:bCs/>
              </w:rPr>
            </w:pPr>
            <w:r>
              <w:rPr>
                <w:b/>
                <w:bCs/>
              </w:rPr>
              <w:t>表 2-</w:t>
            </w:r>
            <w:r>
              <w:rPr>
                <w:rFonts w:hint="eastAsia"/>
                <w:b/>
                <w:bCs/>
              </w:rPr>
              <w:t>7</w:t>
            </w:r>
            <w:r>
              <w:rPr>
                <w:b/>
                <w:bCs/>
              </w:rPr>
              <w:t xml:space="preserve"> 项目脱模剂用量核算表</w:t>
            </w:r>
          </w:p>
          <w:tbl>
            <w:tblPr>
              <w:tblStyle w:val="10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00"/>
              <w:gridCol w:w="2102"/>
              <w:gridCol w:w="2103"/>
              <w:gridCol w:w="2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00" w:type="dxa"/>
                  <w:vAlign w:val="center"/>
                </w:tcPr>
                <w:p>
                  <w:pPr>
                    <w:pStyle w:val="26"/>
                    <w:ind w:left="0" w:leftChars="0" w:firstLine="0" w:firstLineChars="0"/>
                    <w:jc w:val="center"/>
                    <w:rPr>
                      <w:rFonts w:ascii="Times New Roman" w:hAnsi="Times New Roman"/>
                      <w:b/>
                      <w:bCs/>
                      <w:lang w:eastAsia="zh-CN"/>
                    </w:rPr>
                  </w:pPr>
                  <w:r>
                    <w:rPr>
                      <w:rFonts w:ascii="Times New Roman" w:hAnsi="Times New Roman"/>
                      <w:b/>
                      <w:bCs/>
                      <w:lang w:eastAsia="zh-CN"/>
                    </w:rPr>
                    <w:t>产品名称</w:t>
                  </w:r>
                </w:p>
              </w:tc>
              <w:tc>
                <w:tcPr>
                  <w:tcW w:w="2102" w:type="dxa"/>
                  <w:vAlign w:val="center"/>
                </w:tcPr>
                <w:p>
                  <w:pPr>
                    <w:pStyle w:val="26"/>
                    <w:ind w:left="0" w:leftChars="0" w:firstLine="0" w:firstLineChars="0"/>
                    <w:jc w:val="center"/>
                    <w:rPr>
                      <w:rFonts w:ascii="Times New Roman" w:hAnsi="Times New Roman"/>
                      <w:b/>
                      <w:bCs/>
                      <w:lang w:eastAsia="zh-CN"/>
                    </w:rPr>
                  </w:pPr>
                  <w:r>
                    <w:rPr>
                      <w:rFonts w:ascii="Times New Roman" w:hAnsi="Times New Roman"/>
                      <w:b/>
                      <w:bCs/>
                      <w:lang w:eastAsia="zh-CN"/>
                    </w:rPr>
                    <w:t>每吨产品所需脱模剂用量（t）</w:t>
                  </w:r>
                </w:p>
              </w:tc>
              <w:tc>
                <w:tcPr>
                  <w:tcW w:w="2103" w:type="dxa"/>
                  <w:vAlign w:val="center"/>
                </w:tcPr>
                <w:p>
                  <w:pPr>
                    <w:pStyle w:val="26"/>
                    <w:ind w:left="0" w:leftChars="0" w:firstLine="0" w:firstLineChars="0"/>
                    <w:jc w:val="center"/>
                    <w:rPr>
                      <w:rFonts w:ascii="Times New Roman" w:hAnsi="Times New Roman"/>
                      <w:b/>
                      <w:bCs/>
                      <w:lang w:eastAsia="zh-CN"/>
                    </w:rPr>
                  </w:pPr>
                  <w:r>
                    <w:rPr>
                      <w:rFonts w:ascii="Times New Roman" w:hAnsi="Times New Roman"/>
                      <w:b/>
                      <w:bCs/>
                      <w:lang w:eastAsia="zh-CN"/>
                    </w:rPr>
                    <w:t>产品重量（t）</w:t>
                  </w:r>
                </w:p>
              </w:tc>
              <w:tc>
                <w:tcPr>
                  <w:tcW w:w="2103" w:type="dxa"/>
                  <w:vAlign w:val="center"/>
                </w:tcPr>
                <w:p>
                  <w:pPr>
                    <w:pStyle w:val="26"/>
                    <w:ind w:left="0" w:leftChars="0" w:firstLine="0" w:firstLineChars="0"/>
                    <w:jc w:val="center"/>
                    <w:rPr>
                      <w:rFonts w:ascii="Times New Roman" w:hAnsi="Times New Roman"/>
                      <w:b/>
                      <w:bCs/>
                      <w:lang w:eastAsia="zh-CN"/>
                    </w:rPr>
                  </w:pPr>
                  <w:r>
                    <w:rPr>
                      <w:rFonts w:ascii="Times New Roman" w:hAnsi="Times New Roman"/>
                      <w:b/>
                      <w:bCs/>
                      <w:lang w:eastAsia="zh-CN"/>
                    </w:rPr>
                    <w:t>使用量（t/a）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0" w:type="dxa"/>
                  <w:vAlign w:val="center"/>
                </w:tcPr>
                <w:p>
                  <w:pPr>
                    <w:adjustRightInd w:val="0"/>
                    <w:snapToGrid w:val="0"/>
                    <w:jc w:val="center"/>
                    <w:rPr>
                      <w:bCs/>
                    </w:rPr>
                  </w:pPr>
                  <w:r>
                    <w:rPr>
                      <w:bCs/>
                    </w:rPr>
                    <w:t>汽车配件</w:t>
                  </w:r>
                </w:p>
              </w:tc>
              <w:tc>
                <w:tcPr>
                  <w:tcW w:w="2102" w:type="dxa"/>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0.003</w:t>
                  </w:r>
                </w:p>
              </w:tc>
              <w:tc>
                <w:tcPr>
                  <w:tcW w:w="2103" w:type="dxa"/>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900</w:t>
                  </w:r>
                </w:p>
              </w:tc>
              <w:tc>
                <w:tcPr>
                  <w:tcW w:w="2103" w:type="dxa"/>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2100" w:type="dxa"/>
                  <w:vAlign w:val="center"/>
                </w:tcPr>
                <w:p>
                  <w:pPr>
                    <w:adjustRightInd w:val="0"/>
                    <w:snapToGrid w:val="0"/>
                    <w:jc w:val="center"/>
                    <w:rPr>
                      <w:bCs/>
                    </w:rPr>
                  </w:pPr>
                  <w:r>
                    <w:rPr>
                      <w:bCs/>
                    </w:rPr>
                    <w:t>灯类配件</w:t>
                  </w:r>
                </w:p>
              </w:tc>
              <w:tc>
                <w:tcPr>
                  <w:tcW w:w="2102" w:type="dxa"/>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0.008</w:t>
                  </w:r>
                </w:p>
              </w:tc>
              <w:tc>
                <w:tcPr>
                  <w:tcW w:w="2103" w:type="dxa"/>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75</w:t>
                  </w:r>
                </w:p>
              </w:tc>
              <w:tc>
                <w:tcPr>
                  <w:tcW w:w="2103" w:type="dxa"/>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00" w:type="dxa"/>
                  <w:vAlign w:val="center"/>
                </w:tcPr>
                <w:p>
                  <w:pPr>
                    <w:adjustRightInd w:val="0"/>
                    <w:snapToGrid w:val="0"/>
                    <w:jc w:val="center"/>
                    <w:rPr>
                      <w:bCs/>
                    </w:rPr>
                  </w:pPr>
                  <w:r>
                    <w:rPr>
                      <w:bCs/>
                    </w:rPr>
                    <w:t>显示器配件</w:t>
                  </w:r>
                </w:p>
              </w:tc>
              <w:tc>
                <w:tcPr>
                  <w:tcW w:w="2102" w:type="dxa"/>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0.009</w:t>
                  </w:r>
                </w:p>
              </w:tc>
              <w:tc>
                <w:tcPr>
                  <w:tcW w:w="2103" w:type="dxa"/>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75</w:t>
                  </w:r>
                </w:p>
              </w:tc>
              <w:tc>
                <w:tcPr>
                  <w:tcW w:w="2103" w:type="dxa"/>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0.675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6305" w:type="dxa"/>
                  <w:gridSpan w:val="3"/>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合计</w:t>
                  </w:r>
                </w:p>
              </w:tc>
              <w:tc>
                <w:tcPr>
                  <w:tcW w:w="2103" w:type="dxa"/>
                  <w:vAlign w:val="center"/>
                </w:tcPr>
                <w:p>
                  <w:pPr>
                    <w:pStyle w:val="26"/>
                    <w:ind w:left="0" w:leftChars="0" w:firstLine="0" w:firstLineChars="0"/>
                    <w:jc w:val="center"/>
                    <w:rPr>
                      <w:rFonts w:ascii="Times New Roman" w:hAnsi="Times New Roman"/>
                      <w:lang w:eastAsia="zh-CN"/>
                    </w:rPr>
                  </w:pPr>
                  <w:r>
                    <w:rPr>
                      <w:rFonts w:ascii="Times New Roman" w:hAnsi="Times New Roman"/>
                      <w:lang w:eastAsia="zh-CN"/>
                    </w:rPr>
                    <w:t>3.975</w:t>
                  </w:r>
                </w:p>
              </w:tc>
            </w:tr>
          </w:tbl>
          <w:p>
            <w:pPr>
              <w:pStyle w:val="26"/>
              <w:ind w:left="0" w:leftChars="0" w:firstLine="0" w:firstLineChars="0"/>
              <w:rPr>
                <w:rFonts w:ascii="Times New Roman" w:hAnsi="Times New Roman"/>
                <w:lang w:eastAsia="zh-CN"/>
              </w:rPr>
            </w:pPr>
            <w:r>
              <w:rPr>
                <w:rFonts w:ascii="Times New Roman" w:hAnsi="Times New Roman"/>
                <w:lang w:eastAsia="zh-CN"/>
              </w:rPr>
              <w:t>注：由于项目各产品形状大小不同，所用的模具也因此不一，故由企业预估生产每种产品每吨大约所需脱模剂的用量。</w:t>
            </w:r>
          </w:p>
          <w:p>
            <w:pPr>
              <w:spacing w:line="360" w:lineRule="auto"/>
              <w:ind w:firstLine="420" w:firstLineChars="200"/>
            </w:pPr>
            <w:r>
              <w:t>根据上表可知，本项目设计所需脱模剂用量约为3.975t/a，</w:t>
            </w:r>
            <w:r>
              <w:rPr>
                <w:rFonts w:hint="eastAsia"/>
              </w:rPr>
              <w:t>考虑实际使用过程损耗，本项目按4t/a计。</w:t>
            </w:r>
          </w:p>
          <w:p>
            <w:pPr>
              <w:pStyle w:val="26"/>
              <w:spacing w:line="360" w:lineRule="auto"/>
              <w:ind w:left="422" w:leftChars="0" w:firstLine="0" w:firstLineChars="0"/>
              <w:rPr>
                <w:rFonts w:ascii="Times New Roman" w:hAnsi="Times New Roman"/>
                <w:b/>
                <w:bCs/>
                <w:lang w:eastAsia="zh-CN"/>
              </w:rPr>
            </w:pPr>
            <w:r>
              <w:rPr>
                <w:rFonts w:ascii="Times New Roman" w:hAnsi="Times New Roman"/>
                <w:b/>
                <w:bCs/>
                <w:lang w:eastAsia="zh-CN"/>
              </w:rPr>
              <w:t>（2）项目粉末涂料用量核算</w:t>
            </w:r>
          </w:p>
          <w:p>
            <w:pPr>
              <w:spacing w:line="360" w:lineRule="auto"/>
              <w:ind w:firstLine="420" w:firstLineChars="200"/>
            </w:pPr>
            <w:r>
              <w:t>项目生产的产品均需对其进行喷粉处理，类比同类企业经验系数，附着率约为80%，根据建设单位提供的资料，项目粉末涂料用量核算如下：</w:t>
            </w:r>
          </w:p>
          <w:p>
            <w:pPr>
              <w:adjustRightInd w:val="0"/>
              <w:snapToGrid w:val="0"/>
              <w:spacing w:after="120" w:afterLines="50"/>
              <w:jc w:val="center"/>
              <w:rPr>
                <w:b/>
                <w:sz w:val="28"/>
                <w:szCs w:val="28"/>
              </w:rPr>
            </w:pPr>
            <w:r>
              <w:rPr>
                <w:b/>
                <w:bCs/>
              </w:rPr>
              <w:t>表2-</w:t>
            </w:r>
            <w:r>
              <w:rPr>
                <w:rFonts w:hint="eastAsia"/>
                <w:b/>
                <w:bCs/>
              </w:rPr>
              <w:t>8</w:t>
            </w:r>
            <w:r>
              <w:rPr>
                <w:b/>
                <w:bCs/>
              </w:rPr>
              <w:t xml:space="preserve"> 项目主要产品喷粉面积核算</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5"/>
              <w:gridCol w:w="1356"/>
              <w:gridCol w:w="2956"/>
              <w:gridCol w:w="881"/>
              <w:gridCol w:w="1571"/>
              <w:gridCol w:w="11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vMerge w:val="restart"/>
                  <w:vAlign w:val="center"/>
                </w:tcPr>
                <w:p>
                  <w:pPr>
                    <w:jc w:val="center"/>
                  </w:pPr>
                  <w:r>
                    <w:rPr>
                      <w:b/>
                      <w:bCs/>
                    </w:rPr>
                    <w:t>序号</w:t>
                  </w:r>
                </w:p>
              </w:tc>
              <w:tc>
                <w:tcPr>
                  <w:tcW w:w="880" w:type="pct"/>
                  <w:vMerge w:val="restart"/>
                  <w:vAlign w:val="center"/>
                </w:tcPr>
                <w:p>
                  <w:pPr>
                    <w:jc w:val="center"/>
                    <w:rPr>
                      <w:b/>
                      <w:bCs/>
                    </w:rPr>
                  </w:pPr>
                  <w:r>
                    <w:rPr>
                      <w:b/>
                      <w:bCs/>
                    </w:rPr>
                    <w:t>产品名称</w:t>
                  </w:r>
                </w:p>
              </w:tc>
              <w:tc>
                <w:tcPr>
                  <w:tcW w:w="2991" w:type="pct"/>
                  <w:gridSpan w:val="3"/>
                  <w:vAlign w:val="center"/>
                </w:tcPr>
                <w:p>
                  <w:pPr>
                    <w:jc w:val="center"/>
                    <w:rPr>
                      <w:b/>
                      <w:bCs/>
                    </w:rPr>
                  </w:pPr>
                  <w:r>
                    <w:rPr>
                      <w:b/>
                      <w:bCs/>
                    </w:rPr>
                    <w:t>喷粉加工</w:t>
                  </w:r>
                </w:p>
              </w:tc>
              <w:tc>
                <w:tcPr>
                  <w:tcW w:w="781" w:type="pct"/>
                  <w:vMerge w:val="restart"/>
                  <w:vAlign w:val="center"/>
                </w:tcPr>
                <w:p>
                  <w:pPr>
                    <w:jc w:val="center"/>
                  </w:pPr>
                  <w:r>
                    <w:rPr>
                      <w:b/>
                    </w:rPr>
                    <w:t>喷粉面积（</w:t>
                  </w:r>
                  <w:r>
                    <w:rPr>
                      <w:b/>
                      <w:bCs/>
                    </w:rPr>
                    <w:t>m</w:t>
                  </w:r>
                  <w:r>
                    <w:rPr>
                      <w:b/>
                      <w:bCs/>
                      <w:vertAlign w:val="superscript"/>
                    </w:rPr>
                    <w:t>2</w:t>
                  </w:r>
                  <w:r>
                    <w:rPr>
                      <w:b/>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45" w:type="pct"/>
                  <w:vMerge w:val="continue"/>
                  <w:vAlign w:val="center"/>
                </w:tcPr>
                <w:p>
                  <w:pPr>
                    <w:jc w:val="center"/>
                  </w:pPr>
                </w:p>
              </w:tc>
              <w:tc>
                <w:tcPr>
                  <w:tcW w:w="880" w:type="pct"/>
                  <w:vMerge w:val="continue"/>
                  <w:vAlign w:val="center"/>
                </w:tcPr>
                <w:p>
                  <w:pPr>
                    <w:jc w:val="center"/>
                  </w:pPr>
                </w:p>
              </w:tc>
              <w:tc>
                <w:tcPr>
                  <w:tcW w:w="1385" w:type="pct"/>
                  <w:vAlign w:val="center"/>
                </w:tcPr>
                <w:p>
                  <w:pPr>
                    <w:adjustRightInd w:val="0"/>
                    <w:snapToGrid w:val="0"/>
                    <w:jc w:val="center"/>
                    <w:rPr>
                      <w:b/>
                      <w:bCs/>
                    </w:rPr>
                  </w:pPr>
                  <w:r>
                    <w:rPr>
                      <w:b/>
                      <w:bCs/>
                    </w:rPr>
                    <w:t>喷粉面积（m</w:t>
                  </w:r>
                  <w:r>
                    <w:rPr>
                      <w:b/>
                      <w:bCs/>
                      <w:vertAlign w:val="superscript"/>
                    </w:rPr>
                    <w:t>2</w:t>
                  </w:r>
                  <w:r>
                    <w:rPr>
                      <w:b/>
                      <w:bCs/>
                    </w:rPr>
                    <w:t>）</w:t>
                  </w:r>
                </w:p>
              </w:tc>
              <w:tc>
                <w:tcPr>
                  <w:tcW w:w="588" w:type="pct"/>
                  <w:vAlign w:val="center"/>
                </w:tcPr>
                <w:p>
                  <w:pPr>
                    <w:adjustRightInd w:val="0"/>
                    <w:snapToGrid w:val="0"/>
                    <w:jc w:val="center"/>
                    <w:rPr>
                      <w:b/>
                      <w:bCs/>
                    </w:rPr>
                  </w:pPr>
                  <w:r>
                    <w:rPr>
                      <w:b/>
                      <w:bCs/>
                    </w:rPr>
                    <w:t>合计（m</w:t>
                  </w:r>
                  <w:r>
                    <w:rPr>
                      <w:b/>
                      <w:bCs/>
                      <w:vertAlign w:val="superscript"/>
                    </w:rPr>
                    <w:t>2</w:t>
                  </w:r>
                  <w:r>
                    <w:rPr>
                      <w:b/>
                      <w:bCs/>
                    </w:rPr>
                    <w:t>）</w:t>
                  </w:r>
                </w:p>
              </w:tc>
              <w:tc>
                <w:tcPr>
                  <w:tcW w:w="1017" w:type="pct"/>
                  <w:vAlign w:val="center"/>
                </w:tcPr>
                <w:p>
                  <w:pPr>
                    <w:jc w:val="center"/>
                    <w:rPr>
                      <w:b/>
                      <w:bCs/>
                    </w:rPr>
                  </w:pPr>
                  <w:r>
                    <w:rPr>
                      <w:b/>
                      <w:bCs/>
                    </w:rPr>
                    <w:t>喷粉件数（件）</w:t>
                  </w:r>
                </w:p>
              </w:tc>
              <w:tc>
                <w:tcPr>
                  <w:tcW w:w="781" w:type="pct"/>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345" w:type="pct"/>
                  <w:vAlign w:val="center"/>
                </w:tcPr>
                <w:p>
                  <w:pPr>
                    <w:jc w:val="center"/>
                  </w:pPr>
                  <w:r>
                    <w:t>1</w:t>
                  </w:r>
                </w:p>
              </w:tc>
              <w:tc>
                <w:tcPr>
                  <w:tcW w:w="880" w:type="pct"/>
                  <w:vAlign w:val="center"/>
                </w:tcPr>
                <w:p>
                  <w:pPr>
                    <w:jc w:val="center"/>
                  </w:pPr>
                  <w:r>
                    <w:t>汽车配件</w:t>
                  </w:r>
                </w:p>
              </w:tc>
              <w:tc>
                <w:tcPr>
                  <w:tcW w:w="1385" w:type="pct"/>
                  <w:vAlign w:val="center"/>
                </w:tcPr>
                <w:p>
                  <w:pPr>
                    <w:rPr>
                      <w:bCs/>
                    </w:rPr>
                  </w:pPr>
                  <w:r>
                    <w:rPr>
                      <w:bCs/>
                    </w:rPr>
                    <w:t>0.4*0.25=0.1</w:t>
                  </w:r>
                </w:p>
                <w:p>
                  <w:pPr>
                    <w:rPr>
                      <w:bCs/>
                    </w:rPr>
                  </w:pPr>
                  <w:r>
                    <w:rPr>
                      <w:bCs/>
                    </w:rPr>
                    <w:t>0.25*0.05*2=0.025</w:t>
                  </w:r>
                </w:p>
                <w:p>
                  <w:pPr>
                    <w:rPr>
                      <w:bCs/>
                    </w:rPr>
                  </w:pPr>
                  <w:r>
                    <w:rPr>
                      <w:bCs/>
                    </w:rPr>
                    <w:t>0.4*0.05*2=0.04</w:t>
                  </w:r>
                </w:p>
              </w:tc>
              <w:tc>
                <w:tcPr>
                  <w:tcW w:w="588" w:type="pct"/>
                  <w:vAlign w:val="center"/>
                </w:tcPr>
                <w:p>
                  <w:pPr>
                    <w:jc w:val="center"/>
                    <w:rPr>
                      <w:bCs/>
                    </w:rPr>
                  </w:pPr>
                  <w:r>
                    <w:rPr>
                      <w:bCs/>
                    </w:rPr>
                    <w:t>0.165</w:t>
                  </w:r>
                </w:p>
              </w:tc>
              <w:tc>
                <w:tcPr>
                  <w:tcW w:w="1017" w:type="pct"/>
                  <w:vAlign w:val="center"/>
                </w:tcPr>
                <w:p>
                  <w:pPr>
                    <w:jc w:val="center"/>
                  </w:pPr>
                  <w:r>
                    <w:t>670000</w:t>
                  </w:r>
                </w:p>
              </w:tc>
              <w:tc>
                <w:tcPr>
                  <w:tcW w:w="781" w:type="pct"/>
                  <w:vAlign w:val="center"/>
                </w:tcPr>
                <w:p>
                  <w:pPr>
                    <w:jc w:val="center"/>
                  </w:pPr>
                  <w:r>
                    <w:t>110550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345" w:type="pct"/>
                  <w:vAlign w:val="center"/>
                </w:tcPr>
                <w:p>
                  <w:pPr>
                    <w:jc w:val="center"/>
                  </w:pPr>
                  <w:r>
                    <w:t>2</w:t>
                  </w:r>
                </w:p>
              </w:tc>
              <w:tc>
                <w:tcPr>
                  <w:tcW w:w="880" w:type="pct"/>
                  <w:vAlign w:val="center"/>
                </w:tcPr>
                <w:p>
                  <w:pPr>
                    <w:jc w:val="center"/>
                  </w:pPr>
                  <w:r>
                    <w:t>显示器配件</w:t>
                  </w:r>
                </w:p>
              </w:tc>
              <w:tc>
                <w:tcPr>
                  <w:tcW w:w="1385" w:type="pct"/>
                  <w:vAlign w:val="center"/>
                </w:tcPr>
                <w:p>
                  <w:r>
                    <w:t>0.2*0.01*2=0.004</w:t>
                  </w:r>
                </w:p>
                <w:p>
                  <w:r>
                    <w:t>0.2*0.005*7=0.007</w:t>
                  </w:r>
                </w:p>
                <w:p>
                  <w:r>
                    <w:t>0.04*0.01*4=0.0016</w:t>
                  </w:r>
                </w:p>
                <w:p>
                  <w:r>
                    <w:t>0.036*3.141*0.1=0.0113</w:t>
                  </w:r>
                </w:p>
                <w:p>
                  <w:r>
                    <w:t>0.04*3.141*0.1=0.0127</w:t>
                  </w:r>
                </w:p>
                <w:p>
                  <w:r>
                    <w:t>0.02*0.04*2=0.0016</w:t>
                  </w:r>
                </w:p>
              </w:tc>
              <w:tc>
                <w:tcPr>
                  <w:tcW w:w="588" w:type="pct"/>
                  <w:vAlign w:val="center"/>
                </w:tcPr>
                <w:p>
                  <w:pPr>
                    <w:jc w:val="center"/>
                    <w:rPr>
                      <w:bCs/>
                    </w:rPr>
                  </w:pPr>
                  <w:r>
                    <w:rPr>
                      <w:bCs/>
                    </w:rPr>
                    <w:t>0.0382</w:t>
                  </w:r>
                </w:p>
              </w:tc>
              <w:tc>
                <w:tcPr>
                  <w:tcW w:w="1017" w:type="pct"/>
                  <w:vAlign w:val="center"/>
                </w:tcPr>
                <w:p>
                  <w:pPr>
                    <w:jc w:val="center"/>
                  </w:pPr>
                  <w:r>
                    <w:t>260000</w:t>
                  </w:r>
                </w:p>
              </w:tc>
              <w:tc>
                <w:tcPr>
                  <w:tcW w:w="781" w:type="pct"/>
                  <w:vAlign w:val="center"/>
                </w:tcPr>
                <w:p>
                  <w:pPr>
                    <w:jc w:val="center"/>
                  </w:pPr>
                  <w:r>
                    <w:t>9932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0" w:hRule="atLeast"/>
                <w:jc w:val="center"/>
              </w:trPr>
              <w:tc>
                <w:tcPr>
                  <w:tcW w:w="345" w:type="pct"/>
                  <w:vAlign w:val="center"/>
                </w:tcPr>
                <w:p>
                  <w:pPr>
                    <w:jc w:val="center"/>
                  </w:pPr>
                  <w:r>
                    <w:t>3</w:t>
                  </w:r>
                </w:p>
              </w:tc>
              <w:tc>
                <w:tcPr>
                  <w:tcW w:w="880" w:type="pct"/>
                  <w:vAlign w:val="center"/>
                </w:tcPr>
                <w:p>
                  <w:pPr>
                    <w:jc w:val="center"/>
                  </w:pPr>
                  <w:r>
                    <w:t>灯类配件</w:t>
                  </w:r>
                </w:p>
              </w:tc>
              <w:tc>
                <w:tcPr>
                  <w:tcW w:w="1385" w:type="pct"/>
                  <w:vAlign w:val="center"/>
                </w:tcPr>
                <w:p>
                  <w:r>
                    <w:t>0.05*0.1*2=0.01</w:t>
                  </w:r>
                </w:p>
                <w:p>
                  <w:r>
                    <w:t>(0.08*0.02+0.05*0.1)*2=0.0132</w:t>
                  </w:r>
                </w:p>
                <w:p>
                  <w:r>
                    <w:t>0.1*0.05*4=0.02</w:t>
                  </w:r>
                </w:p>
              </w:tc>
              <w:tc>
                <w:tcPr>
                  <w:tcW w:w="588" w:type="pct"/>
                  <w:vAlign w:val="center"/>
                </w:tcPr>
                <w:p>
                  <w:pPr>
                    <w:jc w:val="center"/>
                    <w:rPr>
                      <w:bCs/>
                    </w:rPr>
                  </w:pPr>
                  <w:r>
                    <w:rPr>
                      <w:bCs/>
                    </w:rPr>
                    <w:t>0.0432</w:t>
                  </w:r>
                </w:p>
              </w:tc>
              <w:tc>
                <w:tcPr>
                  <w:tcW w:w="1017" w:type="pct"/>
                  <w:vAlign w:val="center"/>
                </w:tcPr>
                <w:p>
                  <w:pPr>
                    <w:jc w:val="center"/>
                  </w:pPr>
                  <w:r>
                    <w:t>105000</w:t>
                  </w:r>
                </w:p>
              </w:tc>
              <w:tc>
                <w:tcPr>
                  <w:tcW w:w="781" w:type="pct"/>
                  <w:vAlign w:val="center"/>
                </w:tcPr>
                <w:p>
                  <w:pPr>
                    <w:jc w:val="center"/>
                  </w:pPr>
                  <w:r>
                    <w:t>4536</w:t>
                  </w:r>
                </w:p>
              </w:tc>
            </w:tr>
          </w:tbl>
          <w:p>
            <w:pPr>
              <w:adjustRightInd w:val="0"/>
              <w:snapToGrid w:val="0"/>
              <w:spacing w:before="120" w:beforeLines="50" w:line="360" w:lineRule="auto"/>
              <w:ind w:firstLine="420" w:firstLineChars="200"/>
            </w:pPr>
            <w:r>
              <w:rPr>
                <w:bCs/>
              </w:rPr>
              <w:t>粉末涂料用量核算：</w:t>
            </w:r>
            <w:r>
              <w:t>项目热固性粉末涂料使用量计算公式为：</w:t>
            </w:r>
          </w:p>
          <w:p>
            <w:pPr>
              <w:adjustRightInd w:val="0"/>
              <w:snapToGrid w:val="0"/>
              <w:ind w:firstLine="420" w:firstLineChars="200"/>
            </w:pPr>
            <w:r>
              <w:t>粉末涂料年用量=</w:t>
            </w:r>
            <w:r>
              <w:rPr>
                <w:position w:val="-26"/>
              </w:rPr>
              <w:object>
                <v:shape id="_x0000_i1025" o:spt="75" type="#_x0000_t75" style="height:30.5pt;width:188pt;" o:ole="t" filled="f" o:preferrelative="t" stroked="f" coordsize="21600,21600">
                  <v:path/>
                  <v:fill on="f" focussize="0,0"/>
                  <v:stroke on="f" joinstyle="miter"/>
                  <v:imagedata r:id="rId14" o:title=""/>
                  <o:lock v:ext="edit" aspectratio="t"/>
                  <w10:wrap type="none"/>
                  <w10:anchorlock/>
                </v:shape>
                <o:OLEObject Type="Embed" ProgID="Equation.3" ShapeID="_x0000_i1025" DrawAspect="Content" ObjectID="_1468075725" r:id="rId13">
                  <o:LockedField>false</o:LockedField>
                </o:OLEObject>
              </w:object>
            </w:r>
          </w:p>
          <w:p>
            <w:pPr>
              <w:adjustRightInd w:val="0"/>
              <w:snapToGrid w:val="0"/>
              <w:ind w:firstLine="420" w:firstLineChars="200"/>
            </w:pPr>
            <w:r>
              <w:t>核算见下表。</w:t>
            </w:r>
          </w:p>
          <w:p>
            <w:pPr>
              <w:widowControl/>
              <w:spacing w:line="360" w:lineRule="auto"/>
              <w:jc w:val="center"/>
              <w:rPr>
                <w:b/>
                <w:bCs/>
              </w:rPr>
            </w:pPr>
            <w:r>
              <w:rPr>
                <w:b/>
                <w:bCs/>
              </w:rPr>
              <w:t>表2-</w:t>
            </w:r>
            <w:r>
              <w:rPr>
                <w:rFonts w:hint="eastAsia"/>
                <w:b/>
                <w:bCs/>
              </w:rPr>
              <w:t>9</w:t>
            </w:r>
            <w:r>
              <w:rPr>
                <w:b/>
                <w:bCs/>
              </w:rPr>
              <w:t xml:space="preserve"> 项目粉末涂料使用量核算表</w:t>
            </w:r>
          </w:p>
          <w:tbl>
            <w:tblPr>
              <w:tblStyle w:val="100"/>
              <w:tblW w:w="4997" w:type="pct"/>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051"/>
              <w:gridCol w:w="999"/>
              <w:gridCol w:w="1138"/>
              <w:gridCol w:w="864"/>
              <w:gridCol w:w="898"/>
              <w:gridCol w:w="876"/>
              <w:gridCol w:w="841"/>
              <w:gridCol w:w="854"/>
              <w:gridCol w:w="88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25" w:type="pct"/>
                  <w:vAlign w:val="center"/>
                </w:tcPr>
                <w:p>
                  <w:pPr>
                    <w:snapToGrid w:val="0"/>
                    <w:jc w:val="center"/>
                    <w:rPr>
                      <w:b/>
                      <w:bCs/>
                      <w:sz w:val="18"/>
                      <w:szCs w:val="18"/>
                    </w:rPr>
                  </w:pPr>
                  <w:r>
                    <w:rPr>
                      <w:b/>
                      <w:bCs/>
                      <w:sz w:val="18"/>
                      <w:szCs w:val="18"/>
                    </w:rPr>
                    <w:t>喷粉总面积（m</w:t>
                  </w:r>
                  <w:r>
                    <w:rPr>
                      <w:b/>
                      <w:bCs/>
                      <w:sz w:val="18"/>
                      <w:szCs w:val="18"/>
                      <w:vertAlign w:val="superscript"/>
                    </w:rPr>
                    <w:t>2</w:t>
                  </w:r>
                  <w:r>
                    <w:rPr>
                      <w:b/>
                      <w:bCs/>
                      <w:sz w:val="18"/>
                      <w:szCs w:val="18"/>
                    </w:rPr>
                    <w:t>）</w:t>
                  </w:r>
                </w:p>
              </w:tc>
              <w:tc>
                <w:tcPr>
                  <w:tcW w:w="594" w:type="pct"/>
                  <w:vAlign w:val="center"/>
                </w:tcPr>
                <w:p>
                  <w:pPr>
                    <w:snapToGrid w:val="0"/>
                    <w:jc w:val="center"/>
                    <w:rPr>
                      <w:b/>
                      <w:bCs/>
                      <w:sz w:val="18"/>
                      <w:szCs w:val="18"/>
                    </w:rPr>
                  </w:pPr>
                  <w:r>
                    <w:rPr>
                      <w:b/>
                      <w:bCs/>
                      <w:sz w:val="18"/>
                      <w:szCs w:val="18"/>
                    </w:rPr>
                    <w:t>喷粉厚度（mm）</w:t>
                  </w:r>
                </w:p>
              </w:tc>
              <w:tc>
                <w:tcPr>
                  <w:tcW w:w="677" w:type="pct"/>
                  <w:vAlign w:val="center"/>
                </w:tcPr>
                <w:p>
                  <w:pPr>
                    <w:snapToGrid w:val="0"/>
                    <w:jc w:val="center"/>
                    <w:rPr>
                      <w:b/>
                      <w:bCs/>
                      <w:sz w:val="18"/>
                      <w:szCs w:val="18"/>
                    </w:rPr>
                  </w:pPr>
                  <w:r>
                    <w:rPr>
                      <w:b/>
                      <w:bCs/>
                      <w:sz w:val="18"/>
                      <w:szCs w:val="18"/>
                    </w:rPr>
                    <w:t>涂料密度（kg/m</w:t>
                  </w:r>
                  <w:r>
                    <w:rPr>
                      <w:b/>
                      <w:bCs/>
                      <w:sz w:val="18"/>
                      <w:szCs w:val="18"/>
                      <w:vertAlign w:val="superscript"/>
                    </w:rPr>
                    <w:t>3</w:t>
                  </w:r>
                  <w:r>
                    <w:rPr>
                      <w:b/>
                      <w:bCs/>
                      <w:sz w:val="18"/>
                      <w:szCs w:val="18"/>
                    </w:rPr>
                    <w:t>）</w:t>
                  </w:r>
                </w:p>
              </w:tc>
              <w:tc>
                <w:tcPr>
                  <w:tcW w:w="514" w:type="pct"/>
                  <w:vAlign w:val="center"/>
                </w:tcPr>
                <w:p>
                  <w:pPr>
                    <w:snapToGrid w:val="0"/>
                    <w:jc w:val="center"/>
                    <w:rPr>
                      <w:b/>
                      <w:bCs/>
                      <w:sz w:val="18"/>
                      <w:szCs w:val="18"/>
                    </w:rPr>
                  </w:pPr>
                  <w:r>
                    <w:rPr>
                      <w:b/>
                      <w:bCs/>
                      <w:sz w:val="18"/>
                      <w:szCs w:val="18"/>
                    </w:rPr>
                    <w:t>粉末附着量（t/a）</w:t>
                  </w:r>
                </w:p>
              </w:tc>
              <w:tc>
                <w:tcPr>
                  <w:tcW w:w="534" w:type="pct"/>
                  <w:vAlign w:val="center"/>
                </w:tcPr>
                <w:p>
                  <w:pPr>
                    <w:snapToGrid w:val="0"/>
                    <w:jc w:val="center"/>
                    <w:rPr>
                      <w:b/>
                      <w:bCs/>
                      <w:sz w:val="18"/>
                      <w:szCs w:val="18"/>
                    </w:rPr>
                  </w:pPr>
                  <w:r>
                    <w:rPr>
                      <w:b/>
                      <w:bCs/>
                      <w:sz w:val="18"/>
                      <w:szCs w:val="18"/>
                    </w:rPr>
                    <w:t>粉末一次附着率</w:t>
                  </w:r>
                </w:p>
              </w:tc>
              <w:tc>
                <w:tcPr>
                  <w:tcW w:w="521" w:type="pct"/>
                  <w:vAlign w:val="center"/>
                </w:tcPr>
                <w:p>
                  <w:pPr>
                    <w:snapToGrid w:val="0"/>
                    <w:jc w:val="center"/>
                    <w:rPr>
                      <w:b/>
                      <w:bCs/>
                      <w:sz w:val="18"/>
                      <w:szCs w:val="18"/>
                    </w:rPr>
                  </w:pPr>
                  <w:r>
                    <w:rPr>
                      <w:b/>
                      <w:bCs/>
                      <w:sz w:val="18"/>
                      <w:szCs w:val="18"/>
                    </w:rPr>
                    <w:t>粉末回收率</w:t>
                  </w:r>
                </w:p>
              </w:tc>
              <w:tc>
                <w:tcPr>
                  <w:tcW w:w="500" w:type="pct"/>
                  <w:vAlign w:val="center"/>
                </w:tcPr>
                <w:p>
                  <w:pPr>
                    <w:snapToGrid w:val="0"/>
                    <w:jc w:val="center"/>
                    <w:rPr>
                      <w:b/>
                      <w:bCs/>
                      <w:sz w:val="18"/>
                      <w:szCs w:val="18"/>
                    </w:rPr>
                  </w:pPr>
                  <w:r>
                    <w:rPr>
                      <w:b/>
                      <w:bCs/>
                      <w:sz w:val="18"/>
                      <w:szCs w:val="18"/>
                    </w:rPr>
                    <w:t>粉未最终利用率</w:t>
                  </w:r>
                </w:p>
              </w:tc>
              <w:tc>
                <w:tcPr>
                  <w:tcW w:w="508" w:type="pct"/>
                  <w:vAlign w:val="center"/>
                </w:tcPr>
                <w:p>
                  <w:pPr>
                    <w:snapToGrid w:val="0"/>
                    <w:jc w:val="center"/>
                    <w:rPr>
                      <w:b/>
                      <w:bCs/>
                      <w:sz w:val="18"/>
                      <w:szCs w:val="18"/>
                    </w:rPr>
                  </w:pPr>
                  <w:r>
                    <w:rPr>
                      <w:b/>
                      <w:bCs/>
                      <w:sz w:val="18"/>
                      <w:szCs w:val="18"/>
                    </w:rPr>
                    <w:t>固含率</w:t>
                  </w:r>
                </w:p>
              </w:tc>
              <w:tc>
                <w:tcPr>
                  <w:tcW w:w="524" w:type="pct"/>
                  <w:vAlign w:val="center"/>
                </w:tcPr>
                <w:p>
                  <w:pPr>
                    <w:snapToGrid w:val="0"/>
                    <w:jc w:val="center"/>
                    <w:rPr>
                      <w:b/>
                      <w:bCs/>
                      <w:sz w:val="18"/>
                      <w:szCs w:val="18"/>
                    </w:rPr>
                  </w:pPr>
                  <w:r>
                    <w:rPr>
                      <w:b/>
                      <w:bCs/>
                      <w:sz w:val="18"/>
                      <w:szCs w:val="18"/>
                    </w:rPr>
                    <w:t>年用量（t/a）</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96" w:hRule="atLeast"/>
                <w:jc w:val="center"/>
              </w:trPr>
              <w:tc>
                <w:tcPr>
                  <w:tcW w:w="625" w:type="pct"/>
                  <w:vAlign w:val="center"/>
                </w:tcPr>
                <w:p>
                  <w:pPr>
                    <w:jc w:val="center"/>
                    <w:rPr>
                      <w:sz w:val="18"/>
                      <w:szCs w:val="18"/>
                    </w:rPr>
                  </w:pPr>
                  <w:r>
                    <w:rPr>
                      <w:sz w:val="18"/>
                      <w:szCs w:val="18"/>
                    </w:rPr>
                    <w:t>125018</w:t>
                  </w:r>
                </w:p>
              </w:tc>
              <w:tc>
                <w:tcPr>
                  <w:tcW w:w="594" w:type="pct"/>
                  <w:vAlign w:val="center"/>
                </w:tcPr>
                <w:p>
                  <w:pPr>
                    <w:jc w:val="center"/>
                    <w:rPr>
                      <w:sz w:val="18"/>
                      <w:szCs w:val="18"/>
                    </w:rPr>
                  </w:pPr>
                  <w:r>
                    <w:rPr>
                      <w:sz w:val="18"/>
                      <w:szCs w:val="18"/>
                    </w:rPr>
                    <w:t>0.01</w:t>
                  </w:r>
                </w:p>
              </w:tc>
              <w:tc>
                <w:tcPr>
                  <w:tcW w:w="677" w:type="pct"/>
                  <w:vAlign w:val="center"/>
                </w:tcPr>
                <w:p>
                  <w:pPr>
                    <w:jc w:val="center"/>
                    <w:rPr>
                      <w:sz w:val="18"/>
                      <w:szCs w:val="18"/>
                    </w:rPr>
                  </w:pPr>
                  <w:r>
                    <w:rPr>
                      <w:sz w:val="18"/>
                      <w:szCs w:val="18"/>
                    </w:rPr>
                    <w:t>1400</w:t>
                  </w:r>
                </w:p>
              </w:tc>
              <w:tc>
                <w:tcPr>
                  <w:tcW w:w="514" w:type="pct"/>
                  <w:vAlign w:val="center"/>
                </w:tcPr>
                <w:p>
                  <w:pPr>
                    <w:jc w:val="center"/>
                    <w:rPr>
                      <w:sz w:val="18"/>
                      <w:szCs w:val="18"/>
                    </w:rPr>
                  </w:pPr>
                  <w:r>
                    <w:rPr>
                      <w:sz w:val="18"/>
                      <w:szCs w:val="18"/>
                    </w:rPr>
                    <w:t>1.75</w:t>
                  </w:r>
                </w:p>
              </w:tc>
              <w:tc>
                <w:tcPr>
                  <w:tcW w:w="534" w:type="pct"/>
                  <w:vAlign w:val="center"/>
                </w:tcPr>
                <w:p>
                  <w:pPr>
                    <w:jc w:val="center"/>
                    <w:rPr>
                      <w:sz w:val="18"/>
                      <w:szCs w:val="18"/>
                    </w:rPr>
                  </w:pPr>
                  <w:r>
                    <w:rPr>
                      <w:sz w:val="18"/>
                      <w:szCs w:val="18"/>
                    </w:rPr>
                    <w:t>80%</w:t>
                  </w:r>
                </w:p>
              </w:tc>
              <w:tc>
                <w:tcPr>
                  <w:tcW w:w="521" w:type="pct"/>
                  <w:vAlign w:val="center"/>
                </w:tcPr>
                <w:p>
                  <w:pPr>
                    <w:jc w:val="center"/>
                    <w:rPr>
                      <w:sz w:val="18"/>
                      <w:szCs w:val="18"/>
                    </w:rPr>
                  </w:pPr>
                  <w:r>
                    <w:rPr>
                      <w:sz w:val="18"/>
                      <w:szCs w:val="18"/>
                    </w:rPr>
                    <w:t>80%</w:t>
                  </w:r>
                </w:p>
              </w:tc>
              <w:tc>
                <w:tcPr>
                  <w:tcW w:w="500" w:type="pct"/>
                  <w:vAlign w:val="center"/>
                </w:tcPr>
                <w:p>
                  <w:pPr>
                    <w:jc w:val="center"/>
                    <w:rPr>
                      <w:sz w:val="18"/>
                      <w:szCs w:val="18"/>
                    </w:rPr>
                  </w:pPr>
                  <w:r>
                    <w:rPr>
                      <w:sz w:val="18"/>
                      <w:szCs w:val="18"/>
                    </w:rPr>
                    <w:t>96%</w:t>
                  </w:r>
                </w:p>
              </w:tc>
              <w:tc>
                <w:tcPr>
                  <w:tcW w:w="508" w:type="pct"/>
                  <w:vAlign w:val="center"/>
                </w:tcPr>
                <w:p>
                  <w:pPr>
                    <w:jc w:val="center"/>
                    <w:rPr>
                      <w:sz w:val="18"/>
                      <w:szCs w:val="18"/>
                    </w:rPr>
                  </w:pPr>
                  <w:r>
                    <w:rPr>
                      <w:sz w:val="18"/>
                      <w:szCs w:val="18"/>
                    </w:rPr>
                    <w:t>100%</w:t>
                  </w:r>
                </w:p>
              </w:tc>
              <w:tc>
                <w:tcPr>
                  <w:tcW w:w="524" w:type="pct"/>
                  <w:vAlign w:val="center"/>
                </w:tcPr>
                <w:p>
                  <w:pPr>
                    <w:jc w:val="center"/>
                    <w:rPr>
                      <w:sz w:val="18"/>
                      <w:szCs w:val="18"/>
                    </w:rPr>
                  </w:pPr>
                  <w:r>
                    <w:rPr>
                      <w:sz w:val="18"/>
                      <w:szCs w:val="18"/>
                    </w:rPr>
                    <w:t>1.823</w:t>
                  </w:r>
                </w:p>
              </w:tc>
            </w:tr>
          </w:tbl>
          <w:p>
            <w:pPr>
              <w:widowControl/>
              <w:spacing w:before="120" w:beforeLines="50" w:line="360" w:lineRule="auto"/>
              <w:ind w:firstLine="422" w:firstLineChars="200"/>
              <w:rPr>
                <w:b/>
                <w:bCs/>
              </w:rPr>
            </w:pPr>
            <w:r>
              <w:rPr>
                <w:b/>
                <w:bCs/>
              </w:rPr>
              <w:t>5、项目主要生产单元及生产设施一览表</w:t>
            </w:r>
          </w:p>
          <w:p>
            <w:pPr>
              <w:widowControl/>
              <w:spacing w:line="360" w:lineRule="auto"/>
              <w:ind w:firstLine="420" w:firstLineChars="200"/>
              <w:rPr>
                <w:b/>
                <w:bCs/>
              </w:rPr>
            </w:pPr>
            <w:r>
              <w:t>项目主要生产单元及生产设施见下表。</w:t>
            </w:r>
          </w:p>
          <w:p>
            <w:pPr>
              <w:widowControl/>
              <w:spacing w:line="360" w:lineRule="auto"/>
              <w:jc w:val="center"/>
              <w:rPr>
                <w:b/>
                <w:bCs/>
              </w:rPr>
            </w:pPr>
            <w:r>
              <w:rPr>
                <w:b/>
                <w:bCs/>
              </w:rPr>
              <w:t>表2-</w:t>
            </w:r>
            <w:r>
              <w:rPr>
                <w:rFonts w:hint="eastAsia"/>
                <w:b/>
                <w:bCs/>
              </w:rPr>
              <w:t>10</w:t>
            </w:r>
            <w:r>
              <w:rPr>
                <w:b/>
                <w:bCs/>
              </w:rPr>
              <w:t xml:space="preserve"> 项目主要生产设备一览表</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3"/>
              <w:gridCol w:w="783"/>
              <w:gridCol w:w="1139"/>
              <w:gridCol w:w="1562"/>
              <w:gridCol w:w="767"/>
              <w:gridCol w:w="1676"/>
              <w:gridCol w:w="900"/>
              <w:gridCol w:w="9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5" w:hRule="exact"/>
                <w:tblHeader/>
                <w:jc w:val="center"/>
              </w:trPr>
              <w:tc>
                <w:tcPr>
                  <w:tcW w:w="400" w:type="pct"/>
                  <w:vAlign w:val="center"/>
                </w:tcPr>
                <w:p>
                  <w:pPr>
                    <w:widowControl/>
                    <w:adjustRightInd w:val="0"/>
                    <w:snapToGrid w:val="0"/>
                    <w:jc w:val="center"/>
                    <w:rPr>
                      <w:b/>
                    </w:rPr>
                  </w:pPr>
                  <w:r>
                    <w:rPr>
                      <w:b/>
                    </w:rPr>
                    <w:t>序号</w:t>
                  </w:r>
                </w:p>
              </w:tc>
              <w:tc>
                <w:tcPr>
                  <w:tcW w:w="465" w:type="pct"/>
                  <w:vAlign w:val="center"/>
                </w:tcPr>
                <w:p>
                  <w:pPr>
                    <w:adjustRightInd w:val="0"/>
                    <w:snapToGrid w:val="0"/>
                    <w:jc w:val="center"/>
                    <w:rPr>
                      <w:b/>
                      <w:bCs/>
                    </w:rPr>
                  </w:pPr>
                  <w:r>
                    <w:rPr>
                      <w:b/>
                      <w:bCs/>
                    </w:rPr>
                    <w:t>主要生产单元</w:t>
                  </w:r>
                </w:p>
              </w:tc>
              <w:tc>
                <w:tcPr>
                  <w:tcW w:w="677" w:type="pct"/>
                  <w:vAlign w:val="center"/>
                </w:tcPr>
                <w:p>
                  <w:pPr>
                    <w:adjustRightInd w:val="0"/>
                    <w:snapToGrid w:val="0"/>
                    <w:jc w:val="center"/>
                    <w:rPr>
                      <w:b/>
                      <w:bCs/>
                    </w:rPr>
                  </w:pPr>
                  <w:r>
                    <w:rPr>
                      <w:b/>
                      <w:bCs/>
                    </w:rPr>
                    <w:t>生产工序</w:t>
                  </w:r>
                </w:p>
              </w:tc>
              <w:tc>
                <w:tcPr>
                  <w:tcW w:w="928" w:type="pct"/>
                  <w:vAlign w:val="center"/>
                </w:tcPr>
                <w:p>
                  <w:pPr>
                    <w:adjustRightInd w:val="0"/>
                    <w:snapToGrid w:val="0"/>
                    <w:jc w:val="center"/>
                    <w:rPr>
                      <w:b/>
                      <w:bCs/>
                    </w:rPr>
                  </w:pPr>
                  <w:r>
                    <w:rPr>
                      <w:b/>
                      <w:bCs/>
                    </w:rPr>
                    <w:t>设备名称</w:t>
                  </w:r>
                </w:p>
              </w:tc>
              <w:tc>
                <w:tcPr>
                  <w:tcW w:w="456" w:type="pct"/>
                  <w:vAlign w:val="center"/>
                </w:tcPr>
                <w:p>
                  <w:pPr>
                    <w:widowControl/>
                    <w:adjustRightInd w:val="0"/>
                    <w:snapToGrid w:val="0"/>
                    <w:jc w:val="center"/>
                    <w:rPr>
                      <w:b/>
                    </w:rPr>
                  </w:pPr>
                  <w:r>
                    <w:rPr>
                      <w:b/>
                    </w:rPr>
                    <w:t>数量</w:t>
                  </w:r>
                </w:p>
              </w:tc>
              <w:tc>
                <w:tcPr>
                  <w:tcW w:w="996" w:type="pct"/>
                  <w:vAlign w:val="center"/>
                </w:tcPr>
                <w:p>
                  <w:pPr>
                    <w:widowControl/>
                    <w:adjustRightInd w:val="0"/>
                    <w:snapToGrid w:val="0"/>
                    <w:jc w:val="center"/>
                    <w:rPr>
                      <w:b/>
                    </w:rPr>
                  </w:pPr>
                  <w:r>
                    <w:rPr>
                      <w:b/>
                    </w:rPr>
                    <w:t>设施参数</w:t>
                  </w:r>
                </w:p>
              </w:tc>
              <w:tc>
                <w:tcPr>
                  <w:tcW w:w="535" w:type="pct"/>
                  <w:vAlign w:val="center"/>
                </w:tcPr>
                <w:p>
                  <w:pPr>
                    <w:widowControl/>
                    <w:adjustRightInd w:val="0"/>
                    <w:snapToGrid w:val="0"/>
                    <w:jc w:val="center"/>
                    <w:rPr>
                      <w:b/>
                    </w:rPr>
                  </w:pPr>
                  <w:r>
                    <w:rPr>
                      <w:b/>
                    </w:rPr>
                    <w:t>参数值</w:t>
                  </w:r>
                </w:p>
              </w:tc>
              <w:tc>
                <w:tcPr>
                  <w:tcW w:w="539" w:type="pct"/>
                  <w:vAlign w:val="center"/>
                </w:tcPr>
                <w:p>
                  <w:pPr>
                    <w:widowControl/>
                    <w:adjustRightInd w:val="0"/>
                    <w:snapToGrid w:val="0"/>
                    <w:jc w:val="center"/>
                    <w:rPr>
                      <w:b/>
                    </w:rPr>
                  </w:pPr>
                  <w:r>
                    <w:rPr>
                      <w:b/>
                    </w:rPr>
                    <w:t>参数单位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restart"/>
                  <w:vAlign w:val="center"/>
                </w:tcPr>
                <w:p>
                  <w:pPr>
                    <w:widowControl/>
                    <w:adjustRightInd w:val="0"/>
                    <w:snapToGrid w:val="0"/>
                    <w:jc w:val="center"/>
                  </w:pPr>
                  <w:r>
                    <w:t>1</w:t>
                  </w:r>
                </w:p>
              </w:tc>
              <w:tc>
                <w:tcPr>
                  <w:tcW w:w="465" w:type="pct"/>
                  <w:vMerge w:val="restart"/>
                  <w:vAlign w:val="center"/>
                </w:tcPr>
                <w:p>
                  <w:pPr>
                    <w:widowControl/>
                    <w:adjustRightInd w:val="0"/>
                    <w:snapToGrid w:val="0"/>
                    <w:jc w:val="center"/>
                  </w:pPr>
                  <w:r>
                    <w:t>产品生产单元</w:t>
                  </w:r>
                </w:p>
              </w:tc>
              <w:tc>
                <w:tcPr>
                  <w:tcW w:w="677" w:type="pct"/>
                  <w:vMerge w:val="restart"/>
                  <w:vAlign w:val="center"/>
                </w:tcPr>
                <w:p>
                  <w:pPr>
                    <w:widowControl/>
                    <w:adjustRightInd w:val="0"/>
                    <w:snapToGrid w:val="0"/>
                    <w:jc w:val="center"/>
                    <w:rPr>
                      <w:bCs/>
                    </w:rPr>
                  </w:pPr>
                  <w:r>
                    <w:rPr>
                      <w:bCs/>
                    </w:rPr>
                    <w:t>压铸</w:t>
                  </w:r>
                </w:p>
              </w:tc>
              <w:tc>
                <w:tcPr>
                  <w:tcW w:w="928" w:type="pct"/>
                  <w:vAlign w:val="center"/>
                </w:tcPr>
                <w:p>
                  <w:pPr>
                    <w:widowControl/>
                    <w:adjustRightInd w:val="0"/>
                    <w:snapToGrid w:val="0"/>
                    <w:jc w:val="center"/>
                  </w:pPr>
                  <w:r>
                    <w:rPr>
                      <w:bCs/>
                    </w:rPr>
                    <w:t>锌合金压铸机</w:t>
                  </w:r>
                </w:p>
              </w:tc>
              <w:tc>
                <w:tcPr>
                  <w:tcW w:w="456" w:type="pct"/>
                  <w:vAlign w:val="center"/>
                </w:tcPr>
                <w:p>
                  <w:pPr>
                    <w:widowControl/>
                    <w:adjustRightInd w:val="0"/>
                    <w:snapToGrid w:val="0"/>
                    <w:jc w:val="center"/>
                  </w:pPr>
                  <w:r>
                    <w:t>1台</w:t>
                  </w:r>
                </w:p>
              </w:tc>
              <w:tc>
                <w:tcPr>
                  <w:tcW w:w="996" w:type="pct"/>
                  <w:vAlign w:val="center"/>
                </w:tcPr>
                <w:p>
                  <w:pPr>
                    <w:widowControl/>
                    <w:adjustRightInd w:val="0"/>
                    <w:snapToGrid w:val="0"/>
                    <w:jc w:val="center"/>
                  </w:pPr>
                  <w:r>
                    <w:t>锁形力</w:t>
                  </w:r>
                </w:p>
              </w:tc>
              <w:tc>
                <w:tcPr>
                  <w:tcW w:w="535" w:type="pct"/>
                  <w:vAlign w:val="center"/>
                </w:tcPr>
                <w:p>
                  <w:pPr>
                    <w:widowControl/>
                    <w:adjustRightInd w:val="0"/>
                    <w:snapToGrid w:val="0"/>
                    <w:jc w:val="center"/>
                  </w:pPr>
                  <w:r>
                    <w:t>880</w:t>
                  </w:r>
                </w:p>
              </w:tc>
              <w:tc>
                <w:tcPr>
                  <w:tcW w:w="539" w:type="pct"/>
                  <w:vAlign w:val="center"/>
                </w:tcPr>
                <w:p>
                  <w:pPr>
                    <w:widowControl/>
                    <w:adjustRightInd w:val="0"/>
                    <w:snapToGrid w:val="0"/>
                    <w:jc w:val="center"/>
                  </w:pPr>
                  <w:r>
                    <w:t>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continue"/>
                  <w:vAlign w:val="center"/>
                </w:tcPr>
                <w:p>
                  <w:pPr>
                    <w:widowControl/>
                    <w:adjustRightInd w:val="0"/>
                    <w:snapToGrid w:val="0"/>
                    <w:jc w:val="center"/>
                  </w:pP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rFonts w:hint="eastAsia"/>
                      <w:bCs/>
                    </w:rPr>
                    <w:t>感应电炉</w:t>
                  </w:r>
                </w:p>
              </w:tc>
              <w:tc>
                <w:tcPr>
                  <w:tcW w:w="456" w:type="pct"/>
                  <w:vAlign w:val="center"/>
                </w:tcPr>
                <w:p>
                  <w:pPr>
                    <w:widowControl/>
                    <w:adjustRightInd w:val="0"/>
                    <w:snapToGrid w:val="0"/>
                    <w:jc w:val="center"/>
                    <w:rPr>
                      <w:bCs/>
                    </w:rPr>
                  </w:pPr>
                  <w:r>
                    <w:t>1台</w:t>
                  </w:r>
                </w:p>
              </w:tc>
              <w:tc>
                <w:tcPr>
                  <w:tcW w:w="996" w:type="pct"/>
                  <w:vAlign w:val="center"/>
                </w:tcPr>
                <w:p>
                  <w:pPr>
                    <w:widowControl/>
                    <w:adjustRightInd w:val="0"/>
                    <w:snapToGrid w:val="0"/>
                    <w:jc w:val="center"/>
                    <w:rPr>
                      <w:bCs/>
                    </w:rPr>
                  </w:pPr>
                  <w:r>
                    <w:rPr>
                      <w:rFonts w:hint="eastAsia"/>
                      <w:bCs/>
                    </w:rPr>
                    <w:t>容量</w:t>
                  </w:r>
                </w:p>
              </w:tc>
              <w:tc>
                <w:tcPr>
                  <w:tcW w:w="535" w:type="pct"/>
                  <w:vAlign w:val="center"/>
                </w:tcPr>
                <w:p>
                  <w:pPr>
                    <w:widowControl/>
                    <w:adjustRightInd w:val="0"/>
                    <w:snapToGrid w:val="0"/>
                    <w:jc w:val="center"/>
                    <w:rPr>
                      <w:bCs/>
                    </w:rPr>
                  </w:pPr>
                  <w:r>
                    <w:rPr>
                      <w:rFonts w:hint="eastAsia"/>
                      <w:bCs/>
                    </w:rPr>
                    <w:t>0.3</w:t>
                  </w:r>
                </w:p>
              </w:tc>
              <w:tc>
                <w:tcPr>
                  <w:tcW w:w="539" w:type="pct"/>
                  <w:vAlign w:val="center"/>
                </w:tcPr>
                <w:p>
                  <w:pPr>
                    <w:widowControl/>
                    <w:adjustRightInd w:val="0"/>
                    <w:snapToGrid w:val="0"/>
                    <w:jc w:val="center"/>
                    <w:rPr>
                      <w:bCs/>
                    </w:rPr>
                  </w:pPr>
                  <w:r>
                    <w:rPr>
                      <w:rFonts w:hint="eastAsia"/>
                      <w:bCs/>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restart"/>
                  <w:vAlign w:val="center"/>
                </w:tcPr>
                <w:p>
                  <w:pPr>
                    <w:widowControl/>
                    <w:adjustRightInd w:val="0"/>
                    <w:snapToGrid w:val="0"/>
                    <w:jc w:val="center"/>
                  </w:pPr>
                  <w:r>
                    <w:t>2</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rPr>
                      <w:bCs/>
                    </w:rPr>
                  </w:pPr>
                </w:p>
              </w:tc>
              <w:tc>
                <w:tcPr>
                  <w:tcW w:w="928" w:type="pct"/>
                  <w:vAlign w:val="center"/>
                </w:tcPr>
                <w:p>
                  <w:pPr>
                    <w:widowControl/>
                    <w:adjustRightInd w:val="0"/>
                    <w:snapToGrid w:val="0"/>
                    <w:jc w:val="center"/>
                  </w:pPr>
                  <w:r>
                    <w:rPr>
                      <w:bCs/>
                    </w:rPr>
                    <w:t>锌合金压铸机</w:t>
                  </w:r>
                </w:p>
              </w:tc>
              <w:tc>
                <w:tcPr>
                  <w:tcW w:w="456" w:type="pct"/>
                  <w:vAlign w:val="center"/>
                </w:tcPr>
                <w:p>
                  <w:pPr>
                    <w:widowControl/>
                    <w:adjustRightInd w:val="0"/>
                    <w:snapToGrid w:val="0"/>
                    <w:jc w:val="center"/>
                  </w:pPr>
                  <w:r>
                    <w:t>1台</w:t>
                  </w:r>
                </w:p>
              </w:tc>
              <w:tc>
                <w:tcPr>
                  <w:tcW w:w="996" w:type="pct"/>
                  <w:vAlign w:val="center"/>
                </w:tcPr>
                <w:p>
                  <w:pPr>
                    <w:widowControl/>
                    <w:adjustRightInd w:val="0"/>
                    <w:snapToGrid w:val="0"/>
                    <w:jc w:val="center"/>
                  </w:pPr>
                  <w:r>
                    <w:t>锁形力</w:t>
                  </w:r>
                </w:p>
              </w:tc>
              <w:tc>
                <w:tcPr>
                  <w:tcW w:w="535" w:type="pct"/>
                  <w:vAlign w:val="center"/>
                </w:tcPr>
                <w:p>
                  <w:pPr>
                    <w:widowControl/>
                    <w:adjustRightInd w:val="0"/>
                    <w:snapToGrid w:val="0"/>
                    <w:jc w:val="center"/>
                  </w:pPr>
                  <w:r>
                    <w:t>1600</w:t>
                  </w:r>
                </w:p>
              </w:tc>
              <w:tc>
                <w:tcPr>
                  <w:tcW w:w="539" w:type="pct"/>
                  <w:vAlign w:val="center"/>
                </w:tcPr>
                <w:p>
                  <w:pPr>
                    <w:widowControl/>
                    <w:adjustRightInd w:val="0"/>
                    <w:snapToGrid w:val="0"/>
                    <w:jc w:val="center"/>
                  </w:pPr>
                  <w:r>
                    <w:t>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continue"/>
                  <w:vAlign w:val="center"/>
                </w:tcPr>
                <w:p>
                  <w:pPr>
                    <w:widowControl/>
                    <w:adjustRightInd w:val="0"/>
                    <w:snapToGrid w:val="0"/>
                    <w:jc w:val="center"/>
                  </w:pP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rFonts w:hint="eastAsia"/>
                      <w:bCs/>
                    </w:rPr>
                    <w:t>感应电炉</w:t>
                  </w:r>
                </w:p>
              </w:tc>
              <w:tc>
                <w:tcPr>
                  <w:tcW w:w="456" w:type="pct"/>
                  <w:vAlign w:val="center"/>
                </w:tcPr>
                <w:p>
                  <w:pPr>
                    <w:widowControl/>
                    <w:adjustRightInd w:val="0"/>
                    <w:snapToGrid w:val="0"/>
                    <w:jc w:val="center"/>
                    <w:rPr>
                      <w:bCs/>
                    </w:rPr>
                  </w:pPr>
                  <w:r>
                    <w:t>1台</w:t>
                  </w:r>
                </w:p>
              </w:tc>
              <w:tc>
                <w:tcPr>
                  <w:tcW w:w="996" w:type="pct"/>
                  <w:vAlign w:val="center"/>
                </w:tcPr>
                <w:p>
                  <w:pPr>
                    <w:widowControl/>
                    <w:adjustRightInd w:val="0"/>
                    <w:snapToGrid w:val="0"/>
                    <w:jc w:val="center"/>
                    <w:rPr>
                      <w:bCs/>
                    </w:rPr>
                  </w:pPr>
                  <w:r>
                    <w:rPr>
                      <w:rFonts w:hint="eastAsia"/>
                      <w:bCs/>
                    </w:rPr>
                    <w:t>容量</w:t>
                  </w:r>
                </w:p>
              </w:tc>
              <w:tc>
                <w:tcPr>
                  <w:tcW w:w="535" w:type="pct"/>
                  <w:vAlign w:val="center"/>
                </w:tcPr>
                <w:p>
                  <w:pPr>
                    <w:widowControl/>
                    <w:adjustRightInd w:val="0"/>
                    <w:snapToGrid w:val="0"/>
                    <w:jc w:val="center"/>
                    <w:rPr>
                      <w:bCs/>
                    </w:rPr>
                  </w:pPr>
                  <w:r>
                    <w:rPr>
                      <w:rFonts w:hint="eastAsia"/>
                      <w:bCs/>
                    </w:rPr>
                    <w:t>0.3</w:t>
                  </w:r>
                </w:p>
              </w:tc>
              <w:tc>
                <w:tcPr>
                  <w:tcW w:w="539" w:type="pct"/>
                  <w:vAlign w:val="center"/>
                </w:tcPr>
                <w:p>
                  <w:pPr>
                    <w:widowControl/>
                    <w:adjustRightInd w:val="0"/>
                    <w:snapToGrid w:val="0"/>
                    <w:jc w:val="center"/>
                    <w:rPr>
                      <w:bCs/>
                    </w:rPr>
                  </w:pPr>
                  <w:r>
                    <w:rPr>
                      <w:rFonts w:hint="eastAsia"/>
                      <w:bCs/>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restart"/>
                  <w:vAlign w:val="center"/>
                </w:tcPr>
                <w:p>
                  <w:pPr>
                    <w:widowControl/>
                    <w:adjustRightInd w:val="0"/>
                    <w:snapToGrid w:val="0"/>
                    <w:jc w:val="center"/>
                  </w:pPr>
                  <w:r>
                    <w:t>3</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rPr>
                      <w:bCs/>
                    </w:rPr>
                  </w:pPr>
                </w:p>
              </w:tc>
              <w:tc>
                <w:tcPr>
                  <w:tcW w:w="928" w:type="pct"/>
                  <w:vAlign w:val="center"/>
                </w:tcPr>
                <w:p>
                  <w:pPr>
                    <w:widowControl/>
                    <w:adjustRightInd w:val="0"/>
                    <w:snapToGrid w:val="0"/>
                    <w:jc w:val="center"/>
                  </w:pPr>
                  <w:r>
                    <w:rPr>
                      <w:bCs/>
                    </w:rPr>
                    <w:t>锌合金压铸机</w:t>
                  </w:r>
                </w:p>
              </w:tc>
              <w:tc>
                <w:tcPr>
                  <w:tcW w:w="456" w:type="pct"/>
                  <w:vAlign w:val="center"/>
                </w:tcPr>
                <w:p>
                  <w:pPr>
                    <w:widowControl/>
                    <w:adjustRightInd w:val="0"/>
                    <w:snapToGrid w:val="0"/>
                    <w:jc w:val="center"/>
                  </w:pPr>
                  <w:r>
                    <w:t>1台</w:t>
                  </w:r>
                </w:p>
              </w:tc>
              <w:tc>
                <w:tcPr>
                  <w:tcW w:w="996" w:type="pct"/>
                  <w:vAlign w:val="center"/>
                </w:tcPr>
                <w:p>
                  <w:pPr>
                    <w:widowControl/>
                    <w:adjustRightInd w:val="0"/>
                    <w:snapToGrid w:val="0"/>
                    <w:jc w:val="center"/>
                  </w:pPr>
                  <w:r>
                    <w:t>锁形力</w:t>
                  </w:r>
                </w:p>
              </w:tc>
              <w:tc>
                <w:tcPr>
                  <w:tcW w:w="535" w:type="pct"/>
                  <w:vAlign w:val="center"/>
                </w:tcPr>
                <w:p>
                  <w:pPr>
                    <w:widowControl/>
                    <w:adjustRightInd w:val="0"/>
                    <w:snapToGrid w:val="0"/>
                    <w:jc w:val="center"/>
                  </w:pPr>
                  <w:r>
                    <w:t>2000</w:t>
                  </w:r>
                </w:p>
              </w:tc>
              <w:tc>
                <w:tcPr>
                  <w:tcW w:w="539" w:type="pct"/>
                  <w:vAlign w:val="center"/>
                </w:tcPr>
                <w:p>
                  <w:pPr>
                    <w:widowControl/>
                    <w:adjustRightInd w:val="0"/>
                    <w:snapToGrid w:val="0"/>
                    <w:jc w:val="center"/>
                  </w:pPr>
                  <w:r>
                    <w:t>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continue"/>
                  <w:vAlign w:val="center"/>
                </w:tcPr>
                <w:p>
                  <w:pPr>
                    <w:widowControl/>
                    <w:adjustRightInd w:val="0"/>
                    <w:snapToGrid w:val="0"/>
                    <w:jc w:val="center"/>
                  </w:pP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rFonts w:hint="eastAsia"/>
                      <w:bCs/>
                    </w:rPr>
                    <w:t>感应电炉</w:t>
                  </w:r>
                </w:p>
              </w:tc>
              <w:tc>
                <w:tcPr>
                  <w:tcW w:w="456" w:type="pct"/>
                  <w:vAlign w:val="center"/>
                </w:tcPr>
                <w:p>
                  <w:pPr>
                    <w:widowControl/>
                    <w:adjustRightInd w:val="0"/>
                    <w:snapToGrid w:val="0"/>
                    <w:jc w:val="center"/>
                    <w:rPr>
                      <w:bCs/>
                    </w:rPr>
                  </w:pPr>
                  <w:r>
                    <w:t>1台</w:t>
                  </w:r>
                </w:p>
              </w:tc>
              <w:tc>
                <w:tcPr>
                  <w:tcW w:w="996" w:type="pct"/>
                  <w:vAlign w:val="center"/>
                </w:tcPr>
                <w:p>
                  <w:pPr>
                    <w:widowControl/>
                    <w:adjustRightInd w:val="0"/>
                    <w:snapToGrid w:val="0"/>
                    <w:jc w:val="center"/>
                    <w:rPr>
                      <w:bCs/>
                    </w:rPr>
                  </w:pPr>
                  <w:r>
                    <w:rPr>
                      <w:rFonts w:hint="eastAsia"/>
                      <w:bCs/>
                    </w:rPr>
                    <w:t>容量</w:t>
                  </w:r>
                </w:p>
              </w:tc>
              <w:tc>
                <w:tcPr>
                  <w:tcW w:w="535" w:type="pct"/>
                  <w:vAlign w:val="center"/>
                </w:tcPr>
                <w:p>
                  <w:pPr>
                    <w:widowControl/>
                    <w:adjustRightInd w:val="0"/>
                    <w:snapToGrid w:val="0"/>
                    <w:jc w:val="center"/>
                    <w:rPr>
                      <w:bCs/>
                    </w:rPr>
                  </w:pPr>
                  <w:r>
                    <w:rPr>
                      <w:rFonts w:hint="eastAsia"/>
                      <w:bCs/>
                    </w:rPr>
                    <w:t>0.3</w:t>
                  </w:r>
                </w:p>
              </w:tc>
              <w:tc>
                <w:tcPr>
                  <w:tcW w:w="539" w:type="pct"/>
                  <w:vAlign w:val="center"/>
                </w:tcPr>
                <w:p>
                  <w:pPr>
                    <w:widowControl/>
                    <w:adjustRightInd w:val="0"/>
                    <w:snapToGrid w:val="0"/>
                    <w:jc w:val="center"/>
                    <w:rPr>
                      <w:bCs/>
                    </w:rPr>
                  </w:pPr>
                  <w:r>
                    <w:rPr>
                      <w:rFonts w:hint="eastAsia"/>
                      <w:bCs/>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restart"/>
                  <w:vAlign w:val="center"/>
                </w:tcPr>
                <w:p>
                  <w:pPr>
                    <w:widowControl/>
                    <w:adjustRightInd w:val="0"/>
                    <w:snapToGrid w:val="0"/>
                    <w:jc w:val="center"/>
                  </w:pPr>
                  <w:r>
                    <w:t>4</w:t>
                  </w:r>
                </w:p>
              </w:tc>
              <w:tc>
                <w:tcPr>
                  <w:tcW w:w="465" w:type="pct"/>
                  <w:vMerge w:val="continue"/>
                  <w:vAlign w:val="center"/>
                </w:tcPr>
                <w:p>
                  <w:pPr>
                    <w:widowControl/>
                    <w:adjustRightInd w:val="0"/>
                    <w:snapToGrid w:val="0"/>
                    <w:jc w:val="center"/>
                  </w:pPr>
                </w:p>
              </w:tc>
              <w:tc>
                <w:tcPr>
                  <w:tcW w:w="677" w:type="pct"/>
                  <w:vMerge w:val="continue"/>
                  <w:vAlign w:val="center"/>
                </w:tcPr>
                <w:p>
                  <w:pPr>
                    <w:adjustRightInd w:val="0"/>
                    <w:snapToGrid w:val="0"/>
                    <w:jc w:val="center"/>
                    <w:rPr>
                      <w:bCs/>
                    </w:rPr>
                  </w:pPr>
                </w:p>
              </w:tc>
              <w:tc>
                <w:tcPr>
                  <w:tcW w:w="928" w:type="pct"/>
                  <w:vAlign w:val="center"/>
                </w:tcPr>
                <w:p>
                  <w:pPr>
                    <w:adjustRightInd w:val="0"/>
                    <w:snapToGrid w:val="0"/>
                    <w:jc w:val="center"/>
                    <w:rPr>
                      <w:bCs/>
                    </w:rPr>
                  </w:pPr>
                  <w:r>
                    <w:rPr>
                      <w:bCs/>
                    </w:rPr>
                    <w:t>铝合金压铸机</w:t>
                  </w:r>
                </w:p>
              </w:tc>
              <w:tc>
                <w:tcPr>
                  <w:tcW w:w="456" w:type="pct"/>
                  <w:vAlign w:val="center"/>
                </w:tcPr>
                <w:p>
                  <w:pPr>
                    <w:adjustRightInd w:val="0"/>
                    <w:snapToGrid w:val="0"/>
                    <w:jc w:val="center"/>
                    <w:rPr>
                      <w:bCs/>
                    </w:rPr>
                  </w:pPr>
                  <w:r>
                    <w:rPr>
                      <w:bCs/>
                    </w:rPr>
                    <w:t>2台</w:t>
                  </w:r>
                </w:p>
              </w:tc>
              <w:tc>
                <w:tcPr>
                  <w:tcW w:w="996" w:type="pct"/>
                  <w:vAlign w:val="center"/>
                </w:tcPr>
                <w:p>
                  <w:pPr>
                    <w:widowControl/>
                    <w:adjustRightInd w:val="0"/>
                    <w:snapToGrid w:val="0"/>
                    <w:jc w:val="center"/>
                  </w:pPr>
                  <w:r>
                    <w:t>锁形力</w:t>
                  </w:r>
                </w:p>
              </w:tc>
              <w:tc>
                <w:tcPr>
                  <w:tcW w:w="535" w:type="pct"/>
                  <w:vAlign w:val="center"/>
                </w:tcPr>
                <w:p>
                  <w:pPr>
                    <w:widowControl/>
                    <w:adjustRightInd w:val="0"/>
                    <w:snapToGrid w:val="0"/>
                    <w:jc w:val="center"/>
                  </w:pPr>
                  <w:r>
                    <w:t>2800</w:t>
                  </w:r>
                </w:p>
              </w:tc>
              <w:tc>
                <w:tcPr>
                  <w:tcW w:w="539" w:type="pct"/>
                  <w:vAlign w:val="center"/>
                </w:tcPr>
                <w:p>
                  <w:pPr>
                    <w:widowControl/>
                    <w:adjustRightInd w:val="0"/>
                    <w:snapToGrid w:val="0"/>
                    <w:jc w:val="center"/>
                  </w:pPr>
                  <w:r>
                    <w:t>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continue"/>
                  <w:vAlign w:val="center"/>
                </w:tcPr>
                <w:p>
                  <w:pPr>
                    <w:widowControl/>
                    <w:adjustRightInd w:val="0"/>
                    <w:snapToGrid w:val="0"/>
                    <w:jc w:val="center"/>
                  </w:pP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rFonts w:hint="eastAsia"/>
                      <w:bCs/>
                    </w:rPr>
                    <w:t>感应电炉</w:t>
                  </w:r>
                </w:p>
              </w:tc>
              <w:tc>
                <w:tcPr>
                  <w:tcW w:w="456" w:type="pct"/>
                  <w:vAlign w:val="center"/>
                </w:tcPr>
                <w:p>
                  <w:pPr>
                    <w:widowControl/>
                    <w:adjustRightInd w:val="0"/>
                    <w:snapToGrid w:val="0"/>
                    <w:jc w:val="center"/>
                    <w:rPr>
                      <w:bCs/>
                    </w:rPr>
                  </w:pPr>
                  <w:r>
                    <w:rPr>
                      <w:bCs/>
                    </w:rPr>
                    <w:t>2台</w:t>
                  </w:r>
                </w:p>
              </w:tc>
              <w:tc>
                <w:tcPr>
                  <w:tcW w:w="996" w:type="pct"/>
                  <w:vAlign w:val="center"/>
                </w:tcPr>
                <w:p>
                  <w:pPr>
                    <w:widowControl/>
                    <w:adjustRightInd w:val="0"/>
                    <w:snapToGrid w:val="0"/>
                    <w:jc w:val="center"/>
                    <w:rPr>
                      <w:bCs/>
                    </w:rPr>
                  </w:pPr>
                  <w:r>
                    <w:rPr>
                      <w:rFonts w:hint="eastAsia"/>
                      <w:bCs/>
                    </w:rPr>
                    <w:t>容量</w:t>
                  </w:r>
                </w:p>
              </w:tc>
              <w:tc>
                <w:tcPr>
                  <w:tcW w:w="535" w:type="pct"/>
                  <w:vAlign w:val="center"/>
                </w:tcPr>
                <w:p>
                  <w:pPr>
                    <w:widowControl/>
                    <w:adjustRightInd w:val="0"/>
                    <w:snapToGrid w:val="0"/>
                    <w:jc w:val="center"/>
                    <w:rPr>
                      <w:bCs/>
                    </w:rPr>
                  </w:pPr>
                  <w:r>
                    <w:rPr>
                      <w:rFonts w:hint="eastAsia"/>
                      <w:bCs/>
                    </w:rPr>
                    <w:t>0.5</w:t>
                  </w:r>
                </w:p>
              </w:tc>
              <w:tc>
                <w:tcPr>
                  <w:tcW w:w="539" w:type="pct"/>
                  <w:vAlign w:val="center"/>
                </w:tcPr>
                <w:p>
                  <w:pPr>
                    <w:widowControl/>
                    <w:adjustRightInd w:val="0"/>
                    <w:snapToGrid w:val="0"/>
                    <w:jc w:val="center"/>
                    <w:rPr>
                      <w:bCs/>
                    </w:rPr>
                  </w:pPr>
                  <w:r>
                    <w:rPr>
                      <w:rFonts w:hint="eastAsia"/>
                      <w:bCs/>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restart"/>
                  <w:vAlign w:val="center"/>
                </w:tcPr>
                <w:p>
                  <w:pPr>
                    <w:widowControl/>
                    <w:adjustRightInd w:val="0"/>
                    <w:snapToGrid w:val="0"/>
                    <w:jc w:val="center"/>
                  </w:pPr>
                  <w:r>
                    <w:t>5</w:t>
                  </w:r>
                </w:p>
              </w:tc>
              <w:tc>
                <w:tcPr>
                  <w:tcW w:w="465" w:type="pct"/>
                  <w:vMerge w:val="continue"/>
                  <w:vAlign w:val="center"/>
                </w:tcPr>
                <w:p>
                  <w:pPr>
                    <w:widowControl/>
                    <w:adjustRightInd w:val="0"/>
                    <w:snapToGrid w:val="0"/>
                    <w:jc w:val="center"/>
                  </w:pPr>
                </w:p>
              </w:tc>
              <w:tc>
                <w:tcPr>
                  <w:tcW w:w="677" w:type="pct"/>
                  <w:vMerge w:val="continue"/>
                  <w:vAlign w:val="center"/>
                </w:tcPr>
                <w:p>
                  <w:pPr>
                    <w:adjustRightInd w:val="0"/>
                    <w:snapToGrid w:val="0"/>
                    <w:jc w:val="center"/>
                    <w:rPr>
                      <w:bCs/>
                    </w:rPr>
                  </w:pPr>
                </w:p>
              </w:tc>
              <w:tc>
                <w:tcPr>
                  <w:tcW w:w="928" w:type="pct"/>
                  <w:vAlign w:val="center"/>
                </w:tcPr>
                <w:p>
                  <w:pPr>
                    <w:adjustRightInd w:val="0"/>
                    <w:snapToGrid w:val="0"/>
                    <w:jc w:val="center"/>
                    <w:rPr>
                      <w:bCs/>
                    </w:rPr>
                  </w:pPr>
                  <w:r>
                    <w:rPr>
                      <w:bCs/>
                    </w:rPr>
                    <w:t>铝合金压铸机</w:t>
                  </w:r>
                </w:p>
              </w:tc>
              <w:tc>
                <w:tcPr>
                  <w:tcW w:w="456" w:type="pct"/>
                  <w:vAlign w:val="center"/>
                </w:tcPr>
                <w:p>
                  <w:pPr>
                    <w:adjustRightInd w:val="0"/>
                    <w:snapToGrid w:val="0"/>
                    <w:jc w:val="center"/>
                    <w:rPr>
                      <w:bCs/>
                    </w:rPr>
                  </w:pPr>
                  <w:r>
                    <w:rPr>
                      <w:bCs/>
                    </w:rPr>
                    <w:t>2台</w:t>
                  </w:r>
                </w:p>
              </w:tc>
              <w:tc>
                <w:tcPr>
                  <w:tcW w:w="996" w:type="pct"/>
                  <w:vAlign w:val="center"/>
                </w:tcPr>
                <w:p>
                  <w:pPr>
                    <w:widowControl/>
                    <w:adjustRightInd w:val="0"/>
                    <w:snapToGrid w:val="0"/>
                    <w:jc w:val="center"/>
                  </w:pPr>
                  <w:r>
                    <w:t>锁形力</w:t>
                  </w:r>
                </w:p>
              </w:tc>
              <w:tc>
                <w:tcPr>
                  <w:tcW w:w="535" w:type="pct"/>
                  <w:vAlign w:val="center"/>
                </w:tcPr>
                <w:p>
                  <w:pPr>
                    <w:widowControl/>
                    <w:adjustRightInd w:val="0"/>
                    <w:snapToGrid w:val="0"/>
                    <w:jc w:val="center"/>
                  </w:pPr>
                  <w:r>
                    <w:t>4000</w:t>
                  </w:r>
                </w:p>
              </w:tc>
              <w:tc>
                <w:tcPr>
                  <w:tcW w:w="539" w:type="pct"/>
                  <w:vAlign w:val="center"/>
                </w:tcPr>
                <w:p>
                  <w:pPr>
                    <w:widowControl/>
                    <w:adjustRightInd w:val="0"/>
                    <w:snapToGrid w:val="0"/>
                    <w:jc w:val="center"/>
                  </w:pPr>
                  <w:r>
                    <w:t>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continue"/>
                  <w:vAlign w:val="center"/>
                </w:tcPr>
                <w:p>
                  <w:pPr>
                    <w:widowControl/>
                    <w:adjustRightInd w:val="0"/>
                    <w:snapToGrid w:val="0"/>
                    <w:jc w:val="center"/>
                  </w:pP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rFonts w:hint="eastAsia"/>
                      <w:bCs/>
                    </w:rPr>
                    <w:t>感应电炉</w:t>
                  </w:r>
                </w:p>
              </w:tc>
              <w:tc>
                <w:tcPr>
                  <w:tcW w:w="456" w:type="pct"/>
                  <w:vAlign w:val="center"/>
                </w:tcPr>
                <w:p>
                  <w:pPr>
                    <w:widowControl/>
                    <w:adjustRightInd w:val="0"/>
                    <w:snapToGrid w:val="0"/>
                    <w:jc w:val="center"/>
                    <w:rPr>
                      <w:bCs/>
                    </w:rPr>
                  </w:pPr>
                  <w:r>
                    <w:rPr>
                      <w:bCs/>
                    </w:rPr>
                    <w:t>2台</w:t>
                  </w:r>
                </w:p>
              </w:tc>
              <w:tc>
                <w:tcPr>
                  <w:tcW w:w="996" w:type="pct"/>
                  <w:vAlign w:val="center"/>
                </w:tcPr>
                <w:p>
                  <w:pPr>
                    <w:widowControl/>
                    <w:adjustRightInd w:val="0"/>
                    <w:snapToGrid w:val="0"/>
                    <w:jc w:val="center"/>
                    <w:rPr>
                      <w:bCs/>
                    </w:rPr>
                  </w:pPr>
                  <w:r>
                    <w:rPr>
                      <w:rFonts w:hint="eastAsia"/>
                      <w:bCs/>
                    </w:rPr>
                    <w:t>容量</w:t>
                  </w:r>
                </w:p>
              </w:tc>
              <w:tc>
                <w:tcPr>
                  <w:tcW w:w="535" w:type="pct"/>
                  <w:vAlign w:val="center"/>
                </w:tcPr>
                <w:p>
                  <w:pPr>
                    <w:widowControl/>
                    <w:adjustRightInd w:val="0"/>
                    <w:snapToGrid w:val="0"/>
                    <w:jc w:val="center"/>
                    <w:rPr>
                      <w:bCs/>
                    </w:rPr>
                  </w:pPr>
                  <w:r>
                    <w:rPr>
                      <w:rFonts w:hint="eastAsia"/>
                      <w:bCs/>
                    </w:rPr>
                    <w:t>0.5</w:t>
                  </w:r>
                </w:p>
              </w:tc>
              <w:tc>
                <w:tcPr>
                  <w:tcW w:w="539" w:type="pct"/>
                  <w:vAlign w:val="center"/>
                </w:tcPr>
                <w:p>
                  <w:pPr>
                    <w:widowControl/>
                    <w:adjustRightInd w:val="0"/>
                    <w:snapToGrid w:val="0"/>
                    <w:jc w:val="center"/>
                    <w:rPr>
                      <w:bCs/>
                    </w:rPr>
                  </w:pPr>
                  <w:r>
                    <w:rPr>
                      <w:rFonts w:hint="eastAsia"/>
                      <w:bCs/>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restart"/>
                  <w:vAlign w:val="center"/>
                </w:tcPr>
                <w:p>
                  <w:pPr>
                    <w:widowControl/>
                    <w:adjustRightInd w:val="0"/>
                    <w:snapToGrid w:val="0"/>
                    <w:jc w:val="center"/>
                  </w:pPr>
                  <w:r>
                    <w:t>6</w:t>
                  </w:r>
                </w:p>
              </w:tc>
              <w:tc>
                <w:tcPr>
                  <w:tcW w:w="465" w:type="pct"/>
                  <w:vMerge w:val="continue"/>
                  <w:vAlign w:val="center"/>
                </w:tcPr>
                <w:p>
                  <w:pPr>
                    <w:widowControl/>
                    <w:adjustRightInd w:val="0"/>
                    <w:snapToGrid w:val="0"/>
                    <w:jc w:val="center"/>
                  </w:pPr>
                </w:p>
              </w:tc>
              <w:tc>
                <w:tcPr>
                  <w:tcW w:w="677" w:type="pct"/>
                  <w:vMerge w:val="continue"/>
                  <w:vAlign w:val="center"/>
                </w:tcPr>
                <w:p>
                  <w:pPr>
                    <w:adjustRightInd w:val="0"/>
                    <w:snapToGrid w:val="0"/>
                    <w:jc w:val="center"/>
                    <w:rPr>
                      <w:bCs/>
                    </w:rPr>
                  </w:pPr>
                </w:p>
              </w:tc>
              <w:tc>
                <w:tcPr>
                  <w:tcW w:w="928" w:type="pct"/>
                  <w:vAlign w:val="center"/>
                </w:tcPr>
                <w:p>
                  <w:pPr>
                    <w:adjustRightInd w:val="0"/>
                    <w:snapToGrid w:val="0"/>
                    <w:jc w:val="center"/>
                    <w:rPr>
                      <w:bCs/>
                    </w:rPr>
                  </w:pPr>
                  <w:r>
                    <w:rPr>
                      <w:bCs/>
                    </w:rPr>
                    <w:t>铝合金压铸机</w:t>
                  </w:r>
                </w:p>
              </w:tc>
              <w:tc>
                <w:tcPr>
                  <w:tcW w:w="456" w:type="pct"/>
                  <w:vAlign w:val="center"/>
                </w:tcPr>
                <w:p>
                  <w:pPr>
                    <w:adjustRightInd w:val="0"/>
                    <w:snapToGrid w:val="0"/>
                    <w:jc w:val="center"/>
                    <w:rPr>
                      <w:bCs/>
                    </w:rPr>
                  </w:pPr>
                  <w:r>
                    <w:rPr>
                      <w:bCs/>
                    </w:rPr>
                    <w:t>1台</w:t>
                  </w:r>
                </w:p>
              </w:tc>
              <w:tc>
                <w:tcPr>
                  <w:tcW w:w="996" w:type="pct"/>
                  <w:vAlign w:val="center"/>
                </w:tcPr>
                <w:p>
                  <w:pPr>
                    <w:widowControl/>
                    <w:adjustRightInd w:val="0"/>
                    <w:snapToGrid w:val="0"/>
                    <w:jc w:val="center"/>
                  </w:pPr>
                  <w:r>
                    <w:t>锁形力</w:t>
                  </w:r>
                </w:p>
              </w:tc>
              <w:tc>
                <w:tcPr>
                  <w:tcW w:w="535" w:type="pct"/>
                  <w:vAlign w:val="center"/>
                </w:tcPr>
                <w:p>
                  <w:pPr>
                    <w:widowControl/>
                    <w:adjustRightInd w:val="0"/>
                    <w:snapToGrid w:val="0"/>
                    <w:jc w:val="center"/>
                  </w:pPr>
                  <w:r>
                    <w:t>5000</w:t>
                  </w:r>
                </w:p>
              </w:tc>
              <w:tc>
                <w:tcPr>
                  <w:tcW w:w="539" w:type="pct"/>
                  <w:vAlign w:val="center"/>
                </w:tcPr>
                <w:p>
                  <w:pPr>
                    <w:widowControl/>
                    <w:adjustRightInd w:val="0"/>
                    <w:snapToGrid w:val="0"/>
                    <w:jc w:val="center"/>
                  </w:pPr>
                  <w:r>
                    <w:t>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continue"/>
                  <w:vAlign w:val="center"/>
                </w:tcPr>
                <w:p>
                  <w:pPr>
                    <w:widowControl/>
                    <w:adjustRightInd w:val="0"/>
                    <w:snapToGrid w:val="0"/>
                    <w:jc w:val="center"/>
                  </w:pP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rFonts w:hint="eastAsia"/>
                      <w:bCs/>
                    </w:rPr>
                    <w:t>感应电炉</w:t>
                  </w:r>
                </w:p>
              </w:tc>
              <w:tc>
                <w:tcPr>
                  <w:tcW w:w="456" w:type="pct"/>
                  <w:vAlign w:val="center"/>
                </w:tcPr>
                <w:p>
                  <w:pPr>
                    <w:widowControl/>
                    <w:adjustRightInd w:val="0"/>
                    <w:snapToGrid w:val="0"/>
                    <w:jc w:val="center"/>
                    <w:rPr>
                      <w:bCs/>
                    </w:rPr>
                  </w:pPr>
                  <w:r>
                    <w:rPr>
                      <w:bCs/>
                    </w:rPr>
                    <w:t>1台</w:t>
                  </w:r>
                </w:p>
              </w:tc>
              <w:tc>
                <w:tcPr>
                  <w:tcW w:w="996" w:type="pct"/>
                  <w:vAlign w:val="center"/>
                </w:tcPr>
                <w:p>
                  <w:pPr>
                    <w:widowControl/>
                    <w:adjustRightInd w:val="0"/>
                    <w:snapToGrid w:val="0"/>
                    <w:jc w:val="center"/>
                    <w:rPr>
                      <w:bCs/>
                    </w:rPr>
                  </w:pPr>
                  <w:r>
                    <w:rPr>
                      <w:rFonts w:hint="eastAsia"/>
                      <w:bCs/>
                    </w:rPr>
                    <w:t>容量</w:t>
                  </w:r>
                </w:p>
              </w:tc>
              <w:tc>
                <w:tcPr>
                  <w:tcW w:w="535" w:type="pct"/>
                  <w:vAlign w:val="center"/>
                </w:tcPr>
                <w:p>
                  <w:pPr>
                    <w:widowControl/>
                    <w:adjustRightInd w:val="0"/>
                    <w:snapToGrid w:val="0"/>
                    <w:jc w:val="center"/>
                    <w:rPr>
                      <w:bCs/>
                    </w:rPr>
                  </w:pPr>
                  <w:r>
                    <w:rPr>
                      <w:rFonts w:hint="eastAsia"/>
                      <w:bCs/>
                    </w:rPr>
                    <w:t>0.5</w:t>
                  </w:r>
                </w:p>
              </w:tc>
              <w:tc>
                <w:tcPr>
                  <w:tcW w:w="539" w:type="pct"/>
                  <w:vAlign w:val="center"/>
                </w:tcPr>
                <w:p>
                  <w:pPr>
                    <w:widowControl/>
                    <w:adjustRightInd w:val="0"/>
                    <w:snapToGrid w:val="0"/>
                    <w:jc w:val="center"/>
                    <w:rPr>
                      <w:bCs/>
                    </w:rPr>
                  </w:pPr>
                  <w:r>
                    <w:rPr>
                      <w:rFonts w:hint="eastAsia"/>
                      <w:bCs/>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restart"/>
                  <w:vAlign w:val="center"/>
                </w:tcPr>
                <w:p>
                  <w:pPr>
                    <w:widowControl/>
                    <w:adjustRightInd w:val="0"/>
                    <w:snapToGrid w:val="0"/>
                    <w:jc w:val="center"/>
                  </w:pPr>
                  <w:r>
                    <w:t>7</w:t>
                  </w:r>
                </w:p>
              </w:tc>
              <w:tc>
                <w:tcPr>
                  <w:tcW w:w="465" w:type="pct"/>
                  <w:vMerge w:val="continue"/>
                  <w:vAlign w:val="center"/>
                </w:tcPr>
                <w:p>
                  <w:pPr>
                    <w:widowControl/>
                    <w:adjustRightInd w:val="0"/>
                    <w:snapToGrid w:val="0"/>
                    <w:jc w:val="center"/>
                  </w:pPr>
                </w:p>
              </w:tc>
              <w:tc>
                <w:tcPr>
                  <w:tcW w:w="677" w:type="pct"/>
                  <w:vMerge w:val="continue"/>
                  <w:vAlign w:val="center"/>
                </w:tcPr>
                <w:p>
                  <w:pPr>
                    <w:adjustRightInd w:val="0"/>
                    <w:snapToGrid w:val="0"/>
                    <w:jc w:val="center"/>
                    <w:rPr>
                      <w:bCs/>
                    </w:rPr>
                  </w:pPr>
                </w:p>
              </w:tc>
              <w:tc>
                <w:tcPr>
                  <w:tcW w:w="928" w:type="pct"/>
                  <w:vAlign w:val="center"/>
                </w:tcPr>
                <w:p>
                  <w:pPr>
                    <w:adjustRightInd w:val="0"/>
                    <w:snapToGrid w:val="0"/>
                    <w:jc w:val="center"/>
                    <w:rPr>
                      <w:bCs/>
                    </w:rPr>
                  </w:pPr>
                  <w:r>
                    <w:rPr>
                      <w:bCs/>
                    </w:rPr>
                    <w:t>铝合金压铸机</w:t>
                  </w:r>
                </w:p>
              </w:tc>
              <w:tc>
                <w:tcPr>
                  <w:tcW w:w="456" w:type="pct"/>
                  <w:vAlign w:val="center"/>
                </w:tcPr>
                <w:p>
                  <w:pPr>
                    <w:adjustRightInd w:val="0"/>
                    <w:snapToGrid w:val="0"/>
                    <w:jc w:val="center"/>
                    <w:rPr>
                      <w:bCs/>
                    </w:rPr>
                  </w:pPr>
                  <w:r>
                    <w:rPr>
                      <w:bCs/>
                    </w:rPr>
                    <w:t>1台</w:t>
                  </w:r>
                </w:p>
              </w:tc>
              <w:tc>
                <w:tcPr>
                  <w:tcW w:w="996" w:type="pct"/>
                  <w:vAlign w:val="center"/>
                </w:tcPr>
                <w:p>
                  <w:pPr>
                    <w:adjustRightInd w:val="0"/>
                    <w:snapToGrid w:val="0"/>
                    <w:jc w:val="center"/>
                  </w:pPr>
                  <w:r>
                    <w:t>锁形力</w:t>
                  </w:r>
                </w:p>
              </w:tc>
              <w:tc>
                <w:tcPr>
                  <w:tcW w:w="535" w:type="pct"/>
                  <w:vAlign w:val="center"/>
                </w:tcPr>
                <w:p>
                  <w:pPr>
                    <w:widowControl/>
                    <w:adjustRightInd w:val="0"/>
                    <w:snapToGrid w:val="0"/>
                    <w:jc w:val="center"/>
                  </w:pPr>
                  <w:r>
                    <w:t>8000</w:t>
                  </w:r>
                </w:p>
              </w:tc>
              <w:tc>
                <w:tcPr>
                  <w:tcW w:w="539" w:type="pct"/>
                  <w:vAlign w:val="center"/>
                </w:tcPr>
                <w:p>
                  <w:pPr>
                    <w:widowControl/>
                    <w:adjustRightInd w:val="0"/>
                    <w:snapToGrid w:val="0"/>
                    <w:jc w:val="center"/>
                  </w:pPr>
                  <w:r>
                    <w:t>kN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continue"/>
                  <w:vAlign w:val="center"/>
                </w:tcPr>
                <w:p>
                  <w:pPr>
                    <w:widowControl/>
                    <w:adjustRightInd w:val="0"/>
                    <w:snapToGrid w:val="0"/>
                    <w:jc w:val="center"/>
                  </w:pP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rFonts w:hint="eastAsia"/>
                      <w:bCs/>
                    </w:rPr>
                    <w:t>感应电炉</w:t>
                  </w:r>
                </w:p>
              </w:tc>
              <w:tc>
                <w:tcPr>
                  <w:tcW w:w="456" w:type="pct"/>
                  <w:vAlign w:val="center"/>
                </w:tcPr>
                <w:p>
                  <w:pPr>
                    <w:widowControl/>
                    <w:adjustRightInd w:val="0"/>
                    <w:snapToGrid w:val="0"/>
                    <w:jc w:val="center"/>
                    <w:rPr>
                      <w:bCs/>
                    </w:rPr>
                  </w:pPr>
                  <w:r>
                    <w:rPr>
                      <w:bCs/>
                    </w:rPr>
                    <w:t>1台</w:t>
                  </w:r>
                </w:p>
              </w:tc>
              <w:tc>
                <w:tcPr>
                  <w:tcW w:w="996" w:type="pct"/>
                  <w:vAlign w:val="center"/>
                </w:tcPr>
                <w:p>
                  <w:pPr>
                    <w:widowControl/>
                    <w:adjustRightInd w:val="0"/>
                    <w:snapToGrid w:val="0"/>
                    <w:jc w:val="center"/>
                    <w:rPr>
                      <w:bCs/>
                    </w:rPr>
                  </w:pPr>
                  <w:r>
                    <w:rPr>
                      <w:rFonts w:hint="eastAsia"/>
                      <w:bCs/>
                    </w:rPr>
                    <w:t>容量</w:t>
                  </w:r>
                </w:p>
              </w:tc>
              <w:tc>
                <w:tcPr>
                  <w:tcW w:w="535" w:type="pct"/>
                  <w:vAlign w:val="center"/>
                </w:tcPr>
                <w:p>
                  <w:pPr>
                    <w:widowControl/>
                    <w:adjustRightInd w:val="0"/>
                    <w:snapToGrid w:val="0"/>
                    <w:jc w:val="center"/>
                    <w:rPr>
                      <w:bCs/>
                    </w:rPr>
                  </w:pPr>
                  <w:r>
                    <w:rPr>
                      <w:rFonts w:hint="eastAsia"/>
                      <w:bCs/>
                    </w:rPr>
                    <w:t>0.5</w:t>
                  </w:r>
                </w:p>
              </w:tc>
              <w:tc>
                <w:tcPr>
                  <w:tcW w:w="539" w:type="pct"/>
                  <w:vAlign w:val="center"/>
                </w:tcPr>
                <w:p>
                  <w:pPr>
                    <w:widowControl/>
                    <w:adjustRightInd w:val="0"/>
                    <w:snapToGrid w:val="0"/>
                    <w:jc w:val="center"/>
                    <w:rPr>
                      <w:bCs/>
                    </w:rPr>
                  </w:pPr>
                  <w:r>
                    <w:rPr>
                      <w:rFonts w:hint="eastAsia"/>
                      <w:bCs/>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8</w:t>
                  </w:r>
                </w:p>
              </w:tc>
              <w:tc>
                <w:tcPr>
                  <w:tcW w:w="465" w:type="pct"/>
                  <w:vMerge w:val="continue"/>
                  <w:vAlign w:val="center"/>
                </w:tcPr>
                <w:p>
                  <w:pPr>
                    <w:widowControl/>
                    <w:adjustRightInd w:val="0"/>
                    <w:snapToGrid w:val="0"/>
                    <w:jc w:val="center"/>
                  </w:pPr>
                </w:p>
              </w:tc>
              <w:tc>
                <w:tcPr>
                  <w:tcW w:w="677" w:type="pct"/>
                  <w:vMerge w:val="restart"/>
                  <w:vAlign w:val="center"/>
                </w:tcPr>
                <w:p>
                  <w:pPr>
                    <w:widowControl/>
                    <w:adjustRightInd w:val="0"/>
                    <w:snapToGrid w:val="0"/>
                    <w:jc w:val="center"/>
                  </w:pPr>
                  <w:r>
                    <w:t>打磨</w:t>
                  </w:r>
                </w:p>
              </w:tc>
              <w:tc>
                <w:tcPr>
                  <w:tcW w:w="928" w:type="pct"/>
                  <w:vAlign w:val="center"/>
                </w:tcPr>
                <w:p>
                  <w:pPr>
                    <w:widowControl/>
                    <w:adjustRightInd w:val="0"/>
                    <w:snapToGrid w:val="0"/>
                    <w:jc w:val="center"/>
                  </w:pPr>
                  <w:r>
                    <w:t>打磨机</w:t>
                  </w:r>
                </w:p>
              </w:tc>
              <w:tc>
                <w:tcPr>
                  <w:tcW w:w="456" w:type="pct"/>
                  <w:vAlign w:val="center"/>
                </w:tcPr>
                <w:p>
                  <w:pPr>
                    <w:widowControl/>
                    <w:adjustRightInd w:val="0"/>
                    <w:snapToGrid w:val="0"/>
                    <w:jc w:val="center"/>
                  </w:pPr>
                  <w:r>
                    <w:t>2台</w:t>
                  </w:r>
                </w:p>
              </w:tc>
              <w:tc>
                <w:tcPr>
                  <w:tcW w:w="996" w:type="pct"/>
                  <w:vAlign w:val="center"/>
                </w:tcPr>
                <w:p>
                  <w:pPr>
                    <w:adjustRightInd w:val="0"/>
                    <w:snapToGrid w:val="0"/>
                    <w:jc w:val="center"/>
                  </w:pPr>
                  <w:r>
                    <w:t>设计处理能力</w:t>
                  </w:r>
                </w:p>
              </w:tc>
              <w:tc>
                <w:tcPr>
                  <w:tcW w:w="535" w:type="pct"/>
                  <w:vAlign w:val="center"/>
                </w:tcPr>
                <w:p>
                  <w:pPr>
                    <w:widowControl/>
                    <w:adjustRightInd w:val="0"/>
                    <w:snapToGrid w:val="0"/>
                    <w:jc w:val="center"/>
                  </w:pPr>
                  <w:r>
                    <w:t>0.3</w:t>
                  </w:r>
                </w:p>
              </w:tc>
              <w:tc>
                <w:tcPr>
                  <w:tcW w:w="539" w:type="pct"/>
                  <w:vAlign w:val="center"/>
                </w:tcPr>
                <w:p>
                  <w:pPr>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9</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adjustRightInd w:val="0"/>
                    <w:snapToGrid w:val="0"/>
                    <w:jc w:val="center"/>
                    <w:rPr>
                      <w:bCs/>
                    </w:rPr>
                  </w:pPr>
                  <w:r>
                    <w:rPr>
                      <w:bCs/>
                    </w:rPr>
                    <w:t>气动锉刀</w:t>
                  </w:r>
                </w:p>
              </w:tc>
              <w:tc>
                <w:tcPr>
                  <w:tcW w:w="456" w:type="pct"/>
                  <w:vAlign w:val="center"/>
                </w:tcPr>
                <w:p>
                  <w:pPr>
                    <w:adjustRightInd w:val="0"/>
                    <w:snapToGrid w:val="0"/>
                    <w:jc w:val="center"/>
                    <w:rPr>
                      <w:bCs/>
                    </w:rPr>
                  </w:pPr>
                  <w:r>
                    <w:rPr>
                      <w:bCs/>
                    </w:rPr>
                    <w:t>5台</w:t>
                  </w:r>
                </w:p>
              </w:tc>
              <w:tc>
                <w:tcPr>
                  <w:tcW w:w="996" w:type="pct"/>
                  <w:vAlign w:val="center"/>
                </w:tcPr>
                <w:p>
                  <w:pPr>
                    <w:adjustRightInd w:val="0"/>
                    <w:snapToGrid w:val="0"/>
                    <w:jc w:val="center"/>
                    <w:rPr>
                      <w:bCs/>
                    </w:rPr>
                  </w:pPr>
                  <w:r>
                    <w:t>设计处理能力</w:t>
                  </w:r>
                </w:p>
              </w:tc>
              <w:tc>
                <w:tcPr>
                  <w:tcW w:w="535" w:type="pct"/>
                  <w:vAlign w:val="center"/>
                </w:tcPr>
                <w:p>
                  <w:pPr>
                    <w:widowControl/>
                    <w:adjustRightInd w:val="0"/>
                    <w:snapToGrid w:val="0"/>
                    <w:jc w:val="center"/>
                  </w:pPr>
                  <w:r>
                    <w:t>0.1</w:t>
                  </w:r>
                </w:p>
              </w:tc>
              <w:tc>
                <w:tcPr>
                  <w:tcW w:w="539" w:type="pct"/>
                  <w:vAlign w:val="center"/>
                </w:tcPr>
                <w:p>
                  <w:pPr>
                    <w:adjustRightInd w:val="0"/>
                    <w:snapToGrid w:val="0"/>
                    <w:jc w:val="center"/>
                    <w:rPr>
                      <w:bCs/>
                    </w:rP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10</w:t>
                  </w:r>
                </w:p>
              </w:tc>
              <w:tc>
                <w:tcPr>
                  <w:tcW w:w="465" w:type="pct"/>
                  <w:vMerge w:val="continue"/>
                  <w:vAlign w:val="center"/>
                </w:tcPr>
                <w:p>
                  <w:pPr>
                    <w:widowControl/>
                    <w:adjustRightInd w:val="0"/>
                    <w:snapToGrid w:val="0"/>
                    <w:jc w:val="center"/>
                  </w:pPr>
                </w:p>
              </w:tc>
              <w:tc>
                <w:tcPr>
                  <w:tcW w:w="677" w:type="pct"/>
                  <w:vMerge w:val="restart"/>
                  <w:vAlign w:val="center"/>
                </w:tcPr>
                <w:p>
                  <w:pPr>
                    <w:widowControl/>
                    <w:adjustRightInd w:val="0"/>
                    <w:snapToGrid w:val="0"/>
                    <w:jc w:val="center"/>
                  </w:pPr>
                  <w:r>
                    <w:t>冲压</w:t>
                  </w:r>
                </w:p>
              </w:tc>
              <w:tc>
                <w:tcPr>
                  <w:tcW w:w="928" w:type="pct"/>
                  <w:vAlign w:val="center"/>
                </w:tcPr>
                <w:p>
                  <w:pPr>
                    <w:adjustRightInd w:val="0"/>
                    <w:snapToGrid w:val="0"/>
                    <w:jc w:val="center"/>
                    <w:rPr>
                      <w:bCs/>
                    </w:rPr>
                  </w:pPr>
                  <w:r>
                    <w:rPr>
                      <w:bCs/>
                    </w:rPr>
                    <w:t>液压冲床</w:t>
                  </w:r>
                </w:p>
              </w:tc>
              <w:tc>
                <w:tcPr>
                  <w:tcW w:w="456" w:type="pct"/>
                  <w:vAlign w:val="center"/>
                </w:tcPr>
                <w:p>
                  <w:pPr>
                    <w:adjustRightInd w:val="0"/>
                    <w:snapToGrid w:val="0"/>
                    <w:jc w:val="center"/>
                    <w:rPr>
                      <w:bCs/>
                    </w:rPr>
                  </w:pPr>
                  <w:r>
                    <w:rPr>
                      <w:bCs/>
                    </w:rPr>
                    <w:t>3台</w:t>
                  </w:r>
                </w:p>
              </w:tc>
              <w:tc>
                <w:tcPr>
                  <w:tcW w:w="996" w:type="pct"/>
                  <w:vAlign w:val="center"/>
                </w:tcPr>
                <w:p>
                  <w:pPr>
                    <w:adjustRightInd w:val="0"/>
                    <w:snapToGrid w:val="0"/>
                    <w:jc w:val="center"/>
                  </w:pPr>
                  <w:r>
                    <w:t>设计处理能力</w:t>
                  </w:r>
                </w:p>
              </w:tc>
              <w:tc>
                <w:tcPr>
                  <w:tcW w:w="535" w:type="pct"/>
                  <w:vAlign w:val="center"/>
                </w:tcPr>
                <w:p>
                  <w:pPr>
                    <w:widowControl/>
                    <w:adjustRightInd w:val="0"/>
                    <w:snapToGrid w:val="0"/>
                    <w:jc w:val="center"/>
                  </w:pPr>
                  <w:r>
                    <w:t>0.2</w:t>
                  </w:r>
                </w:p>
              </w:tc>
              <w:tc>
                <w:tcPr>
                  <w:tcW w:w="539" w:type="pct"/>
                  <w:vAlign w:val="center"/>
                </w:tcPr>
                <w:p>
                  <w:pPr>
                    <w:adjustRightInd w:val="0"/>
                    <w:snapToGrid w:val="0"/>
                    <w:jc w:val="center"/>
                    <w:rPr>
                      <w:bCs/>
                    </w:rP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11</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adjustRightInd w:val="0"/>
                    <w:snapToGrid w:val="0"/>
                    <w:jc w:val="center"/>
                    <w:rPr>
                      <w:bCs/>
                    </w:rPr>
                  </w:pPr>
                  <w:r>
                    <w:rPr>
                      <w:bCs/>
                    </w:rPr>
                    <w:t>气动冲床</w:t>
                  </w:r>
                </w:p>
              </w:tc>
              <w:tc>
                <w:tcPr>
                  <w:tcW w:w="456" w:type="pct"/>
                  <w:vAlign w:val="center"/>
                </w:tcPr>
                <w:p>
                  <w:pPr>
                    <w:adjustRightInd w:val="0"/>
                    <w:snapToGrid w:val="0"/>
                    <w:jc w:val="center"/>
                    <w:rPr>
                      <w:bCs/>
                    </w:rPr>
                  </w:pPr>
                  <w:r>
                    <w:rPr>
                      <w:bCs/>
                    </w:rPr>
                    <w:t>8台</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0.1</w:t>
                  </w:r>
                </w:p>
              </w:tc>
              <w:tc>
                <w:tcPr>
                  <w:tcW w:w="539" w:type="pct"/>
                  <w:vAlign w:val="center"/>
                </w:tcPr>
                <w:p>
                  <w:pPr>
                    <w:adjustRightInd w:val="0"/>
                    <w:snapToGrid w:val="0"/>
                    <w:jc w:val="center"/>
                    <w:rPr>
                      <w:bCs/>
                    </w:rP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12</w:t>
                  </w:r>
                </w:p>
              </w:tc>
              <w:tc>
                <w:tcPr>
                  <w:tcW w:w="465" w:type="pct"/>
                  <w:vMerge w:val="continue"/>
                  <w:vAlign w:val="center"/>
                </w:tcPr>
                <w:p>
                  <w:pPr>
                    <w:widowControl/>
                    <w:adjustRightInd w:val="0"/>
                    <w:snapToGrid w:val="0"/>
                    <w:jc w:val="center"/>
                  </w:pPr>
                </w:p>
              </w:tc>
              <w:tc>
                <w:tcPr>
                  <w:tcW w:w="677" w:type="pct"/>
                  <w:vMerge w:val="restart"/>
                  <w:vAlign w:val="center"/>
                </w:tcPr>
                <w:p>
                  <w:pPr>
                    <w:widowControl/>
                    <w:adjustRightInd w:val="0"/>
                    <w:snapToGrid w:val="0"/>
                    <w:jc w:val="center"/>
                  </w:pPr>
                  <w:r>
                    <w:t>机加工</w:t>
                  </w:r>
                </w:p>
              </w:tc>
              <w:tc>
                <w:tcPr>
                  <w:tcW w:w="928" w:type="pct"/>
                  <w:vAlign w:val="center"/>
                </w:tcPr>
                <w:p>
                  <w:pPr>
                    <w:widowControl/>
                    <w:adjustRightInd w:val="0"/>
                    <w:snapToGrid w:val="0"/>
                    <w:jc w:val="center"/>
                  </w:pPr>
                  <w:r>
                    <w:rPr>
                      <w:bCs/>
                    </w:rPr>
                    <w:t>CNC数控机</w:t>
                  </w:r>
                </w:p>
              </w:tc>
              <w:tc>
                <w:tcPr>
                  <w:tcW w:w="456" w:type="pct"/>
                  <w:vAlign w:val="center"/>
                </w:tcPr>
                <w:p>
                  <w:pPr>
                    <w:widowControl/>
                    <w:adjustRightInd w:val="0"/>
                    <w:snapToGrid w:val="0"/>
                    <w:jc w:val="center"/>
                  </w:pPr>
                  <w:r>
                    <w:rPr>
                      <w:bCs/>
                    </w:rPr>
                    <w:t>4台</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0.1</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13</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pPr>
                  <w:r>
                    <w:rPr>
                      <w:bCs/>
                    </w:rPr>
                    <w:t>数控车床</w:t>
                  </w:r>
                </w:p>
              </w:tc>
              <w:tc>
                <w:tcPr>
                  <w:tcW w:w="456" w:type="pct"/>
                  <w:vAlign w:val="center"/>
                </w:tcPr>
                <w:p>
                  <w:pPr>
                    <w:widowControl/>
                    <w:adjustRightInd w:val="0"/>
                    <w:snapToGrid w:val="0"/>
                    <w:jc w:val="center"/>
                  </w:pPr>
                  <w:r>
                    <w:rPr>
                      <w:bCs/>
                    </w:rPr>
                    <w:t>4台</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0.1</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14</w:t>
                  </w:r>
                </w:p>
              </w:tc>
              <w:tc>
                <w:tcPr>
                  <w:tcW w:w="465" w:type="pct"/>
                  <w:vMerge w:val="continue"/>
                  <w:vAlign w:val="center"/>
                </w:tcPr>
                <w:p>
                  <w:pPr>
                    <w:widowControl/>
                    <w:adjustRightInd w:val="0"/>
                    <w:snapToGrid w:val="0"/>
                    <w:jc w:val="center"/>
                  </w:pPr>
                </w:p>
              </w:tc>
              <w:tc>
                <w:tcPr>
                  <w:tcW w:w="677" w:type="pct"/>
                  <w:vMerge w:val="restart"/>
                  <w:vAlign w:val="center"/>
                </w:tcPr>
                <w:p>
                  <w:pPr>
                    <w:widowControl/>
                    <w:adjustRightInd w:val="0"/>
                    <w:snapToGrid w:val="0"/>
                    <w:jc w:val="center"/>
                  </w:pPr>
                  <w:r>
                    <w:t>钻孔</w:t>
                  </w:r>
                </w:p>
              </w:tc>
              <w:tc>
                <w:tcPr>
                  <w:tcW w:w="928" w:type="pct"/>
                  <w:vAlign w:val="center"/>
                </w:tcPr>
                <w:p>
                  <w:pPr>
                    <w:adjustRightInd w:val="0"/>
                    <w:snapToGrid w:val="0"/>
                    <w:jc w:val="center"/>
                    <w:rPr>
                      <w:bCs/>
                    </w:rPr>
                  </w:pPr>
                  <w:r>
                    <w:rPr>
                      <w:bCs/>
                    </w:rPr>
                    <w:t>多轴钻孔机</w:t>
                  </w:r>
                </w:p>
              </w:tc>
              <w:tc>
                <w:tcPr>
                  <w:tcW w:w="456" w:type="pct"/>
                  <w:vAlign w:val="center"/>
                </w:tcPr>
                <w:p>
                  <w:pPr>
                    <w:adjustRightInd w:val="0"/>
                    <w:snapToGrid w:val="0"/>
                    <w:jc w:val="center"/>
                    <w:rPr>
                      <w:bCs/>
                    </w:rPr>
                  </w:pPr>
                  <w:r>
                    <w:rPr>
                      <w:bCs/>
                    </w:rPr>
                    <w:t>2台</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0.1</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15</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adjustRightInd w:val="0"/>
                    <w:snapToGrid w:val="0"/>
                    <w:jc w:val="center"/>
                    <w:rPr>
                      <w:bCs/>
                    </w:rPr>
                  </w:pPr>
                  <w:r>
                    <w:rPr>
                      <w:bCs/>
                    </w:rPr>
                    <w:t>单轴钻孔机</w:t>
                  </w:r>
                </w:p>
              </w:tc>
              <w:tc>
                <w:tcPr>
                  <w:tcW w:w="456" w:type="pct"/>
                  <w:vAlign w:val="center"/>
                </w:tcPr>
                <w:p>
                  <w:pPr>
                    <w:adjustRightInd w:val="0"/>
                    <w:snapToGrid w:val="0"/>
                    <w:jc w:val="center"/>
                    <w:rPr>
                      <w:bCs/>
                    </w:rPr>
                  </w:pPr>
                  <w:r>
                    <w:rPr>
                      <w:bCs/>
                    </w:rPr>
                    <w:t>10台</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0.05</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16</w:t>
                  </w:r>
                </w:p>
              </w:tc>
              <w:tc>
                <w:tcPr>
                  <w:tcW w:w="465" w:type="pct"/>
                  <w:vMerge w:val="continue"/>
                  <w:vAlign w:val="center"/>
                </w:tcPr>
                <w:p>
                  <w:pPr>
                    <w:widowControl/>
                    <w:adjustRightInd w:val="0"/>
                    <w:snapToGrid w:val="0"/>
                    <w:jc w:val="center"/>
                  </w:pPr>
                </w:p>
              </w:tc>
              <w:tc>
                <w:tcPr>
                  <w:tcW w:w="677" w:type="pct"/>
                  <w:vMerge w:val="restart"/>
                  <w:vAlign w:val="center"/>
                </w:tcPr>
                <w:p>
                  <w:pPr>
                    <w:widowControl/>
                    <w:adjustRightInd w:val="0"/>
                    <w:snapToGrid w:val="0"/>
                    <w:jc w:val="center"/>
                  </w:pPr>
                  <w:r>
                    <w:t>攻牙</w:t>
                  </w:r>
                </w:p>
              </w:tc>
              <w:tc>
                <w:tcPr>
                  <w:tcW w:w="928" w:type="pct"/>
                  <w:vAlign w:val="center"/>
                </w:tcPr>
                <w:p>
                  <w:pPr>
                    <w:adjustRightInd w:val="0"/>
                    <w:snapToGrid w:val="0"/>
                    <w:jc w:val="center"/>
                    <w:rPr>
                      <w:bCs/>
                    </w:rPr>
                  </w:pPr>
                  <w:r>
                    <w:rPr>
                      <w:bCs/>
                    </w:rPr>
                    <w:t>自动攻牙机</w:t>
                  </w:r>
                </w:p>
              </w:tc>
              <w:tc>
                <w:tcPr>
                  <w:tcW w:w="456" w:type="pct"/>
                  <w:vAlign w:val="center"/>
                </w:tcPr>
                <w:p>
                  <w:pPr>
                    <w:adjustRightInd w:val="0"/>
                    <w:snapToGrid w:val="0"/>
                    <w:jc w:val="center"/>
                    <w:rPr>
                      <w:bCs/>
                    </w:rPr>
                  </w:pPr>
                  <w:r>
                    <w:rPr>
                      <w:bCs/>
                    </w:rPr>
                    <w:t>4台</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0.3</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17</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adjustRightInd w:val="0"/>
                    <w:snapToGrid w:val="0"/>
                    <w:jc w:val="center"/>
                    <w:rPr>
                      <w:bCs/>
                    </w:rPr>
                  </w:pPr>
                  <w:r>
                    <w:rPr>
                      <w:bCs/>
                    </w:rPr>
                    <w:t>多轴攻牙机</w:t>
                  </w:r>
                </w:p>
              </w:tc>
              <w:tc>
                <w:tcPr>
                  <w:tcW w:w="456" w:type="pct"/>
                  <w:vAlign w:val="center"/>
                </w:tcPr>
                <w:p>
                  <w:pPr>
                    <w:adjustRightInd w:val="0"/>
                    <w:snapToGrid w:val="0"/>
                    <w:jc w:val="center"/>
                    <w:rPr>
                      <w:bCs/>
                    </w:rPr>
                  </w:pPr>
                  <w:r>
                    <w:rPr>
                      <w:bCs/>
                    </w:rPr>
                    <w:t>4台</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0.3</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18</w:t>
                  </w:r>
                </w:p>
              </w:tc>
              <w:tc>
                <w:tcPr>
                  <w:tcW w:w="465" w:type="pct"/>
                  <w:vMerge w:val="continue"/>
                  <w:vAlign w:val="center"/>
                </w:tcPr>
                <w:p>
                  <w:pPr>
                    <w:widowControl/>
                    <w:adjustRightInd w:val="0"/>
                    <w:snapToGrid w:val="0"/>
                    <w:jc w:val="center"/>
                  </w:pPr>
                </w:p>
              </w:tc>
              <w:tc>
                <w:tcPr>
                  <w:tcW w:w="677" w:type="pct"/>
                  <w:vAlign w:val="center"/>
                </w:tcPr>
                <w:p>
                  <w:pPr>
                    <w:widowControl/>
                    <w:adjustRightInd w:val="0"/>
                    <w:snapToGrid w:val="0"/>
                    <w:jc w:val="center"/>
                  </w:pPr>
                  <w:r>
                    <w:t>喷砂</w:t>
                  </w:r>
                </w:p>
              </w:tc>
              <w:tc>
                <w:tcPr>
                  <w:tcW w:w="928" w:type="pct"/>
                  <w:vAlign w:val="center"/>
                </w:tcPr>
                <w:p>
                  <w:pPr>
                    <w:adjustRightInd w:val="0"/>
                    <w:snapToGrid w:val="0"/>
                    <w:jc w:val="center"/>
                    <w:rPr>
                      <w:bCs/>
                    </w:rPr>
                  </w:pPr>
                  <w:r>
                    <w:rPr>
                      <w:bCs/>
                    </w:rPr>
                    <w:t>喷砂机</w:t>
                  </w:r>
                </w:p>
              </w:tc>
              <w:tc>
                <w:tcPr>
                  <w:tcW w:w="456" w:type="pct"/>
                  <w:vAlign w:val="center"/>
                </w:tcPr>
                <w:p>
                  <w:pPr>
                    <w:adjustRightInd w:val="0"/>
                    <w:snapToGrid w:val="0"/>
                    <w:jc w:val="center"/>
                    <w:rPr>
                      <w:bCs/>
                    </w:rPr>
                  </w:pPr>
                  <w:r>
                    <w:rPr>
                      <w:bCs/>
                    </w:rPr>
                    <w:t>2台</w:t>
                  </w:r>
                </w:p>
              </w:tc>
              <w:tc>
                <w:tcPr>
                  <w:tcW w:w="996" w:type="pct"/>
                  <w:vAlign w:val="center"/>
                </w:tcPr>
                <w:p>
                  <w:pPr>
                    <w:adjustRightInd w:val="0"/>
                    <w:snapToGrid w:val="0"/>
                    <w:jc w:val="center"/>
                    <w:rPr>
                      <w:bCs/>
                    </w:rPr>
                  </w:pPr>
                  <w:r>
                    <w:t>设计处理能力</w:t>
                  </w:r>
                </w:p>
              </w:tc>
              <w:tc>
                <w:tcPr>
                  <w:tcW w:w="535" w:type="pct"/>
                  <w:vAlign w:val="center"/>
                </w:tcPr>
                <w:p>
                  <w:pPr>
                    <w:widowControl/>
                    <w:adjustRightInd w:val="0"/>
                    <w:snapToGrid w:val="0"/>
                    <w:jc w:val="center"/>
                  </w:pPr>
                  <w:r>
                    <w:t>0.3</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19</w:t>
                  </w:r>
                </w:p>
              </w:tc>
              <w:tc>
                <w:tcPr>
                  <w:tcW w:w="465" w:type="pct"/>
                  <w:vMerge w:val="continue"/>
                  <w:vAlign w:val="center"/>
                </w:tcPr>
                <w:p>
                  <w:pPr>
                    <w:widowControl/>
                    <w:adjustRightInd w:val="0"/>
                    <w:snapToGrid w:val="0"/>
                    <w:jc w:val="center"/>
                  </w:pPr>
                </w:p>
              </w:tc>
              <w:tc>
                <w:tcPr>
                  <w:tcW w:w="677" w:type="pct"/>
                  <w:vMerge w:val="restart"/>
                  <w:vAlign w:val="center"/>
                </w:tcPr>
                <w:p>
                  <w:pPr>
                    <w:widowControl/>
                    <w:adjustRightInd w:val="0"/>
                    <w:snapToGrid w:val="0"/>
                    <w:jc w:val="center"/>
                  </w:pPr>
                  <w:r>
                    <w:t>研磨</w:t>
                  </w:r>
                </w:p>
              </w:tc>
              <w:tc>
                <w:tcPr>
                  <w:tcW w:w="928" w:type="pct"/>
                  <w:vAlign w:val="center"/>
                </w:tcPr>
                <w:p>
                  <w:pPr>
                    <w:widowControl/>
                    <w:adjustRightInd w:val="0"/>
                    <w:snapToGrid w:val="0"/>
                    <w:jc w:val="center"/>
                  </w:pPr>
                  <w:r>
                    <w:rPr>
                      <w:bCs/>
                    </w:rPr>
                    <w:t>研磨机</w:t>
                  </w:r>
                </w:p>
              </w:tc>
              <w:tc>
                <w:tcPr>
                  <w:tcW w:w="456" w:type="pct"/>
                  <w:vAlign w:val="center"/>
                </w:tcPr>
                <w:p>
                  <w:pPr>
                    <w:widowControl/>
                    <w:adjustRightInd w:val="0"/>
                    <w:snapToGrid w:val="0"/>
                    <w:jc w:val="center"/>
                  </w:pPr>
                  <w:r>
                    <w:rPr>
                      <w:bCs/>
                    </w:rPr>
                    <w:t>2台</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0.5</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20</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pPr>
                  <w:r>
                    <w:rPr>
                      <w:bCs/>
                    </w:rPr>
                    <w:t>抛光机</w:t>
                  </w:r>
                </w:p>
              </w:tc>
              <w:tc>
                <w:tcPr>
                  <w:tcW w:w="456" w:type="pct"/>
                  <w:vAlign w:val="center"/>
                </w:tcPr>
                <w:p>
                  <w:pPr>
                    <w:widowControl/>
                    <w:adjustRightInd w:val="0"/>
                    <w:snapToGrid w:val="0"/>
                    <w:jc w:val="center"/>
                  </w:pPr>
                  <w:r>
                    <w:rPr>
                      <w:bCs/>
                    </w:rPr>
                    <w:t>4台</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0.3</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restart"/>
                  <w:vAlign w:val="center"/>
                </w:tcPr>
                <w:p>
                  <w:pPr>
                    <w:widowControl/>
                    <w:adjustRightInd w:val="0"/>
                    <w:snapToGrid w:val="0"/>
                    <w:jc w:val="center"/>
                  </w:pPr>
                  <w:r>
                    <w:t>21</w:t>
                  </w:r>
                </w:p>
              </w:tc>
              <w:tc>
                <w:tcPr>
                  <w:tcW w:w="465" w:type="pct"/>
                  <w:vMerge w:val="continue"/>
                  <w:vAlign w:val="center"/>
                </w:tcPr>
                <w:p>
                  <w:pPr>
                    <w:widowControl/>
                    <w:adjustRightInd w:val="0"/>
                    <w:snapToGrid w:val="0"/>
                    <w:jc w:val="center"/>
                  </w:pPr>
                </w:p>
              </w:tc>
              <w:tc>
                <w:tcPr>
                  <w:tcW w:w="677" w:type="pct"/>
                  <w:vMerge w:val="restart"/>
                  <w:vAlign w:val="center"/>
                </w:tcPr>
                <w:p>
                  <w:pPr>
                    <w:widowControl/>
                    <w:adjustRightInd w:val="0"/>
                    <w:snapToGrid w:val="0"/>
                    <w:jc w:val="center"/>
                  </w:pPr>
                  <w:r>
                    <w:t>喷粉</w:t>
                  </w:r>
                </w:p>
              </w:tc>
              <w:tc>
                <w:tcPr>
                  <w:tcW w:w="928" w:type="pct"/>
                  <w:vAlign w:val="center"/>
                </w:tcPr>
                <w:p>
                  <w:pPr>
                    <w:widowControl/>
                    <w:adjustRightInd w:val="0"/>
                    <w:snapToGrid w:val="0"/>
                    <w:jc w:val="center"/>
                  </w:pPr>
                  <w:r>
                    <w:rPr>
                      <w:bCs/>
                    </w:rPr>
                    <w:t>喷粉线</w:t>
                  </w:r>
                </w:p>
              </w:tc>
              <w:tc>
                <w:tcPr>
                  <w:tcW w:w="456" w:type="pct"/>
                  <w:vAlign w:val="center"/>
                </w:tcPr>
                <w:p>
                  <w:pPr>
                    <w:widowControl/>
                    <w:adjustRightInd w:val="0"/>
                    <w:snapToGrid w:val="0"/>
                    <w:jc w:val="center"/>
                  </w:pPr>
                  <w:r>
                    <w:rPr>
                      <w:bCs/>
                    </w:rPr>
                    <w:t>1条</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0.3</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continue"/>
                  <w:vAlign w:val="center"/>
                </w:tcPr>
                <w:p>
                  <w:pPr>
                    <w:widowControl/>
                    <w:adjustRightInd w:val="0"/>
                    <w:snapToGrid w:val="0"/>
                    <w:jc w:val="center"/>
                  </w:pP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rFonts w:hint="eastAsia"/>
                      <w:bCs/>
                    </w:rPr>
                    <w:t>喷粉枪</w:t>
                  </w:r>
                </w:p>
              </w:tc>
              <w:tc>
                <w:tcPr>
                  <w:tcW w:w="456" w:type="pct"/>
                  <w:vAlign w:val="center"/>
                </w:tcPr>
                <w:p>
                  <w:pPr>
                    <w:widowControl/>
                    <w:adjustRightInd w:val="0"/>
                    <w:snapToGrid w:val="0"/>
                    <w:jc w:val="center"/>
                    <w:rPr>
                      <w:bCs/>
                    </w:rPr>
                  </w:pPr>
                  <w:r>
                    <w:rPr>
                      <w:rFonts w:hint="eastAsia"/>
                      <w:bCs/>
                    </w:rPr>
                    <w:t>2把</w:t>
                  </w:r>
                </w:p>
              </w:tc>
              <w:tc>
                <w:tcPr>
                  <w:tcW w:w="996" w:type="pct"/>
                  <w:vAlign w:val="center"/>
                </w:tcPr>
                <w:p>
                  <w:pPr>
                    <w:widowControl/>
                    <w:adjustRightInd w:val="0"/>
                    <w:snapToGrid w:val="0"/>
                    <w:jc w:val="center"/>
                    <w:rPr>
                      <w:bCs/>
                    </w:rPr>
                  </w:pPr>
                  <w:r>
                    <w:rPr>
                      <w:rFonts w:hint="eastAsia"/>
                      <w:bCs/>
                    </w:rPr>
                    <w:t>喷涂流量</w:t>
                  </w:r>
                </w:p>
              </w:tc>
              <w:tc>
                <w:tcPr>
                  <w:tcW w:w="535" w:type="pct"/>
                  <w:vAlign w:val="center"/>
                </w:tcPr>
                <w:p>
                  <w:pPr>
                    <w:widowControl/>
                    <w:adjustRightInd w:val="0"/>
                    <w:snapToGrid w:val="0"/>
                    <w:jc w:val="center"/>
                    <w:rPr>
                      <w:bCs/>
                    </w:rPr>
                  </w:pPr>
                  <w:r>
                    <w:rPr>
                      <w:rFonts w:hint="eastAsia"/>
                      <w:bCs/>
                    </w:rPr>
                    <w:t>1</w:t>
                  </w:r>
                </w:p>
              </w:tc>
              <w:tc>
                <w:tcPr>
                  <w:tcW w:w="539" w:type="pct"/>
                  <w:vAlign w:val="center"/>
                </w:tcPr>
                <w:p>
                  <w:pPr>
                    <w:widowControl/>
                    <w:adjustRightInd w:val="0"/>
                    <w:snapToGrid w:val="0"/>
                    <w:jc w:val="center"/>
                    <w:rPr>
                      <w:bCs/>
                    </w:rPr>
                  </w:pPr>
                  <w:r>
                    <w:rPr>
                      <w:rFonts w:hint="eastAsia"/>
                      <w:bCs/>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restart"/>
                  <w:vAlign w:val="center"/>
                </w:tcPr>
                <w:p>
                  <w:pPr>
                    <w:widowControl/>
                    <w:adjustRightInd w:val="0"/>
                    <w:snapToGrid w:val="0"/>
                    <w:jc w:val="center"/>
                  </w:pPr>
                  <w:r>
                    <w:t>22</w:t>
                  </w:r>
                </w:p>
              </w:tc>
              <w:tc>
                <w:tcPr>
                  <w:tcW w:w="465" w:type="pct"/>
                  <w:vMerge w:val="continue"/>
                  <w:vAlign w:val="center"/>
                </w:tcPr>
                <w:p>
                  <w:pPr>
                    <w:widowControl/>
                    <w:adjustRightInd w:val="0"/>
                    <w:snapToGrid w:val="0"/>
                    <w:jc w:val="center"/>
                  </w:pPr>
                </w:p>
              </w:tc>
              <w:tc>
                <w:tcPr>
                  <w:tcW w:w="677" w:type="pct"/>
                  <w:vMerge w:val="restart"/>
                  <w:vAlign w:val="center"/>
                </w:tcPr>
                <w:p>
                  <w:pPr>
                    <w:widowControl/>
                    <w:adjustRightInd w:val="0"/>
                    <w:snapToGrid w:val="0"/>
                    <w:jc w:val="center"/>
                  </w:pPr>
                  <w:r>
                    <w:t>烘烤</w:t>
                  </w:r>
                </w:p>
              </w:tc>
              <w:tc>
                <w:tcPr>
                  <w:tcW w:w="928" w:type="pct"/>
                  <w:vMerge w:val="restart"/>
                  <w:vAlign w:val="center"/>
                </w:tcPr>
                <w:p>
                  <w:pPr>
                    <w:widowControl/>
                    <w:adjustRightInd w:val="0"/>
                    <w:snapToGrid w:val="0"/>
                    <w:jc w:val="center"/>
                  </w:pPr>
                  <w:r>
                    <w:t>电烘烤炉</w:t>
                  </w:r>
                </w:p>
              </w:tc>
              <w:tc>
                <w:tcPr>
                  <w:tcW w:w="456" w:type="pct"/>
                  <w:vMerge w:val="restart"/>
                  <w:vAlign w:val="center"/>
                </w:tcPr>
                <w:p>
                  <w:pPr>
                    <w:widowControl/>
                    <w:adjustRightInd w:val="0"/>
                    <w:snapToGrid w:val="0"/>
                    <w:jc w:val="center"/>
                  </w:pPr>
                  <w:r>
                    <w:t>1台</w:t>
                  </w:r>
                </w:p>
              </w:tc>
              <w:tc>
                <w:tcPr>
                  <w:tcW w:w="996" w:type="pct"/>
                  <w:vAlign w:val="center"/>
                </w:tcPr>
                <w:p>
                  <w:pPr>
                    <w:widowControl/>
                    <w:adjustRightInd w:val="0"/>
                    <w:snapToGrid w:val="0"/>
                    <w:jc w:val="center"/>
                  </w:pPr>
                  <w:r>
                    <w:t>设计处理能力</w:t>
                  </w:r>
                </w:p>
              </w:tc>
              <w:tc>
                <w:tcPr>
                  <w:tcW w:w="535" w:type="pct"/>
                  <w:vAlign w:val="center"/>
                </w:tcPr>
                <w:p>
                  <w:pPr>
                    <w:widowControl/>
                    <w:adjustRightInd w:val="0"/>
                    <w:snapToGrid w:val="0"/>
                    <w:jc w:val="center"/>
                  </w:pPr>
                  <w:r>
                    <w:t>0.3</w:t>
                  </w:r>
                </w:p>
              </w:tc>
              <w:tc>
                <w:tcPr>
                  <w:tcW w:w="539" w:type="pct"/>
                  <w:vAlign w:val="center"/>
                </w:tcPr>
                <w:p>
                  <w:pPr>
                    <w:widowControl/>
                    <w:adjustRightInd w:val="0"/>
                    <w:snapToGrid w:val="0"/>
                    <w:jc w:val="center"/>
                  </w:pPr>
                  <w:r>
                    <w:rPr>
                      <w:bCs/>
                    </w:rPr>
                    <w:t>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0" w:hRule="atLeast"/>
                <w:jc w:val="center"/>
              </w:trPr>
              <w:tc>
                <w:tcPr>
                  <w:tcW w:w="400" w:type="pct"/>
                  <w:vMerge w:val="continue"/>
                  <w:vAlign w:val="center"/>
                </w:tcPr>
                <w:p>
                  <w:pPr>
                    <w:widowControl/>
                    <w:adjustRightInd w:val="0"/>
                    <w:snapToGrid w:val="0"/>
                    <w:jc w:val="center"/>
                  </w:pP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Merge w:val="continue"/>
                  <w:vAlign w:val="center"/>
                </w:tcPr>
                <w:p>
                  <w:pPr>
                    <w:widowControl/>
                    <w:adjustRightInd w:val="0"/>
                    <w:snapToGrid w:val="0"/>
                    <w:jc w:val="center"/>
                  </w:pPr>
                </w:p>
              </w:tc>
              <w:tc>
                <w:tcPr>
                  <w:tcW w:w="456" w:type="pct"/>
                  <w:vMerge w:val="continue"/>
                  <w:vAlign w:val="center"/>
                </w:tcPr>
                <w:p>
                  <w:pPr>
                    <w:widowControl/>
                    <w:adjustRightInd w:val="0"/>
                    <w:snapToGrid w:val="0"/>
                    <w:jc w:val="center"/>
                  </w:pPr>
                </w:p>
              </w:tc>
              <w:tc>
                <w:tcPr>
                  <w:tcW w:w="996" w:type="pct"/>
                  <w:vAlign w:val="center"/>
                </w:tcPr>
                <w:p>
                  <w:pPr>
                    <w:widowControl/>
                    <w:adjustRightInd w:val="0"/>
                    <w:snapToGrid w:val="0"/>
                    <w:jc w:val="center"/>
                  </w:pPr>
                  <w:r>
                    <w:t>烘烤温度</w:t>
                  </w:r>
                </w:p>
              </w:tc>
              <w:tc>
                <w:tcPr>
                  <w:tcW w:w="535" w:type="pct"/>
                  <w:vAlign w:val="center"/>
                </w:tcPr>
                <w:p>
                  <w:pPr>
                    <w:widowControl/>
                    <w:adjustRightInd w:val="0"/>
                    <w:snapToGrid w:val="0"/>
                    <w:jc w:val="center"/>
                  </w:pPr>
                  <w:r>
                    <w:t>200</w:t>
                  </w:r>
                </w:p>
              </w:tc>
              <w:tc>
                <w:tcPr>
                  <w:tcW w:w="539" w:type="pct"/>
                  <w:vAlign w:val="center"/>
                </w:tcPr>
                <w:p>
                  <w:pPr>
                    <w:widowControl/>
                    <w:adjustRightInd w:val="0"/>
                    <w:snapToGrid w:val="0"/>
                    <w:jc w:val="center"/>
                    <w:rPr>
                      <w:rFonts w:ascii="宋体" w:hAnsi="宋体"/>
                    </w:rPr>
                  </w:pPr>
                  <w:r>
                    <w:rPr>
                      <w:rFonts w:ascii="宋体" w:hAnsi="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exact"/>
                <w:jc w:val="center"/>
              </w:trPr>
              <w:tc>
                <w:tcPr>
                  <w:tcW w:w="400" w:type="pct"/>
                  <w:vAlign w:val="center"/>
                </w:tcPr>
                <w:p>
                  <w:pPr>
                    <w:widowControl/>
                    <w:adjustRightInd w:val="0"/>
                    <w:snapToGrid w:val="0"/>
                    <w:jc w:val="center"/>
                  </w:pPr>
                  <w:r>
                    <w:t>23</w:t>
                  </w:r>
                </w:p>
              </w:tc>
              <w:tc>
                <w:tcPr>
                  <w:tcW w:w="465" w:type="pct"/>
                  <w:vMerge w:val="restart"/>
                  <w:vAlign w:val="center"/>
                </w:tcPr>
                <w:p>
                  <w:pPr>
                    <w:widowControl/>
                    <w:adjustRightInd w:val="0"/>
                    <w:snapToGrid w:val="0"/>
                    <w:jc w:val="center"/>
                  </w:pPr>
                  <w:r>
                    <w:t>公用单元</w:t>
                  </w:r>
                </w:p>
              </w:tc>
              <w:tc>
                <w:tcPr>
                  <w:tcW w:w="677" w:type="pct"/>
                  <w:vAlign w:val="center"/>
                </w:tcPr>
                <w:p>
                  <w:pPr>
                    <w:widowControl/>
                    <w:adjustRightInd w:val="0"/>
                    <w:snapToGrid w:val="0"/>
                    <w:jc w:val="center"/>
                  </w:pPr>
                  <w:r>
                    <w:t>冷却</w:t>
                  </w:r>
                </w:p>
              </w:tc>
              <w:tc>
                <w:tcPr>
                  <w:tcW w:w="928" w:type="pct"/>
                  <w:vAlign w:val="center"/>
                </w:tcPr>
                <w:p>
                  <w:pPr>
                    <w:widowControl/>
                    <w:adjustRightInd w:val="0"/>
                    <w:snapToGrid w:val="0"/>
                    <w:jc w:val="center"/>
                  </w:pPr>
                  <w:r>
                    <w:rPr>
                      <w:bCs/>
                    </w:rPr>
                    <w:t>压铸模具冷却水塔</w:t>
                  </w:r>
                </w:p>
              </w:tc>
              <w:tc>
                <w:tcPr>
                  <w:tcW w:w="456" w:type="pct"/>
                  <w:vAlign w:val="center"/>
                </w:tcPr>
                <w:p>
                  <w:pPr>
                    <w:widowControl/>
                    <w:adjustRightInd w:val="0"/>
                    <w:snapToGrid w:val="0"/>
                    <w:jc w:val="center"/>
                  </w:pPr>
                  <w:r>
                    <w:t>1台</w:t>
                  </w:r>
                </w:p>
              </w:tc>
              <w:tc>
                <w:tcPr>
                  <w:tcW w:w="996" w:type="pct"/>
                  <w:vAlign w:val="center"/>
                </w:tcPr>
                <w:p>
                  <w:pPr>
                    <w:widowControl/>
                    <w:adjustRightInd w:val="0"/>
                    <w:snapToGrid w:val="0"/>
                    <w:jc w:val="center"/>
                  </w:pPr>
                  <w:r>
                    <w:t>循环水量</w:t>
                  </w:r>
                </w:p>
              </w:tc>
              <w:tc>
                <w:tcPr>
                  <w:tcW w:w="535" w:type="pct"/>
                  <w:vAlign w:val="center"/>
                </w:tcPr>
                <w:p>
                  <w:pPr>
                    <w:widowControl/>
                    <w:adjustRightInd w:val="0"/>
                    <w:snapToGrid w:val="0"/>
                    <w:jc w:val="center"/>
                  </w:pPr>
                  <w:r>
                    <w:t>2</w:t>
                  </w:r>
                </w:p>
              </w:tc>
              <w:tc>
                <w:tcPr>
                  <w:tcW w:w="539" w:type="pct"/>
                  <w:vAlign w:val="center"/>
                </w:tcPr>
                <w:p>
                  <w:pPr>
                    <w:widowControl/>
                    <w:adjustRightInd w:val="0"/>
                    <w:snapToGrid w:val="0"/>
                    <w:jc w:val="center"/>
                  </w:pPr>
                  <w:r>
                    <w:t>m</w:t>
                  </w:r>
                  <w:r>
                    <w:rPr>
                      <w:vertAlign w:val="superscript"/>
                    </w:rPr>
                    <w:t>3</w:t>
                  </w:r>
                  <w: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24</w:t>
                  </w:r>
                </w:p>
              </w:tc>
              <w:tc>
                <w:tcPr>
                  <w:tcW w:w="465" w:type="pct"/>
                  <w:vMerge w:val="continue"/>
                  <w:vAlign w:val="center"/>
                </w:tcPr>
                <w:p>
                  <w:pPr>
                    <w:widowControl/>
                    <w:adjustRightInd w:val="0"/>
                    <w:snapToGrid w:val="0"/>
                    <w:jc w:val="center"/>
                  </w:pPr>
                </w:p>
              </w:tc>
              <w:tc>
                <w:tcPr>
                  <w:tcW w:w="677" w:type="pct"/>
                  <w:vMerge w:val="restart"/>
                  <w:vAlign w:val="center"/>
                </w:tcPr>
                <w:p>
                  <w:pPr>
                    <w:widowControl/>
                    <w:adjustRightInd w:val="0"/>
                    <w:snapToGrid w:val="0"/>
                    <w:jc w:val="center"/>
                  </w:pPr>
                  <w:r>
                    <w:t>储压</w:t>
                  </w:r>
                </w:p>
              </w:tc>
              <w:tc>
                <w:tcPr>
                  <w:tcW w:w="928" w:type="pct"/>
                  <w:vAlign w:val="center"/>
                </w:tcPr>
                <w:p>
                  <w:pPr>
                    <w:widowControl/>
                    <w:adjustRightInd w:val="0"/>
                    <w:snapToGrid w:val="0"/>
                    <w:jc w:val="center"/>
                    <w:rPr>
                      <w:bCs/>
                    </w:rPr>
                  </w:pPr>
                  <w:r>
                    <w:rPr>
                      <w:bCs/>
                    </w:rPr>
                    <w:t>空压机</w:t>
                  </w:r>
                </w:p>
              </w:tc>
              <w:tc>
                <w:tcPr>
                  <w:tcW w:w="456" w:type="pct"/>
                  <w:vAlign w:val="center"/>
                </w:tcPr>
                <w:p>
                  <w:pPr>
                    <w:widowControl/>
                    <w:adjustRightInd w:val="0"/>
                    <w:snapToGrid w:val="0"/>
                    <w:jc w:val="center"/>
                  </w:pPr>
                  <w:r>
                    <w:t>1台</w:t>
                  </w:r>
                </w:p>
              </w:tc>
              <w:tc>
                <w:tcPr>
                  <w:tcW w:w="996" w:type="pct"/>
                  <w:vAlign w:val="center"/>
                </w:tcPr>
                <w:p>
                  <w:pPr>
                    <w:widowControl/>
                    <w:adjustRightInd w:val="0"/>
                    <w:snapToGrid w:val="0"/>
                    <w:jc w:val="center"/>
                  </w:pPr>
                  <w:r>
                    <w:t>功率</w:t>
                  </w:r>
                </w:p>
              </w:tc>
              <w:tc>
                <w:tcPr>
                  <w:tcW w:w="535" w:type="pct"/>
                  <w:vAlign w:val="center"/>
                </w:tcPr>
                <w:p>
                  <w:pPr>
                    <w:widowControl/>
                    <w:adjustRightInd w:val="0"/>
                    <w:snapToGrid w:val="0"/>
                    <w:jc w:val="center"/>
                  </w:pPr>
                  <w:r>
                    <w:t>7.35</w:t>
                  </w:r>
                </w:p>
              </w:tc>
              <w:tc>
                <w:tcPr>
                  <w:tcW w:w="539" w:type="pct"/>
                  <w:vAlign w:val="center"/>
                </w:tcPr>
                <w:p>
                  <w:pPr>
                    <w:widowControl/>
                    <w:adjustRightInd w:val="0"/>
                    <w:snapToGrid w:val="0"/>
                    <w:jc w:val="center"/>
                  </w:pPr>
                  <w: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25</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bCs/>
                    </w:rPr>
                    <w:t>空压机</w:t>
                  </w:r>
                </w:p>
              </w:tc>
              <w:tc>
                <w:tcPr>
                  <w:tcW w:w="456" w:type="pct"/>
                  <w:vAlign w:val="center"/>
                </w:tcPr>
                <w:p>
                  <w:pPr>
                    <w:widowControl/>
                    <w:adjustRightInd w:val="0"/>
                    <w:snapToGrid w:val="0"/>
                    <w:jc w:val="center"/>
                  </w:pPr>
                  <w:r>
                    <w:t>1台</w:t>
                  </w:r>
                </w:p>
              </w:tc>
              <w:tc>
                <w:tcPr>
                  <w:tcW w:w="996" w:type="pct"/>
                  <w:vAlign w:val="center"/>
                </w:tcPr>
                <w:p>
                  <w:pPr>
                    <w:widowControl/>
                    <w:adjustRightInd w:val="0"/>
                    <w:snapToGrid w:val="0"/>
                    <w:jc w:val="center"/>
                  </w:pPr>
                  <w:r>
                    <w:t>功率</w:t>
                  </w:r>
                </w:p>
              </w:tc>
              <w:tc>
                <w:tcPr>
                  <w:tcW w:w="535" w:type="pct"/>
                  <w:vAlign w:val="center"/>
                </w:tcPr>
                <w:p>
                  <w:pPr>
                    <w:widowControl/>
                    <w:adjustRightInd w:val="0"/>
                    <w:snapToGrid w:val="0"/>
                    <w:jc w:val="center"/>
                  </w:pPr>
                  <w:r>
                    <w:t>14.7</w:t>
                  </w:r>
                </w:p>
              </w:tc>
              <w:tc>
                <w:tcPr>
                  <w:tcW w:w="539" w:type="pct"/>
                  <w:vAlign w:val="center"/>
                </w:tcPr>
                <w:p>
                  <w:pPr>
                    <w:widowControl/>
                    <w:adjustRightInd w:val="0"/>
                    <w:snapToGrid w:val="0"/>
                    <w:jc w:val="center"/>
                  </w:pPr>
                  <w: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26</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bCs/>
                    </w:rPr>
                    <w:t>空压机</w:t>
                  </w:r>
                </w:p>
              </w:tc>
              <w:tc>
                <w:tcPr>
                  <w:tcW w:w="456" w:type="pct"/>
                  <w:vAlign w:val="center"/>
                </w:tcPr>
                <w:p>
                  <w:pPr>
                    <w:widowControl/>
                    <w:adjustRightInd w:val="0"/>
                    <w:snapToGrid w:val="0"/>
                    <w:jc w:val="center"/>
                  </w:pPr>
                  <w:r>
                    <w:t>1台</w:t>
                  </w:r>
                </w:p>
              </w:tc>
              <w:tc>
                <w:tcPr>
                  <w:tcW w:w="996" w:type="pct"/>
                  <w:vAlign w:val="center"/>
                </w:tcPr>
                <w:p>
                  <w:pPr>
                    <w:widowControl/>
                    <w:adjustRightInd w:val="0"/>
                    <w:snapToGrid w:val="0"/>
                    <w:jc w:val="center"/>
                  </w:pPr>
                  <w:r>
                    <w:t>功率</w:t>
                  </w:r>
                </w:p>
              </w:tc>
              <w:tc>
                <w:tcPr>
                  <w:tcW w:w="535" w:type="pct"/>
                  <w:vAlign w:val="center"/>
                </w:tcPr>
                <w:p>
                  <w:pPr>
                    <w:widowControl/>
                    <w:adjustRightInd w:val="0"/>
                    <w:snapToGrid w:val="0"/>
                    <w:jc w:val="center"/>
                  </w:pPr>
                  <w:r>
                    <w:t>22</w:t>
                  </w:r>
                </w:p>
              </w:tc>
              <w:tc>
                <w:tcPr>
                  <w:tcW w:w="539" w:type="pct"/>
                  <w:vAlign w:val="center"/>
                </w:tcPr>
                <w:p>
                  <w:pPr>
                    <w:widowControl/>
                    <w:adjustRightInd w:val="0"/>
                    <w:snapToGrid w:val="0"/>
                    <w:jc w:val="center"/>
                  </w:pPr>
                  <w:r>
                    <w:t>kw</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exact"/>
                <w:jc w:val="center"/>
              </w:trPr>
              <w:tc>
                <w:tcPr>
                  <w:tcW w:w="400" w:type="pct"/>
                  <w:vAlign w:val="center"/>
                </w:tcPr>
                <w:p>
                  <w:pPr>
                    <w:widowControl/>
                    <w:adjustRightInd w:val="0"/>
                    <w:snapToGrid w:val="0"/>
                    <w:jc w:val="center"/>
                  </w:pPr>
                  <w:r>
                    <w:t>27</w:t>
                  </w:r>
                </w:p>
              </w:tc>
              <w:tc>
                <w:tcPr>
                  <w:tcW w:w="465" w:type="pct"/>
                  <w:vMerge w:val="continue"/>
                  <w:vAlign w:val="center"/>
                </w:tcPr>
                <w:p>
                  <w:pPr>
                    <w:widowControl/>
                    <w:adjustRightInd w:val="0"/>
                    <w:snapToGrid w:val="0"/>
                    <w:jc w:val="center"/>
                  </w:pPr>
                </w:p>
              </w:tc>
              <w:tc>
                <w:tcPr>
                  <w:tcW w:w="677" w:type="pct"/>
                  <w:vMerge w:val="continue"/>
                  <w:vAlign w:val="center"/>
                </w:tcPr>
                <w:p>
                  <w:pPr>
                    <w:widowControl/>
                    <w:adjustRightInd w:val="0"/>
                    <w:snapToGrid w:val="0"/>
                    <w:jc w:val="center"/>
                  </w:pPr>
                </w:p>
              </w:tc>
              <w:tc>
                <w:tcPr>
                  <w:tcW w:w="928" w:type="pct"/>
                  <w:vAlign w:val="center"/>
                </w:tcPr>
                <w:p>
                  <w:pPr>
                    <w:widowControl/>
                    <w:adjustRightInd w:val="0"/>
                    <w:snapToGrid w:val="0"/>
                    <w:jc w:val="center"/>
                    <w:rPr>
                      <w:bCs/>
                    </w:rPr>
                  </w:pPr>
                  <w:r>
                    <w:rPr>
                      <w:bCs/>
                    </w:rPr>
                    <w:t>空压机</w:t>
                  </w:r>
                </w:p>
              </w:tc>
              <w:tc>
                <w:tcPr>
                  <w:tcW w:w="456" w:type="pct"/>
                  <w:vAlign w:val="center"/>
                </w:tcPr>
                <w:p>
                  <w:pPr>
                    <w:widowControl/>
                    <w:adjustRightInd w:val="0"/>
                    <w:snapToGrid w:val="0"/>
                    <w:jc w:val="center"/>
                  </w:pPr>
                  <w:r>
                    <w:t>1台</w:t>
                  </w:r>
                </w:p>
              </w:tc>
              <w:tc>
                <w:tcPr>
                  <w:tcW w:w="996" w:type="pct"/>
                  <w:vAlign w:val="center"/>
                </w:tcPr>
                <w:p>
                  <w:pPr>
                    <w:widowControl/>
                    <w:adjustRightInd w:val="0"/>
                    <w:snapToGrid w:val="0"/>
                    <w:jc w:val="center"/>
                  </w:pPr>
                  <w:r>
                    <w:t>功率</w:t>
                  </w:r>
                </w:p>
              </w:tc>
              <w:tc>
                <w:tcPr>
                  <w:tcW w:w="535" w:type="pct"/>
                  <w:vAlign w:val="center"/>
                </w:tcPr>
                <w:p>
                  <w:pPr>
                    <w:widowControl/>
                    <w:adjustRightInd w:val="0"/>
                    <w:snapToGrid w:val="0"/>
                    <w:jc w:val="center"/>
                  </w:pPr>
                  <w:r>
                    <w:t>29.4</w:t>
                  </w:r>
                </w:p>
              </w:tc>
              <w:tc>
                <w:tcPr>
                  <w:tcW w:w="539" w:type="pct"/>
                  <w:vAlign w:val="center"/>
                </w:tcPr>
                <w:p>
                  <w:pPr>
                    <w:widowControl/>
                    <w:adjustRightInd w:val="0"/>
                    <w:snapToGrid w:val="0"/>
                    <w:jc w:val="center"/>
                  </w:pPr>
                  <w:r>
                    <w:t>kw</w:t>
                  </w:r>
                </w:p>
              </w:tc>
            </w:tr>
          </w:tbl>
          <w:p>
            <w:pPr>
              <w:widowControl/>
              <w:adjustRightInd w:val="0"/>
              <w:snapToGrid w:val="0"/>
              <w:spacing w:before="120" w:beforeLines="50" w:line="360" w:lineRule="auto"/>
              <w:ind w:firstLine="422" w:firstLineChars="200"/>
            </w:pPr>
            <w:r>
              <w:rPr>
                <w:b/>
                <w:bCs/>
              </w:rPr>
              <w:t>6、给排水和供电</w:t>
            </w:r>
          </w:p>
          <w:p>
            <w:pPr>
              <w:widowControl/>
              <w:adjustRightInd w:val="0"/>
              <w:snapToGrid w:val="0"/>
              <w:spacing w:line="360" w:lineRule="auto"/>
              <w:ind w:firstLine="422" w:firstLineChars="200"/>
              <w:rPr>
                <w:b/>
              </w:rPr>
            </w:pPr>
            <w:r>
              <w:rPr>
                <w:b/>
              </w:rPr>
              <w:t>（1）给排水</w:t>
            </w:r>
          </w:p>
          <w:p>
            <w:pPr>
              <w:widowControl/>
              <w:adjustRightInd w:val="0"/>
              <w:snapToGrid w:val="0"/>
              <w:spacing w:line="360" w:lineRule="auto"/>
              <w:ind w:firstLine="420" w:firstLineChars="200"/>
            </w:pPr>
            <w:r>
              <w:t>项目用水由附近市政供水管网接入，运营期用水主要有脱模剂用水、冷却用水、研磨用水、水喷淋用水以及员工生活用水。</w:t>
            </w:r>
          </w:p>
          <w:p>
            <w:pPr>
              <w:pStyle w:val="2"/>
              <w:numPr>
                <w:ilvl w:val="0"/>
                <w:numId w:val="14"/>
              </w:numPr>
              <w:spacing w:line="360" w:lineRule="auto"/>
              <w:ind w:firstLine="422" w:firstLineChars="200"/>
              <w:rPr>
                <w:rFonts w:ascii="Times New Roman" w:hAnsi="Times New Roman" w:cs="Times New Roman"/>
                <w:b/>
                <w:bCs/>
                <w:sz w:val="21"/>
                <w:szCs w:val="21"/>
              </w:rPr>
            </w:pPr>
            <w:r>
              <w:rPr>
                <w:rFonts w:ascii="Times New Roman" w:hAnsi="Times New Roman" w:cs="Times New Roman"/>
                <w:b/>
                <w:bCs/>
                <w:sz w:val="21"/>
                <w:szCs w:val="21"/>
              </w:rPr>
              <w:t>冷却用水</w:t>
            </w:r>
          </w:p>
          <w:p>
            <w:pPr>
              <w:pStyle w:val="26"/>
              <w:spacing w:line="360" w:lineRule="auto"/>
              <w:ind w:left="0" w:leftChars="0" w:firstLine="420" w:firstLineChars="200"/>
              <w:rPr>
                <w:rFonts w:ascii="Times New Roman" w:hAnsi="Times New Roman"/>
                <w:lang w:eastAsia="zh-CN"/>
              </w:rPr>
            </w:pPr>
            <w:r>
              <w:rPr>
                <w:rFonts w:ascii="Times New Roman" w:hAnsi="Times New Roman"/>
                <w:lang w:eastAsia="zh-CN"/>
              </w:rPr>
              <w:t>本项目压铸机工作时需要冷却水间接冷却，配套1台冷却水塔，冷却水为普通自来水，循环使用不外排， 但在循环使用过程中存在少量的损耗，需要补给新鲜水。根据建设单位提供的资料，项目冷却水塔配套水泵的循环流量为2m</w:t>
            </w:r>
            <w:r>
              <w:rPr>
                <w:rFonts w:ascii="Times New Roman" w:hAnsi="Times New Roman"/>
                <w:vertAlign w:val="superscript"/>
                <w:lang w:eastAsia="zh-CN"/>
              </w:rPr>
              <w:t>3</w:t>
            </w:r>
            <w:r>
              <w:rPr>
                <w:rFonts w:ascii="Times New Roman" w:hAnsi="Times New Roman"/>
                <w:lang w:eastAsia="zh-CN"/>
              </w:rPr>
              <w:t>/h，即冷却塔年循环水量合计为4800m</w:t>
            </w:r>
            <w:r>
              <w:rPr>
                <w:rFonts w:ascii="Times New Roman" w:hAnsi="Times New Roman"/>
                <w:vertAlign w:val="superscript"/>
                <w:lang w:eastAsia="zh-CN"/>
              </w:rPr>
              <w:t>3</w:t>
            </w:r>
            <w:r>
              <w:rPr>
                <w:rFonts w:ascii="Times New Roman" w:hAnsi="Times New Roman"/>
                <w:lang w:eastAsia="zh-CN"/>
              </w:rPr>
              <w:t>/a（16m</w:t>
            </w:r>
            <w:r>
              <w:rPr>
                <w:rFonts w:ascii="Times New Roman" w:hAnsi="Times New Roman"/>
                <w:vertAlign w:val="superscript"/>
                <w:lang w:eastAsia="zh-CN"/>
              </w:rPr>
              <w:t>3</w:t>
            </w:r>
            <w:r>
              <w:rPr>
                <w:rFonts w:ascii="Times New Roman" w:hAnsi="Times New Roman"/>
                <w:lang w:eastAsia="zh-CN"/>
              </w:rPr>
              <w:t>/d），参考《建筑给水排水设计标准》 （GB50015-2019）3.11.14，冷却塔的补充水量应按循环水量的1~2%计算，本项目取2%，压铸机设备年运行300天，每天运行6小时，则补充损耗水量为0.32m</w:t>
            </w:r>
            <w:r>
              <w:rPr>
                <w:rFonts w:ascii="Times New Roman" w:hAnsi="Times New Roman"/>
                <w:vertAlign w:val="superscript"/>
                <w:lang w:eastAsia="zh-CN"/>
              </w:rPr>
              <w:t>3</w:t>
            </w:r>
            <w:r>
              <w:rPr>
                <w:rFonts w:ascii="Times New Roman" w:hAnsi="Times New Roman"/>
                <w:lang w:eastAsia="zh-CN"/>
              </w:rPr>
              <w:t>/d（96m</w:t>
            </w:r>
            <w:r>
              <w:rPr>
                <w:rFonts w:ascii="Times New Roman" w:hAnsi="Times New Roman"/>
                <w:vertAlign w:val="superscript"/>
                <w:lang w:eastAsia="zh-CN"/>
              </w:rPr>
              <w:t>3</w:t>
            </w:r>
            <w:r>
              <w:rPr>
                <w:rFonts w:ascii="Times New Roman" w:hAnsi="Times New Roman"/>
                <w:lang w:eastAsia="zh-CN"/>
              </w:rPr>
              <w:t>/a）。</w:t>
            </w:r>
          </w:p>
          <w:p>
            <w:pPr>
              <w:numPr>
                <w:ilvl w:val="0"/>
                <w:numId w:val="14"/>
              </w:numPr>
              <w:spacing w:line="360" w:lineRule="auto"/>
              <w:ind w:firstLine="422" w:firstLineChars="200"/>
              <w:rPr>
                <w:b/>
                <w:bCs/>
              </w:rPr>
            </w:pPr>
            <w:r>
              <w:rPr>
                <w:b/>
                <w:bCs/>
              </w:rPr>
              <w:t>脱模剂用水</w:t>
            </w:r>
          </w:p>
          <w:p>
            <w:pPr>
              <w:pStyle w:val="26"/>
              <w:spacing w:line="360" w:lineRule="auto"/>
              <w:ind w:left="0" w:leftChars="0" w:firstLine="420" w:firstLineChars="200"/>
              <w:rPr>
                <w:rFonts w:ascii="Times New Roman" w:hAnsi="Times New Roman"/>
                <w:lang w:eastAsia="zh-CN"/>
              </w:rPr>
            </w:pPr>
            <w:r>
              <w:rPr>
                <w:rFonts w:ascii="Times New Roman" w:hAnsi="Times New Roman"/>
                <w:lang w:eastAsia="zh-CN"/>
              </w:rPr>
              <w:t>项目脱模剂与自来水以1:200的比例调配后使用，脱模剂用量4t/a，因此调配用水量为2.67m</w:t>
            </w:r>
            <w:r>
              <w:rPr>
                <w:rFonts w:ascii="Times New Roman" w:hAnsi="Times New Roman"/>
                <w:vertAlign w:val="superscript"/>
                <w:lang w:eastAsia="zh-CN"/>
              </w:rPr>
              <w:t>3</w:t>
            </w:r>
            <w:r>
              <w:rPr>
                <w:rFonts w:ascii="Times New Roman" w:hAnsi="Times New Roman"/>
                <w:lang w:eastAsia="zh-CN"/>
              </w:rPr>
              <w:t>/d（800m</w:t>
            </w:r>
            <w:r>
              <w:rPr>
                <w:rFonts w:ascii="Times New Roman" w:hAnsi="Times New Roman"/>
                <w:vertAlign w:val="superscript"/>
                <w:lang w:eastAsia="zh-CN"/>
              </w:rPr>
              <w:t>3</w:t>
            </w:r>
            <w:r>
              <w:rPr>
                <w:rFonts w:ascii="Times New Roman" w:hAnsi="Times New Roman"/>
                <w:lang w:eastAsia="zh-CN"/>
              </w:rPr>
              <w:t>/a），压铸过程中温度较高，稀释后脱模剂所含水分全部以水蒸气的形式蒸发掉，不外排。</w:t>
            </w:r>
          </w:p>
          <w:p>
            <w:pPr>
              <w:numPr>
                <w:ilvl w:val="0"/>
                <w:numId w:val="14"/>
              </w:numPr>
              <w:spacing w:line="360" w:lineRule="auto"/>
              <w:ind w:firstLine="422" w:firstLineChars="200"/>
              <w:rPr>
                <w:b/>
                <w:bCs/>
              </w:rPr>
            </w:pPr>
            <w:r>
              <w:rPr>
                <w:b/>
                <w:bCs/>
              </w:rPr>
              <w:t>研磨用水</w:t>
            </w:r>
          </w:p>
          <w:p>
            <w:pPr>
              <w:pStyle w:val="26"/>
              <w:spacing w:line="360" w:lineRule="auto"/>
              <w:ind w:left="0" w:leftChars="0" w:firstLine="420" w:firstLineChars="200"/>
              <w:rPr>
                <w:rFonts w:ascii="Times New Roman" w:hAnsi="Times New Roman"/>
                <w:lang w:eastAsia="zh-CN"/>
              </w:rPr>
            </w:pPr>
            <w:r>
              <w:rPr>
                <w:rFonts w:ascii="Times New Roman" w:hAnsi="Times New Roman"/>
                <w:lang w:eastAsia="zh-CN"/>
              </w:rPr>
              <w:t>项目部分工件按照要求需要进行表面打磨加工至光滑面，在研磨抛光过程中需要用到研磨石和</w:t>
            </w:r>
            <w:r>
              <w:rPr>
                <w:rFonts w:hint="eastAsia" w:ascii="Times New Roman" w:hAnsi="Times New Roman"/>
                <w:lang w:eastAsia="zh-CN"/>
              </w:rPr>
              <w:t>自来水</w:t>
            </w:r>
            <w:r>
              <w:rPr>
                <w:rFonts w:ascii="Times New Roman" w:hAnsi="Times New Roman"/>
                <w:lang w:eastAsia="zh-CN"/>
              </w:rPr>
              <w:t>，研磨用水</w:t>
            </w:r>
            <w:r>
              <w:rPr>
                <w:rFonts w:hint="eastAsia" w:ascii="Times New Roman" w:hAnsi="Times New Roman"/>
                <w:lang w:eastAsia="zh-CN"/>
              </w:rPr>
              <w:t>经配套的过滤设施过滤后循环使用</w:t>
            </w:r>
            <w:r>
              <w:rPr>
                <w:rFonts w:ascii="Times New Roman" w:hAnsi="Times New Roman"/>
                <w:lang w:eastAsia="zh-CN"/>
              </w:rPr>
              <w:t>，</w:t>
            </w:r>
            <w:r>
              <w:rPr>
                <w:rFonts w:hint="eastAsia" w:ascii="Times New Roman" w:hAnsi="Times New Roman"/>
                <w:lang w:eastAsia="zh-CN"/>
              </w:rPr>
              <w:t>研磨用水循环量为0.6m</w:t>
            </w:r>
            <w:r>
              <w:rPr>
                <w:rFonts w:hint="eastAsia" w:ascii="Times New Roman" w:hAnsi="Times New Roman"/>
                <w:vertAlign w:val="superscript"/>
                <w:lang w:eastAsia="zh-CN"/>
              </w:rPr>
              <w:t>3</w:t>
            </w:r>
            <w:r>
              <w:rPr>
                <w:rFonts w:hint="eastAsia" w:ascii="Times New Roman" w:hAnsi="Times New Roman"/>
                <w:lang w:eastAsia="zh-CN"/>
              </w:rPr>
              <w:t>/d，</w:t>
            </w:r>
            <w:r>
              <w:rPr>
                <w:rFonts w:ascii="Times New Roman" w:hAnsi="Times New Roman"/>
                <w:lang w:eastAsia="zh-CN"/>
              </w:rPr>
              <w:t>由于使用过程中研磨水会蒸发损耗</w:t>
            </w:r>
            <w:r>
              <w:rPr>
                <w:rFonts w:hint="eastAsia" w:ascii="Times New Roman" w:hAnsi="Times New Roman"/>
                <w:lang w:eastAsia="zh-CN"/>
              </w:rPr>
              <w:t>，蒸发损耗量占循环水量的5%，为0.03m</w:t>
            </w:r>
            <w:r>
              <w:rPr>
                <w:rFonts w:hint="eastAsia" w:ascii="Times New Roman" w:hAnsi="Times New Roman"/>
                <w:vertAlign w:val="superscript"/>
                <w:lang w:eastAsia="zh-CN"/>
              </w:rPr>
              <w:t>3</w:t>
            </w:r>
            <w:r>
              <w:rPr>
                <w:rFonts w:hint="eastAsia" w:ascii="Times New Roman" w:hAnsi="Times New Roman"/>
                <w:lang w:eastAsia="zh-CN"/>
              </w:rPr>
              <w:t>/d</w:t>
            </w:r>
            <w:r>
              <w:rPr>
                <w:rFonts w:ascii="Times New Roman" w:hAnsi="Times New Roman"/>
                <w:lang w:eastAsia="zh-CN"/>
              </w:rPr>
              <w:t>，定期加注</w:t>
            </w:r>
            <w:r>
              <w:rPr>
                <w:rFonts w:hint="eastAsia" w:ascii="Times New Roman" w:hAnsi="Times New Roman"/>
                <w:lang w:eastAsia="zh-CN"/>
              </w:rPr>
              <w:t>自来</w:t>
            </w:r>
            <w:r>
              <w:rPr>
                <w:rFonts w:ascii="Times New Roman" w:hAnsi="Times New Roman"/>
                <w:lang w:eastAsia="zh-CN"/>
              </w:rPr>
              <w:t>水，研磨用水</w:t>
            </w:r>
            <w:r>
              <w:rPr>
                <w:rFonts w:hint="eastAsia" w:ascii="Times New Roman" w:hAnsi="Times New Roman"/>
                <w:lang w:eastAsia="zh-CN"/>
              </w:rPr>
              <w:t>补充</w:t>
            </w:r>
            <w:r>
              <w:rPr>
                <w:rFonts w:ascii="Times New Roman" w:hAnsi="Times New Roman"/>
                <w:lang w:eastAsia="zh-CN"/>
              </w:rPr>
              <w:t>量约0.</w:t>
            </w:r>
            <w:r>
              <w:rPr>
                <w:rFonts w:hint="eastAsia" w:ascii="Times New Roman" w:hAnsi="Times New Roman"/>
                <w:lang w:eastAsia="zh-CN"/>
              </w:rPr>
              <w:t>03</w:t>
            </w:r>
            <w:r>
              <w:rPr>
                <w:rFonts w:ascii="Times New Roman" w:hAnsi="Times New Roman"/>
                <w:lang w:eastAsia="zh-CN"/>
              </w:rPr>
              <w:t>m</w:t>
            </w:r>
            <w:r>
              <w:rPr>
                <w:rFonts w:ascii="Times New Roman" w:hAnsi="Times New Roman"/>
                <w:vertAlign w:val="superscript"/>
                <w:lang w:eastAsia="zh-CN"/>
              </w:rPr>
              <w:t>3</w:t>
            </w:r>
            <w:r>
              <w:rPr>
                <w:rFonts w:ascii="Times New Roman" w:hAnsi="Times New Roman"/>
                <w:lang w:eastAsia="zh-CN"/>
              </w:rPr>
              <w:t>/d（</w:t>
            </w:r>
            <w:r>
              <w:rPr>
                <w:rFonts w:hint="eastAsia" w:ascii="Times New Roman" w:hAnsi="Times New Roman"/>
                <w:lang w:eastAsia="zh-CN"/>
              </w:rPr>
              <w:t>9</w:t>
            </w:r>
            <w:r>
              <w:rPr>
                <w:rFonts w:ascii="Times New Roman" w:hAnsi="Times New Roman"/>
                <w:lang w:eastAsia="zh-CN"/>
              </w:rPr>
              <w:t>m</w:t>
            </w:r>
            <w:r>
              <w:rPr>
                <w:rFonts w:ascii="Times New Roman" w:hAnsi="Times New Roman"/>
                <w:vertAlign w:val="superscript"/>
                <w:lang w:eastAsia="zh-CN"/>
              </w:rPr>
              <w:t>3</w:t>
            </w:r>
            <w:r>
              <w:rPr>
                <w:rFonts w:ascii="Times New Roman" w:hAnsi="Times New Roman"/>
                <w:lang w:eastAsia="zh-CN"/>
              </w:rPr>
              <w:t>/a）左右。</w:t>
            </w:r>
          </w:p>
          <w:p>
            <w:pPr>
              <w:numPr>
                <w:ilvl w:val="0"/>
                <w:numId w:val="14"/>
              </w:numPr>
              <w:spacing w:line="360" w:lineRule="auto"/>
              <w:ind w:firstLine="422" w:firstLineChars="200"/>
              <w:rPr>
                <w:b/>
                <w:bCs/>
              </w:rPr>
            </w:pPr>
            <w:r>
              <w:rPr>
                <w:b/>
                <w:bCs/>
              </w:rPr>
              <w:t>水喷淋用水</w:t>
            </w:r>
          </w:p>
          <w:p>
            <w:pPr>
              <w:pStyle w:val="26"/>
              <w:spacing w:line="360" w:lineRule="auto"/>
              <w:ind w:left="0" w:leftChars="0" w:firstLine="420" w:firstLineChars="200"/>
              <w:rPr>
                <w:lang w:eastAsia="zh-CN"/>
              </w:rPr>
            </w:pPr>
            <w:r>
              <w:rPr>
                <w:rFonts w:ascii="Times New Roman" w:hAnsi="Times New Roman"/>
                <w:lang w:eastAsia="zh-CN"/>
              </w:rPr>
              <w:t>本项目拟设置</w:t>
            </w:r>
            <w:r>
              <w:rPr>
                <w:rFonts w:hint="eastAsia" w:ascii="Times New Roman" w:hAnsi="Times New Roman"/>
                <w:lang w:eastAsia="zh-CN"/>
              </w:rPr>
              <w:t>2</w:t>
            </w:r>
            <w:r>
              <w:rPr>
                <w:rFonts w:ascii="Times New Roman" w:hAnsi="Times New Roman"/>
                <w:lang w:eastAsia="zh-CN"/>
              </w:rPr>
              <w:t>台水喷淋塔作为废气处理设施，液气比一般为2.0-2.5L/m</w:t>
            </w:r>
            <w:r>
              <w:rPr>
                <w:rFonts w:ascii="Times New Roman" w:hAnsi="Times New Roman"/>
                <w:vertAlign w:val="superscript"/>
                <w:lang w:eastAsia="zh-CN"/>
              </w:rPr>
              <w:t>3</w:t>
            </w:r>
            <w:r>
              <w:rPr>
                <w:rFonts w:ascii="Times New Roman" w:hAnsi="Times New Roman"/>
                <w:lang w:eastAsia="zh-CN"/>
              </w:rPr>
              <w:t>，本项目取2.5L/m</w:t>
            </w:r>
            <w:r>
              <w:rPr>
                <w:rFonts w:ascii="Times New Roman" w:hAnsi="Times New Roman"/>
                <w:vertAlign w:val="superscript"/>
                <w:lang w:eastAsia="zh-CN"/>
              </w:rPr>
              <w:t>3</w:t>
            </w:r>
            <w:r>
              <w:rPr>
                <w:rFonts w:ascii="Times New Roman" w:hAnsi="Times New Roman"/>
                <w:lang w:eastAsia="zh-CN"/>
              </w:rPr>
              <w:t>，对应风机风量分别为</w:t>
            </w:r>
            <w:r>
              <w:rPr>
                <w:rFonts w:hint="eastAsia" w:ascii="Times New Roman" w:hAnsi="Times New Roman"/>
                <w:lang w:eastAsia="zh-CN"/>
              </w:rPr>
              <w:t>11000</w:t>
            </w:r>
            <w:r>
              <w:rPr>
                <w:rFonts w:ascii="Times New Roman" w:hAnsi="Times New Roman"/>
                <w:lang w:eastAsia="zh-CN"/>
              </w:rPr>
              <w:t>m</w:t>
            </w:r>
            <w:r>
              <w:rPr>
                <w:rFonts w:ascii="Times New Roman" w:hAnsi="Times New Roman"/>
                <w:vertAlign w:val="superscript"/>
                <w:lang w:eastAsia="zh-CN"/>
              </w:rPr>
              <w:t>3</w:t>
            </w:r>
            <w:r>
              <w:rPr>
                <w:rFonts w:ascii="Times New Roman" w:hAnsi="Times New Roman"/>
                <w:lang w:eastAsia="zh-CN"/>
              </w:rPr>
              <w:t>/h、2200m</w:t>
            </w:r>
            <w:r>
              <w:rPr>
                <w:rFonts w:ascii="Times New Roman" w:hAnsi="Times New Roman"/>
                <w:vertAlign w:val="superscript"/>
                <w:lang w:eastAsia="zh-CN"/>
              </w:rPr>
              <w:t>3</w:t>
            </w:r>
            <w:r>
              <w:rPr>
                <w:rFonts w:ascii="Times New Roman" w:hAnsi="Times New Roman"/>
                <w:lang w:eastAsia="zh-CN"/>
              </w:rPr>
              <w:t>/h，因此总循环水量为</w:t>
            </w:r>
            <w:r>
              <w:rPr>
                <w:rFonts w:hint="eastAsia" w:ascii="Times New Roman" w:hAnsi="Times New Roman"/>
                <w:lang w:eastAsia="zh-CN"/>
              </w:rPr>
              <w:t>33</w:t>
            </w:r>
            <w:r>
              <w:rPr>
                <w:rFonts w:ascii="Times New Roman" w:hAnsi="Times New Roman"/>
                <w:lang w:eastAsia="zh-CN"/>
              </w:rPr>
              <w:t>m</w:t>
            </w:r>
            <w:r>
              <w:rPr>
                <w:rFonts w:ascii="Times New Roman" w:hAnsi="Times New Roman"/>
                <w:vertAlign w:val="superscript"/>
                <w:lang w:eastAsia="zh-CN"/>
              </w:rPr>
              <w:t>3</w:t>
            </w:r>
            <w:r>
              <w:rPr>
                <w:rFonts w:ascii="Times New Roman" w:hAnsi="Times New Roman"/>
                <w:lang w:eastAsia="zh-CN"/>
              </w:rPr>
              <w:t>/h，配套水箱水量为1.2m</w:t>
            </w:r>
            <w:r>
              <w:rPr>
                <w:rFonts w:ascii="Times New Roman" w:hAnsi="Times New Roman"/>
                <w:vertAlign w:val="superscript"/>
                <w:lang w:eastAsia="zh-CN"/>
              </w:rPr>
              <w:t>3</w:t>
            </w:r>
            <w:r>
              <w:rPr>
                <w:rFonts w:ascii="Times New Roman" w:hAnsi="Times New Roman"/>
                <w:lang w:eastAsia="zh-CN"/>
              </w:rPr>
              <w:t>，喷淋过程中水损耗量为</w:t>
            </w:r>
            <w:r>
              <w:rPr>
                <w:rFonts w:hint="eastAsia" w:ascii="Times New Roman" w:hAnsi="Times New Roman"/>
                <w:lang w:eastAsia="zh-CN"/>
              </w:rPr>
              <w:t>循环水量的</w:t>
            </w:r>
            <w:r>
              <w:rPr>
                <w:rFonts w:ascii="Times New Roman" w:hAnsi="Times New Roman"/>
                <w:lang w:eastAsia="zh-CN"/>
              </w:rPr>
              <w:t>2%，则</w:t>
            </w:r>
            <w:r>
              <w:rPr>
                <w:rFonts w:hint="eastAsia" w:ascii="Times New Roman" w:hAnsi="Times New Roman"/>
                <w:lang w:eastAsia="zh-CN"/>
              </w:rPr>
              <w:t>水箱的</w:t>
            </w:r>
            <w:r>
              <w:rPr>
                <w:rFonts w:ascii="Times New Roman" w:hAnsi="Times New Roman"/>
                <w:lang w:eastAsia="zh-CN"/>
              </w:rPr>
              <w:t>补充水量为</w:t>
            </w:r>
            <w:r>
              <w:rPr>
                <w:rFonts w:hint="eastAsia" w:ascii="Times New Roman" w:hAnsi="Times New Roman"/>
                <w:lang w:eastAsia="zh-CN"/>
              </w:rPr>
              <w:t>5.28</w:t>
            </w:r>
            <w:r>
              <w:rPr>
                <w:rFonts w:ascii="Times New Roman" w:hAnsi="Times New Roman"/>
                <w:lang w:eastAsia="zh-CN"/>
              </w:rPr>
              <w:t>m</w:t>
            </w:r>
            <w:r>
              <w:rPr>
                <w:rFonts w:ascii="Times New Roman" w:hAnsi="Times New Roman"/>
                <w:vertAlign w:val="superscript"/>
                <w:lang w:eastAsia="zh-CN"/>
              </w:rPr>
              <w:t>3</w:t>
            </w:r>
            <w:r>
              <w:rPr>
                <w:rFonts w:ascii="Times New Roman" w:hAnsi="Times New Roman"/>
                <w:lang w:eastAsia="zh-CN"/>
              </w:rPr>
              <w:t>/d（</w:t>
            </w:r>
            <w:r>
              <w:rPr>
                <w:rFonts w:hint="eastAsia" w:ascii="Times New Roman" w:hAnsi="Times New Roman"/>
                <w:lang w:eastAsia="zh-CN"/>
              </w:rPr>
              <w:t>1584</w:t>
            </w:r>
            <w:r>
              <w:rPr>
                <w:rFonts w:ascii="Times New Roman" w:hAnsi="Times New Roman"/>
                <w:lang w:eastAsia="zh-CN"/>
              </w:rPr>
              <w:t>m</w:t>
            </w:r>
            <w:r>
              <w:rPr>
                <w:rFonts w:ascii="Times New Roman" w:hAnsi="Times New Roman"/>
                <w:vertAlign w:val="superscript"/>
                <w:lang w:eastAsia="zh-CN"/>
              </w:rPr>
              <w:t>3</w:t>
            </w:r>
            <w:r>
              <w:rPr>
                <w:rFonts w:ascii="Times New Roman" w:hAnsi="Times New Roman"/>
                <w:lang w:eastAsia="zh-CN"/>
              </w:rPr>
              <w:t>/a），</w:t>
            </w:r>
            <w:r>
              <w:rPr>
                <w:rFonts w:hint="eastAsia" w:ascii="Times New Roman" w:hAnsi="Times New Roman"/>
                <w:lang w:eastAsia="zh-CN"/>
              </w:rPr>
              <w:t>喷淋水每季度更换一次，则更换废水总量为9.6m</w:t>
            </w:r>
            <w:r>
              <w:rPr>
                <w:rFonts w:hint="eastAsia" w:ascii="Times New Roman" w:hAnsi="Times New Roman"/>
                <w:vertAlign w:val="superscript"/>
                <w:lang w:eastAsia="zh-CN"/>
              </w:rPr>
              <w:t>3</w:t>
            </w:r>
            <w:r>
              <w:rPr>
                <w:rFonts w:hint="eastAsia" w:ascii="Times New Roman" w:hAnsi="Times New Roman"/>
                <w:lang w:eastAsia="zh-CN"/>
              </w:rPr>
              <w:t>/a，产生的喷淋废水委托有资质单位处置，不外排。</w:t>
            </w:r>
          </w:p>
          <w:p>
            <w:pPr>
              <w:numPr>
                <w:ilvl w:val="0"/>
                <w:numId w:val="14"/>
              </w:numPr>
              <w:adjustRightInd w:val="0"/>
              <w:snapToGrid w:val="0"/>
              <w:spacing w:line="360" w:lineRule="auto"/>
              <w:ind w:firstLine="422" w:firstLineChars="200"/>
              <w:rPr>
                <w:b/>
                <w:bCs/>
              </w:rPr>
            </w:pPr>
            <w:r>
              <w:rPr>
                <w:b/>
                <w:bCs/>
              </w:rPr>
              <w:t>员工生活用水</w:t>
            </w:r>
          </w:p>
          <w:p>
            <w:pPr>
              <w:pStyle w:val="26"/>
              <w:spacing w:line="360" w:lineRule="auto"/>
              <w:ind w:left="0" w:leftChars="0" w:firstLine="420" w:firstLineChars="200"/>
              <w:rPr>
                <w:rFonts w:ascii="Times New Roman" w:hAnsi="Times New Roman"/>
                <w:lang w:eastAsia="zh-CN"/>
              </w:rPr>
            </w:pPr>
            <w:r>
              <w:rPr>
                <w:rFonts w:ascii="Times New Roman" w:hAnsi="Times New Roman"/>
                <w:lang w:eastAsia="zh-CN"/>
              </w:rPr>
              <w:t>项目员工20人，</w:t>
            </w:r>
            <w:r>
              <w:rPr>
                <w:rStyle w:val="112"/>
                <w:rFonts w:hint="eastAsia" w:ascii="Times New Roman" w:hAnsi="Times New Roman"/>
                <w:lang w:eastAsia="zh-CN"/>
              </w:rPr>
              <w:t>在厂内住宿，不就餐</w:t>
            </w:r>
            <w:r>
              <w:rPr>
                <w:rFonts w:ascii="Times New Roman" w:hAnsi="Times New Roman"/>
                <w:lang w:eastAsia="zh-CN"/>
              </w:rPr>
              <w:t>，参照《用水定额 第3部分：生活》（DB44/T1461.3-2021），国家机构（92）-国家行政机构（922）-办公楼-</w:t>
            </w:r>
            <w:r>
              <w:rPr>
                <w:rFonts w:hint="eastAsia" w:ascii="Times New Roman" w:hAnsi="Times New Roman"/>
                <w:lang w:eastAsia="zh-CN"/>
              </w:rPr>
              <w:t>有</w:t>
            </w:r>
            <w:r>
              <w:rPr>
                <w:rFonts w:ascii="Times New Roman" w:hAnsi="Times New Roman"/>
                <w:lang w:eastAsia="zh-CN"/>
              </w:rPr>
              <w:t>食堂和浴室用水定额为</w:t>
            </w:r>
            <w:r>
              <w:rPr>
                <w:rFonts w:hint="eastAsia" w:ascii="Times New Roman" w:hAnsi="Times New Roman"/>
                <w:lang w:eastAsia="zh-CN"/>
              </w:rPr>
              <w:t>15</w:t>
            </w:r>
            <w:r>
              <w:rPr>
                <w:rFonts w:ascii="Times New Roman" w:hAnsi="Times New Roman"/>
                <w:lang w:eastAsia="zh-CN"/>
              </w:rPr>
              <w:t>m</w:t>
            </w:r>
            <w:r>
              <w:rPr>
                <w:rFonts w:ascii="Times New Roman" w:hAnsi="Times New Roman"/>
                <w:vertAlign w:val="superscript"/>
                <w:lang w:eastAsia="zh-CN"/>
              </w:rPr>
              <w:t>3</w:t>
            </w:r>
            <w:r>
              <w:rPr>
                <w:rFonts w:ascii="Times New Roman" w:hAnsi="Times New Roman"/>
                <w:lang w:eastAsia="zh-CN"/>
              </w:rPr>
              <w:t>/人•a，则项目年用生活用水量为</w:t>
            </w:r>
            <w:r>
              <w:rPr>
                <w:rFonts w:hint="eastAsia" w:ascii="Times New Roman" w:hAnsi="Times New Roman"/>
                <w:lang w:eastAsia="zh-CN"/>
              </w:rPr>
              <w:t>3</w:t>
            </w:r>
            <w:r>
              <w:rPr>
                <w:rFonts w:ascii="Times New Roman" w:hAnsi="Times New Roman"/>
                <w:lang w:eastAsia="zh-CN"/>
              </w:rPr>
              <w:t>00m</w:t>
            </w:r>
            <w:r>
              <w:rPr>
                <w:rFonts w:ascii="Times New Roman" w:hAnsi="Times New Roman"/>
                <w:vertAlign w:val="superscript"/>
                <w:lang w:eastAsia="zh-CN"/>
              </w:rPr>
              <w:t>3</w:t>
            </w:r>
            <w:r>
              <w:rPr>
                <w:rFonts w:ascii="Times New Roman" w:hAnsi="Times New Roman"/>
                <w:lang w:eastAsia="zh-CN"/>
              </w:rPr>
              <w:t>/a，</w:t>
            </w:r>
            <w:r>
              <w:rPr>
                <w:rFonts w:hint="eastAsia" w:ascii="Times New Roman" w:hAnsi="Times New Roman"/>
                <w:lang w:eastAsia="zh-CN"/>
              </w:rPr>
              <w:t>1</w:t>
            </w:r>
            <w:r>
              <w:rPr>
                <w:rFonts w:ascii="Times New Roman" w:hAnsi="Times New Roman"/>
                <w:lang w:eastAsia="zh-CN"/>
              </w:rPr>
              <w:t>m</w:t>
            </w:r>
            <w:r>
              <w:rPr>
                <w:rFonts w:ascii="Times New Roman" w:hAnsi="Times New Roman"/>
                <w:vertAlign w:val="superscript"/>
                <w:lang w:eastAsia="zh-CN"/>
              </w:rPr>
              <w:t>3</w:t>
            </w:r>
            <w:r>
              <w:rPr>
                <w:rFonts w:ascii="Times New Roman" w:hAnsi="Times New Roman"/>
                <w:lang w:eastAsia="zh-CN"/>
              </w:rPr>
              <w:t>/d（以300天计算）。</w:t>
            </w:r>
          </w:p>
          <w:p>
            <w:pPr>
              <w:widowControl/>
              <w:spacing w:line="360" w:lineRule="auto"/>
              <w:ind w:firstLine="420" w:firstLineChars="200"/>
              <w:rPr>
                <w:bCs/>
              </w:rPr>
            </w:pPr>
            <w:r>
              <w:t>项目不外排生产废水，主要外排废水为员工生活污水，生活污水产污系数按0.9计，则项目生活污水产生量为</w:t>
            </w:r>
            <w:r>
              <w:rPr>
                <w:rFonts w:hint="eastAsia"/>
              </w:rPr>
              <w:t>270</w:t>
            </w:r>
            <w:r>
              <w:t>m</w:t>
            </w:r>
            <w:r>
              <w:rPr>
                <w:vertAlign w:val="superscript"/>
              </w:rPr>
              <w:t>3</w:t>
            </w:r>
            <w:r>
              <w:t>/a，生活污水经三级化粪池预处理后，经市政集污管网</w:t>
            </w:r>
            <w:r>
              <w:rPr>
                <w:bCs/>
              </w:rPr>
              <w:t>排入</w:t>
            </w:r>
            <w:r>
              <w:t>园洲镇第三污水处理厂处理达标后排入新村排渠。</w:t>
            </w:r>
          </w:p>
          <w:p>
            <w:pPr>
              <w:pStyle w:val="26"/>
              <w:spacing w:line="360" w:lineRule="auto"/>
              <w:ind w:left="0" w:leftChars="0" w:firstLine="420" w:firstLineChars="200"/>
              <w:rPr>
                <w:rFonts w:ascii="Times New Roman" w:hAnsi="Times New Roman"/>
                <w:lang w:eastAsia="zh-CN"/>
              </w:rPr>
            </w:pPr>
            <w:r>
              <w:rPr>
                <w:rFonts w:ascii="Times New Roman" w:hAnsi="Times New Roman"/>
                <w:lang w:eastAsia="zh-CN"/>
              </w:rPr>
              <w:t>项目水平衡如下图所示。</w:t>
            </w:r>
          </w:p>
          <w:p>
            <w:pPr>
              <w:pStyle w:val="2"/>
              <w:rPr>
                <w:rFonts w:ascii="Times New Roman" w:hAnsi="Times New Roman" w:cs="Times New Roman"/>
                <w:color w:val="auto"/>
              </w:rPr>
            </w:pPr>
            <w:r>
              <w:rPr>
                <w:rFonts w:ascii="Times New Roman" w:hAnsi="Times New Roman" w:cs="Times New Roman"/>
                <w:b/>
                <w:color w:val="auto"/>
                <w:szCs w:val="21"/>
              </w:rPr>
              <mc:AlternateContent>
                <mc:Choice Requires="wpc">
                  <w:drawing>
                    <wp:inline distT="0" distB="0" distL="114300" distR="114300">
                      <wp:extent cx="5197475" cy="4016375"/>
                      <wp:effectExtent l="0" t="0" r="0" b="0"/>
                      <wp:docPr id="173" name="画布 173"/>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13" name="矩形 13"/>
                              <wps:cNvSpPr/>
                              <wps:spPr>
                                <a:xfrm>
                                  <a:off x="35999" y="1868805"/>
                                  <a:ext cx="386080" cy="604520"/>
                                </a:xfrm>
                                <a:prstGeom prst="rect">
                                  <a:avLst/>
                                </a:prstGeom>
                                <a:noFill/>
                                <a:ln>
                                  <a:noFill/>
                                </a:ln>
                              </wps:spPr>
                              <wps:txbx>
                                <w:txbxContent>
                                  <w:p>
                                    <w:pPr>
                                      <w:adjustRightInd w:val="0"/>
                                      <w:snapToGrid w:val="0"/>
                                      <w:jc w:val="center"/>
                                    </w:pPr>
                                    <w:r>
                                      <w:rPr>
                                        <w:rFonts w:hint="eastAsia"/>
                                      </w:rPr>
                                      <w:t>新鲜水</w:t>
                                    </w:r>
                                  </w:p>
                                </w:txbxContent>
                              </wps:txbx>
                              <wps:bodyPr upright="1"/>
                            </wps:wsp>
                            <wps:wsp>
                              <wps:cNvPr id="14" name="直接连接符 14"/>
                              <wps:cNvCnPr/>
                              <wps:spPr>
                                <a:xfrm>
                                  <a:off x="457639" y="2164715"/>
                                  <a:ext cx="502285" cy="635"/>
                                </a:xfrm>
                                <a:prstGeom prst="line">
                                  <a:avLst/>
                                </a:prstGeom>
                                <a:ln w="9525" cap="flat" cmpd="sng">
                                  <a:solidFill>
                                    <a:srgbClr val="000000"/>
                                  </a:solidFill>
                                  <a:prstDash val="solid"/>
                                  <a:headEnd type="none" w="med" len="med"/>
                                  <a:tailEnd type="triangle" w="med" len="med"/>
                                </a:ln>
                              </wps:spPr>
                              <wps:bodyPr/>
                            </wps:wsp>
                            <wps:wsp>
                              <wps:cNvPr id="15" name="矩形 15"/>
                              <wps:cNvSpPr/>
                              <wps:spPr>
                                <a:xfrm>
                                  <a:off x="421005" y="1863090"/>
                                  <a:ext cx="963295" cy="273050"/>
                                </a:xfrm>
                                <a:prstGeom prst="rect">
                                  <a:avLst/>
                                </a:prstGeom>
                                <a:noFill/>
                                <a:ln>
                                  <a:noFill/>
                                </a:ln>
                              </wps:spPr>
                              <wps:txbx>
                                <w:txbxContent>
                                  <w:p>
                                    <w:pPr>
                                      <w:adjustRightInd w:val="0"/>
                                      <w:snapToGrid w:val="0"/>
                                    </w:pPr>
                                    <w:r>
                                      <w:rPr>
                                        <w:rFonts w:hint="eastAsia"/>
                                      </w:rPr>
                                      <w:t>9.332</w:t>
                                    </w:r>
                                  </w:p>
                                  <w:p>
                                    <w:pPr>
                                      <w:pStyle w:val="2"/>
                                      <w:jc w:val="both"/>
                                    </w:pPr>
                                  </w:p>
                                </w:txbxContent>
                              </wps:txbx>
                              <wps:bodyPr upright="1"/>
                            </wps:wsp>
                            <wps:wsp>
                              <wps:cNvPr id="39" name="矩形 39"/>
                              <wps:cNvSpPr/>
                              <wps:spPr>
                                <a:xfrm>
                                  <a:off x="1041839" y="508635"/>
                                  <a:ext cx="601980" cy="273050"/>
                                </a:xfrm>
                                <a:prstGeom prst="rect">
                                  <a:avLst/>
                                </a:prstGeom>
                                <a:noFill/>
                                <a:ln>
                                  <a:noFill/>
                                </a:ln>
                              </wps:spPr>
                              <wps:txbx>
                                <w:txbxContent>
                                  <w:p>
                                    <w:pPr>
                                      <w:adjustRightInd w:val="0"/>
                                      <w:snapToGrid w:val="0"/>
                                    </w:pPr>
                                    <w:r>
                                      <w:rPr>
                                        <w:rFonts w:hint="eastAsia"/>
                                      </w:rPr>
                                      <w:t>2.67</w:t>
                                    </w:r>
                                  </w:p>
                                </w:txbxContent>
                              </wps:txbx>
                              <wps:bodyPr upright="1"/>
                            </wps:wsp>
                            <wps:wsp>
                              <wps:cNvPr id="75" name="直接连接符 75"/>
                              <wps:cNvCnPr/>
                              <wps:spPr>
                                <a:xfrm>
                                  <a:off x="972624" y="831850"/>
                                  <a:ext cx="614045" cy="635"/>
                                </a:xfrm>
                                <a:prstGeom prst="line">
                                  <a:avLst/>
                                </a:prstGeom>
                                <a:ln w="9525" cap="flat" cmpd="sng">
                                  <a:solidFill>
                                    <a:srgbClr val="000000"/>
                                  </a:solidFill>
                                  <a:prstDash val="solid"/>
                                  <a:headEnd type="none" w="med" len="med"/>
                                  <a:tailEnd type="triangle" w="med" len="med"/>
                                </a:ln>
                              </wps:spPr>
                              <wps:bodyPr/>
                            </wps:wsp>
                            <wps:wsp>
                              <wps:cNvPr id="76" name="矩形 76"/>
                              <wps:cNvSpPr/>
                              <wps:spPr>
                                <a:xfrm>
                                  <a:off x="1613974" y="681355"/>
                                  <a:ext cx="88011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脱模剂用水</w:t>
                                    </w:r>
                                  </w:p>
                                </w:txbxContent>
                              </wps:txbx>
                              <wps:bodyPr upright="1"/>
                            </wps:wsp>
                            <wps:wsp>
                              <wps:cNvPr id="91" name="直接连接符 91"/>
                              <wps:cNvCnPr/>
                              <wps:spPr>
                                <a:xfrm>
                                  <a:off x="980244" y="1548130"/>
                                  <a:ext cx="612140" cy="635"/>
                                </a:xfrm>
                                <a:prstGeom prst="line">
                                  <a:avLst/>
                                </a:prstGeom>
                                <a:ln w="9525" cap="flat" cmpd="sng">
                                  <a:solidFill>
                                    <a:srgbClr val="000000"/>
                                  </a:solidFill>
                                  <a:prstDash val="solid"/>
                                  <a:headEnd type="none" w="med" len="med"/>
                                  <a:tailEnd type="triangle" w="med" len="med"/>
                                </a:ln>
                              </wps:spPr>
                              <wps:bodyPr/>
                            </wps:wsp>
                            <wps:wsp>
                              <wps:cNvPr id="160" name="矩形 160"/>
                              <wps:cNvSpPr/>
                              <wps:spPr>
                                <a:xfrm>
                                  <a:off x="2241989" y="302260"/>
                                  <a:ext cx="791210" cy="266700"/>
                                </a:xfrm>
                                <a:prstGeom prst="rect">
                                  <a:avLst/>
                                </a:prstGeom>
                                <a:noFill/>
                                <a:ln>
                                  <a:noFill/>
                                </a:ln>
                              </wps:spPr>
                              <wps:txbx>
                                <w:txbxContent>
                                  <w:p>
                                    <w:pPr>
                                      <w:adjustRightInd w:val="0"/>
                                      <w:snapToGrid w:val="0"/>
                                    </w:pPr>
                                    <w:r>
                                      <w:rPr>
                                        <w:rFonts w:hint="eastAsia"/>
                                      </w:rPr>
                                      <w:t>2.67</w:t>
                                    </w:r>
                                  </w:p>
                                </w:txbxContent>
                              </wps:txbx>
                              <wps:bodyPr upright="1"/>
                            </wps:wsp>
                            <wps:wsp>
                              <wps:cNvPr id="163" name="矩形 163"/>
                              <wps:cNvSpPr/>
                              <wps:spPr>
                                <a:xfrm>
                                  <a:off x="2915724" y="3427730"/>
                                  <a:ext cx="875665" cy="26670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三级化粪池</w:t>
                                    </w:r>
                                  </w:p>
                                </w:txbxContent>
                              </wps:txbx>
                              <wps:bodyPr upright="1"/>
                            </wps:wsp>
                            <wps:wsp>
                              <wps:cNvPr id="168" name="矩形 168"/>
                              <wps:cNvSpPr/>
                              <wps:spPr>
                                <a:xfrm>
                                  <a:off x="1078034" y="1254760"/>
                                  <a:ext cx="539750" cy="267335"/>
                                </a:xfrm>
                                <a:prstGeom prst="rect">
                                  <a:avLst/>
                                </a:prstGeom>
                                <a:noFill/>
                                <a:ln>
                                  <a:noFill/>
                                </a:ln>
                              </wps:spPr>
                              <wps:txbx>
                                <w:txbxContent>
                                  <w:p>
                                    <w:pPr>
                                      <w:adjustRightInd w:val="0"/>
                                      <w:snapToGrid w:val="0"/>
                                    </w:pPr>
                                    <w:r>
                                      <w:rPr>
                                        <w:rFonts w:hint="eastAsia"/>
                                      </w:rPr>
                                      <w:t>0.32</w:t>
                                    </w:r>
                                  </w:p>
                                </w:txbxContent>
                              </wps:txbx>
                              <wps:bodyPr upright="1"/>
                            </wps:wsp>
                            <wps:wsp>
                              <wps:cNvPr id="170" name="直接连接符 170"/>
                              <wps:cNvCnPr/>
                              <wps:spPr>
                                <a:xfrm flipV="1">
                                  <a:off x="2495354" y="1546225"/>
                                  <a:ext cx="389255" cy="635"/>
                                </a:xfrm>
                                <a:prstGeom prst="line">
                                  <a:avLst/>
                                </a:prstGeom>
                                <a:ln w="9525" cap="flat" cmpd="sng">
                                  <a:solidFill>
                                    <a:srgbClr val="000000"/>
                                  </a:solidFill>
                                  <a:prstDash val="solid"/>
                                  <a:headEnd type="none" w="med" len="med"/>
                                  <a:tailEnd type="none" w="med" len="med"/>
                                </a:ln>
                              </wps:spPr>
                              <wps:bodyPr/>
                            </wps:wsp>
                            <wps:wsp>
                              <wps:cNvPr id="171" name="直接连接符 171"/>
                              <wps:cNvCnPr/>
                              <wps:spPr>
                                <a:xfrm>
                                  <a:off x="976434" y="825500"/>
                                  <a:ext cx="1270" cy="2725420"/>
                                </a:xfrm>
                                <a:prstGeom prst="line">
                                  <a:avLst/>
                                </a:prstGeom>
                                <a:ln w="9525" cap="flat" cmpd="sng">
                                  <a:solidFill>
                                    <a:srgbClr val="000000"/>
                                  </a:solidFill>
                                  <a:prstDash val="solid"/>
                                  <a:headEnd type="none" w="med" len="med"/>
                                  <a:tailEnd type="none" w="med" len="med"/>
                                </a:ln>
                              </wps:spPr>
                              <wps:bodyPr/>
                            </wps:wsp>
                            <wps:wsp>
                              <wps:cNvPr id="174" name="曲线连接符 174"/>
                              <wps:cNvCnPr/>
                              <wps:spPr>
                                <a:xfrm flipV="1">
                                  <a:off x="1895279" y="560705"/>
                                  <a:ext cx="368300" cy="114300"/>
                                </a:xfrm>
                                <a:prstGeom prst="curvedConnector3">
                                  <a:avLst>
                                    <a:gd name="adj1" fmla="val 50083"/>
                                  </a:avLst>
                                </a:prstGeom>
                                <a:ln w="9525" cap="flat" cmpd="sng">
                                  <a:solidFill>
                                    <a:srgbClr val="000000"/>
                                  </a:solidFill>
                                  <a:prstDash val="dash"/>
                                  <a:headEnd type="none" w="med" len="med"/>
                                  <a:tailEnd type="triangle" w="med" len="med"/>
                                </a:ln>
                              </wps:spPr>
                              <wps:bodyPr/>
                            </wps:wsp>
                            <wps:wsp>
                              <wps:cNvPr id="175" name="直接连接符 175"/>
                              <wps:cNvCnPr/>
                              <wps:spPr>
                                <a:xfrm>
                                  <a:off x="2879529" y="1551940"/>
                                  <a:ext cx="0" cy="244475"/>
                                </a:xfrm>
                                <a:prstGeom prst="line">
                                  <a:avLst/>
                                </a:prstGeom>
                                <a:ln w="9525" cap="flat" cmpd="sng">
                                  <a:solidFill>
                                    <a:srgbClr val="000000"/>
                                  </a:solidFill>
                                  <a:prstDash val="solid"/>
                                  <a:headEnd type="none" w="med" len="med"/>
                                  <a:tailEnd type="none" w="med" len="med"/>
                                </a:ln>
                              </wps:spPr>
                              <wps:bodyPr/>
                            </wps:wsp>
                            <wps:wsp>
                              <wps:cNvPr id="176" name="矩形 176"/>
                              <wps:cNvSpPr/>
                              <wps:spPr>
                                <a:xfrm>
                                  <a:off x="1607624" y="1424305"/>
                                  <a:ext cx="88011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冷却用水</w:t>
                                    </w:r>
                                  </w:p>
                                </w:txbxContent>
                              </wps:txbx>
                              <wps:bodyPr upright="1"/>
                            </wps:wsp>
                            <wps:wsp>
                              <wps:cNvPr id="177" name="直接连接符 177"/>
                              <wps:cNvCnPr/>
                              <wps:spPr>
                                <a:xfrm>
                                  <a:off x="980879" y="2245995"/>
                                  <a:ext cx="612140" cy="635"/>
                                </a:xfrm>
                                <a:prstGeom prst="line">
                                  <a:avLst/>
                                </a:prstGeom>
                                <a:ln w="9525" cap="flat" cmpd="sng">
                                  <a:solidFill>
                                    <a:srgbClr val="000000"/>
                                  </a:solidFill>
                                  <a:prstDash val="solid"/>
                                  <a:headEnd type="none" w="med" len="med"/>
                                  <a:tailEnd type="triangle" w="med" len="med"/>
                                </a:ln>
                              </wps:spPr>
                              <wps:bodyPr/>
                            </wps:wsp>
                            <wps:wsp>
                              <wps:cNvPr id="178" name="矩形 178"/>
                              <wps:cNvSpPr/>
                              <wps:spPr>
                                <a:xfrm>
                                  <a:off x="1624769" y="2110105"/>
                                  <a:ext cx="88011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研磨用水</w:t>
                                    </w:r>
                                  </w:p>
                                </w:txbxContent>
                              </wps:txbx>
                              <wps:bodyPr upright="1"/>
                            </wps:wsp>
                            <wps:wsp>
                              <wps:cNvPr id="179" name="直接连接符 179"/>
                              <wps:cNvCnPr/>
                              <wps:spPr>
                                <a:xfrm>
                                  <a:off x="980879" y="2837815"/>
                                  <a:ext cx="612140" cy="635"/>
                                </a:xfrm>
                                <a:prstGeom prst="line">
                                  <a:avLst/>
                                </a:prstGeom>
                                <a:ln w="9525" cap="flat" cmpd="sng">
                                  <a:solidFill>
                                    <a:srgbClr val="000000"/>
                                  </a:solidFill>
                                  <a:prstDash val="solid"/>
                                  <a:headEnd type="none" w="med" len="med"/>
                                  <a:tailEnd type="triangle" w="med" len="med"/>
                                </a:ln>
                              </wps:spPr>
                              <wps:bodyPr/>
                            </wps:wsp>
                            <wps:wsp>
                              <wps:cNvPr id="180" name="直接连接符 180"/>
                              <wps:cNvCnPr/>
                              <wps:spPr>
                                <a:xfrm>
                                  <a:off x="980879" y="3549015"/>
                                  <a:ext cx="612140" cy="635"/>
                                </a:xfrm>
                                <a:prstGeom prst="line">
                                  <a:avLst/>
                                </a:prstGeom>
                                <a:ln w="9525" cap="flat" cmpd="sng">
                                  <a:solidFill>
                                    <a:srgbClr val="000000"/>
                                  </a:solidFill>
                                  <a:prstDash val="solid"/>
                                  <a:headEnd type="none" w="med" len="med"/>
                                  <a:tailEnd type="triangle" w="med" len="med"/>
                                </a:ln>
                              </wps:spPr>
                              <wps:bodyPr/>
                            </wps:wsp>
                            <wps:wsp>
                              <wps:cNvPr id="215" name="矩形 215"/>
                              <wps:cNvSpPr/>
                              <wps:spPr>
                                <a:xfrm>
                                  <a:off x="1615879" y="2728595"/>
                                  <a:ext cx="88011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水喷淋用水</w:t>
                                    </w:r>
                                  </w:p>
                                </w:txbxContent>
                              </wps:txbx>
                              <wps:bodyPr upright="1"/>
                            </wps:wsp>
                            <wps:wsp>
                              <wps:cNvPr id="216" name="矩形 216"/>
                              <wps:cNvSpPr/>
                              <wps:spPr>
                                <a:xfrm>
                                  <a:off x="1633024" y="3422015"/>
                                  <a:ext cx="880110" cy="2603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jc w:val="center"/>
                                    </w:pPr>
                                    <w:r>
                                      <w:rPr>
                                        <w:rFonts w:hint="eastAsia"/>
                                      </w:rPr>
                                      <w:t>生活用水</w:t>
                                    </w:r>
                                  </w:p>
                                </w:txbxContent>
                              </wps:txbx>
                              <wps:bodyPr upright="1"/>
                            </wps:wsp>
                            <wps:wsp>
                              <wps:cNvPr id="217" name="直接连接符 217"/>
                              <wps:cNvCnPr/>
                              <wps:spPr>
                                <a:xfrm>
                                  <a:off x="2081334" y="1795780"/>
                                  <a:ext cx="794385" cy="4445"/>
                                </a:xfrm>
                                <a:prstGeom prst="line">
                                  <a:avLst/>
                                </a:prstGeom>
                                <a:ln w="9525" cap="flat" cmpd="sng">
                                  <a:solidFill>
                                    <a:srgbClr val="000000"/>
                                  </a:solidFill>
                                  <a:prstDash val="solid"/>
                                  <a:headEnd type="none" w="med" len="med"/>
                                  <a:tailEnd type="none" w="med" len="med"/>
                                </a:ln>
                              </wps:spPr>
                              <wps:bodyPr/>
                            </wps:wsp>
                            <wps:wsp>
                              <wps:cNvPr id="218" name="直接连接符 218"/>
                              <wps:cNvCnPr/>
                              <wps:spPr>
                                <a:xfrm flipH="1" flipV="1">
                                  <a:off x="2080699" y="1699260"/>
                                  <a:ext cx="3175" cy="103505"/>
                                </a:xfrm>
                                <a:prstGeom prst="line">
                                  <a:avLst/>
                                </a:prstGeom>
                                <a:ln w="9525" cap="flat" cmpd="sng">
                                  <a:solidFill>
                                    <a:srgbClr val="000000"/>
                                  </a:solidFill>
                                  <a:prstDash val="solid"/>
                                  <a:headEnd type="none" w="med" len="med"/>
                                  <a:tailEnd type="triangle" w="med" len="med"/>
                                </a:ln>
                              </wps:spPr>
                              <wps:bodyPr/>
                            </wps:wsp>
                            <wps:wsp>
                              <wps:cNvPr id="266" name="矩形 266"/>
                              <wps:cNvSpPr/>
                              <wps:spPr>
                                <a:xfrm>
                                  <a:off x="2810528" y="1541145"/>
                                  <a:ext cx="421005" cy="273050"/>
                                </a:xfrm>
                                <a:prstGeom prst="rect">
                                  <a:avLst/>
                                </a:prstGeom>
                                <a:noFill/>
                                <a:ln>
                                  <a:noFill/>
                                </a:ln>
                              </wps:spPr>
                              <wps:txbx>
                                <w:txbxContent>
                                  <w:p>
                                    <w:pPr>
                                      <w:adjustRightInd w:val="0"/>
                                      <w:snapToGrid w:val="0"/>
                                    </w:pPr>
                                    <w:r>
                                      <w:rPr>
                                        <w:rFonts w:hint="eastAsia"/>
                                      </w:rPr>
                                      <w:t>16</w:t>
                                    </w:r>
                                  </w:p>
                                </w:txbxContent>
                              </wps:txbx>
                              <wps:bodyPr upright="1"/>
                            </wps:wsp>
                            <wps:wsp>
                              <wps:cNvPr id="267" name="曲线连接符 267"/>
                              <wps:cNvCnPr/>
                              <wps:spPr>
                                <a:xfrm flipV="1">
                                  <a:off x="1890199" y="1307465"/>
                                  <a:ext cx="368300" cy="114300"/>
                                </a:xfrm>
                                <a:prstGeom prst="curvedConnector3">
                                  <a:avLst>
                                    <a:gd name="adj1" fmla="val 50083"/>
                                  </a:avLst>
                                </a:prstGeom>
                                <a:ln w="9525" cap="flat" cmpd="sng">
                                  <a:solidFill>
                                    <a:srgbClr val="000000"/>
                                  </a:solidFill>
                                  <a:prstDash val="dash"/>
                                  <a:headEnd type="none" w="med" len="med"/>
                                  <a:tailEnd type="triangle" w="med" len="med"/>
                                </a:ln>
                              </wps:spPr>
                              <wps:bodyPr/>
                            </wps:wsp>
                            <wps:wsp>
                              <wps:cNvPr id="302" name="矩形 302"/>
                              <wps:cNvSpPr/>
                              <wps:spPr>
                                <a:xfrm>
                                  <a:off x="2240719" y="1101725"/>
                                  <a:ext cx="791210" cy="266700"/>
                                </a:xfrm>
                                <a:prstGeom prst="rect">
                                  <a:avLst/>
                                </a:prstGeom>
                                <a:noFill/>
                                <a:ln>
                                  <a:noFill/>
                                </a:ln>
                              </wps:spPr>
                              <wps:txbx>
                                <w:txbxContent>
                                  <w:p>
                                    <w:pPr>
                                      <w:adjustRightInd w:val="0"/>
                                      <w:snapToGrid w:val="0"/>
                                    </w:pPr>
                                    <w:r>
                                      <w:rPr>
                                        <w:rFonts w:hint="eastAsia"/>
                                      </w:rPr>
                                      <w:t>蒸发0.32</w:t>
                                    </w:r>
                                  </w:p>
                                </w:txbxContent>
                              </wps:txbx>
                              <wps:bodyPr upright="1"/>
                            </wps:wsp>
                            <wps:wsp>
                              <wps:cNvPr id="309" name="直接连接符 309"/>
                              <wps:cNvCnPr/>
                              <wps:spPr>
                                <a:xfrm flipV="1">
                                  <a:off x="2507419" y="2229485"/>
                                  <a:ext cx="389255" cy="635"/>
                                </a:xfrm>
                                <a:prstGeom prst="line">
                                  <a:avLst/>
                                </a:prstGeom>
                                <a:ln w="9525" cap="flat" cmpd="sng">
                                  <a:solidFill>
                                    <a:srgbClr val="000000"/>
                                  </a:solidFill>
                                  <a:prstDash val="solid"/>
                                  <a:headEnd type="none" w="med" len="med"/>
                                  <a:tailEnd type="none" w="med" len="med"/>
                                </a:ln>
                              </wps:spPr>
                              <wps:bodyPr/>
                            </wps:wsp>
                            <wps:wsp>
                              <wps:cNvPr id="328" name="直接连接符 328"/>
                              <wps:cNvCnPr/>
                              <wps:spPr>
                                <a:xfrm>
                                  <a:off x="2900484" y="2226310"/>
                                  <a:ext cx="0" cy="244475"/>
                                </a:xfrm>
                                <a:prstGeom prst="line">
                                  <a:avLst/>
                                </a:prstGeom>
                                <a:ln w="9525" cap="flat" cmpd="sng">
                                  <a:solidFill>
                                    <a:srgbClr val="000000"/>
                                  </a:solidFill>
                                  <a:prstDash val="solid"/>
                                  <a:headEnd type="none" w="med" len="med"/>
                                  <a:tailEnd type="none" w="med" len="med"/>
                                </a:ln>
                              </wps:spPr>
                              <wps:bodyPr/>
                            </wps:wsp>
                            <wps:wsp>
                              <wps:cNvPr id="329" name="直接连接符 329"/>
                              <wps:cNvCnPr/>
                              <wps:spPr>
                                <a:xfrm>
                                  <a:off x="2110544" y="2470785"/>
                                  <a:ext cx="794385" cy="4445"/>
                                </a:xfrm>
                                <a:prstGeom prst="line">
                                  <a:avLst/>
                                </a:prstGeom>
                                <a:ln w="9525" cap="flat" cmpd="sng">
                                  <a:solidFill>
                                    <a:srgbClr val="000000"/>
                                  </a:solidFill>
                                  <a:prstDash val="solid"/>
                                  <a:headEnd type="none" w="med" len="med"/>
                                  <a:tailEnd type="none" w="med" len="med"/>
                                </a:ln>
                              </wps:spPr>
                              <wps:bodyPr/>
                            </wps:wsp>
                            <wps:wsp>
                              <wps:cNvPr id="331" name="直接连接符 331"/>
                              <wps:cNvCnPr/>
                              <wps:spPr>
                                <a:xfrm flipH="1" flipV="1">
                                  <a:off x="2102924" y="2368550"/>
                                  <a:ext cx="3175" cy="103505"/>
                                </a:xfrm>
                                <a:prstGeom prst="line">
                                  <a:avLst/>
                                </a:prstGeom>
                                <a:ln w="9525" cap="flat" cmpd="sng">
                                  <a:solidFill>
                                    <a:srgbClr val="000000"/>
                                  </a:solidFill>
                                  <a:prstDash val="solid"/>
                                  <a:headEnd type="none" w="med" len="med"/>
                                  <a:tailEnd type="triangle" w="med" len="med"/>
                                </a:ln>
                              </wps:spPr>
                              <wps:bodyPr/>
                            </wps:wsp>
                            <wps:wsp>
                              <wps:cNvPr id="332" name="曲线连接符 332"/>
                              <wps:cNvCnPr/>
                              <wps:spPr>
                                <a:xfrm flipV="1">
                                  <a:off x="1862259" y="1996440"/>
                                  <a:ext cx="368300" cy="114300"/>
                                </a:xfrm>
                                <a:prstGeom prst="curvedConnector3">
                                  <a:avLst>
                                    <a:gd name="adj1" fmla="val 50083"/>
                                  </a:avLst>
                                </a:prstGeom>
                                <a:ln w="9525" cap="flat" cmpd="sng">
                                  <a:solidFill>
                                    <a:srgbClr val="000000"/>
                                  </a:solidFill>
                                  <a:prstDash val="dash"/>
                                  <a:headEnd type="none" w="med" len="med"/>
                                  <a:tailEnd type="triangle" w="med" len="med"/>
                                </a:ln>
                              </wps:spPr>
                              <wps:bodyPr/>
                            </wps:wsp>
                            <wps:wsp>
                              <wps:cNvPr id="333" name="矩形 333"/>
                              <wps:cNvSpPr/>
                              <wps:spPr>
                                <a:xfrm>
                                  <a:off x="2249170" y="1838325"/>
                                  <a:ext cx="994410" cy="266700"/>
                                </a:xfrm>
                                <a:prstGeom prst="rect">
                                  <a:avLst/>
                                </a:prstGeom>
                                <a:noFill/>
                                <a:ln>
                                  <a:noFill/>
                                </a:ln>
                              </wps:spPr>
                              <wps:txbx>
                                <w:txbxContent>
                                  <w:p>
                                    <w:pPr>
                                      <w:adjustRightInd w:val="0"/>
                                      <w:snapToGrid w:val="0"/>
                                      <w:rPr>
                                        <w:color w:val="FF0000"/>
                                      </w:rPr>
                                    </w:pPr>
                                    <w:r>
                                      <w:rPr>
                                        <w:rFonts w:hint="eastAsia"/>
                                      </w:rPr>
                                      <w:t>损耗0.03</w:t>
                                    </w:r>
                                  </w:p>
                                </w:txbxContent>
                              </wps:txbx>
                              <wps:bodyPr upright="1"/>
                            </wps:wsp>
                            <wps:wsp>
                              <wps:cNvPr id="334" name="矩形 334"/>
                              <wps:cNvSpPr/>
                              <wps:spPr>
                                <a:xfrm>
                                  <a:off x="2963349" y="2207895"/>
                                  <a:ext cx="389255" cy="273050"/>
                                </a:xfrm>
                                <a:prstGeom prst="rect">
                                  <a:avLst/>
                                </a:prstGeom>
                                <a:noFill/>
                                <a:ln>
                                  <a:noFill/>
                                </a:ln>
                              </wps:spPr>
                              <wps:txbx>
                                <w:txbxContent>
                                  <w:p>
                                    <w:pPr>
                                      <w:adjustRightInd w:val="0"/>
                                      <w:snapToGrid w:val="0"/>
                                    </w:pPr>
                                    <w:r>
                                      <w:rPr>
                                        <w:rFonts w:hint="eastAsia"/>
                                      </w:rPr>
                                      <w:t>0.6</w:t>
                                    </w:r>
                                  </w:p>
                                </w:txbxContent>
                              </wps:txbx>
                              <wps:bodyPr upright="1"/>
                            </wps:wsp>
                            <wps:wsp>
                              <wps:cNvPr id="335" name="曲线连接符 335"/>
                              <wps:cNvCnPr/>
                              <wps:spPr>
                                <a:xfrm flipV="1">
                                  <a:off x="1873689" y="2606675"/>
                                  <a:ext cx="368300" cy="114300"/>
                                </a:xfrm>
                                <a:prstGeom prst="curvedConnector3">
                                  <a:avLst>
                                    <a:gd name="adj1" fmla="val 50083"/>
                                  </a:avLst>
                                </a:prstGeom>
                                <a:ln w="9525" cap="flat" cmpd="sng">
                                  <a:solidFill>
                                    <a:srgbClr val="000000"/>
                                  </a:solidFill>
                                  <a:prstDash val="dash"/>
                                  <a:headEnd type="none" w="med" len="med"/>
                                  <a:tailEnd type="triangle" w="med" len="med"/>
                                </a:ln>
                              </wps:spPr>
                              <wps:bodyPr/>
                            </wps:wsp>
                            <wps:wsp>
                              <wps:cNvPr id="336" name="矩形 336"/>
                              <wps:cNvSpPr/>
                              <wps:spPr>
                                <a:xfrm>
                                  <a:off x="2255324" y="2483485"/>
                                  <a:ext cx="791210" cy="266700"/>
                                </a:xfrm>
                                <a:prstGeom prst="rect">
                                  <a:avLst/>
                                </a:prstGeom>
                                <a:noFill/>
                                <a:ln>
                                  <a:noFill/>
                                </a:ln>
                              </wps:spPr>
                              <wps:txbx>
                                <w:txbxContent>
                                  <w:p>
                                    <w:pPr>
                                      <w:adjustRightInd w:val="0"/>
                                      <w:snapToGrid w:val="0"/>
                                    </w:pPr>
                                    <w:r>
                                      <w:rPr>
                                        <w:rFonts w:hint="eastAsia"/>
                                      </w:rPr>
                                      <w:t>损耗5.28</w:t>
                                    </w:r>
                                  </w:p>
                                </w:txbxContent>
                              </wps:txbx>
                              <wps:bodyPr upright="1"/>
                            </wps:wsp>
                            <wps:wsp>
                              <wps:cNvPr id="338" name="直接连接符 338"/>
                              <wps:cNvCnPr/>
                              <wps:spPr>
                                <a:xfrm>
                                  <a:off x="2511229" y="3545205"/>
                                  <a:ext cx="401955" cy="2540"/>
                                </a:xfrm>
                                <a:prstGeom prst="line">
                                  <a:avLst/>
                                </a:prstGeom>
                                <a:ln w="9525" cap="flat" cmpd="sng">
                                  <a:solidFill>
                                    <a:srgbClr val="000000"/>
                                  </a:solidFill>
                                  <a:prstDash val="solid"/>
                                  <a:headEnd type="none" w="med" len="med"/>
                                  <a:tailEnd type="triangle" w="med" len="med"/>
                                </a:ln>
                              </wps:spPr>
                              <wps:bodyPr/>
                            </wps:wsp>
                            <wps:wsp>
                              <wps:cNvPr id="339" name="直接连接符 339"/>
                              <wps:cNvCnPr/>
                              <wps:spPr>
                                <a:xfrm>
                                  <a:off x="3793929" y="3551555"/>
                                  <a:ext cx="401955" cy="2540"/>
                                </a:xfrm>
                                <a:prstGeom prst="line">
                                  <a:avLst/>
                                </a:prstGeom>
                                <a:ln w="9525" cap="flat" cmpd="sng">
                                  <a:solidFill>
                                    <a:srgbClr val="000000"/>
                                  </a:solidFill>
                                  <a:prstDash val="solid"/>
                                  <a:headEnd type="none" w="med" len="med"/>
                                  <a:tailEnd type="triangle" w="med" len="med"/>
                                </a:ln>
                              </wps:spPr>
                              <wps:bodyPr/>
                            </wps:wsp>
                            <wps:wsp>
                              <wps:cNvPr id="340" name="矩形 340"/>
                              <wps:cNvSpPr/>
                              <wps:spPr>
                                <a:xfrm>
                                  <a:off x="4206679" y="3303905"/>
                                  <a:ext cx="902970" cy="47815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pPr>
                                    <w:r>
                                      <w:rPr>
                                        <w:rFonts w:hint="eastAsia"/>
                                        <w:color w:val="000000" w:themeColor="text1"/>
                                        <w14:textFill>
                                          <w14:solidFill>
                                            <w14:schemeClr w14:val="tx1"/>
                                          </w14:solidFill>
                                        </w14:textFill>
                                      </w:rPr>
                                      <w:t>园洲镇第三污水处理厂</w:t>
                                    </w:r>
                                  </w:p>
                                </w:txbxContent>
                              </wps:txbx>
                              <wps:bodyPr upright="1"/>
                            </wps:wsp>
                            <wps:wsp>
                              <wps:cNvPr id="341" name="矩形 341"/>
                              <wps:cNvSpPr/>
                              <wps:spPr>
                                <a:xfrm>
                                  <a:off x="2520754" y="3284855"/>
                                  <a:ext cx="449580" cy="245110"/>
                                </a:xfrm>
                                <a:prstGeom prst="rect">
                                  <a:avLst/>
                                </a:prstGeom>
                                <a:noFill/>
                                <a:ln>
                                  <a:noFill/>
                                </a:ln>
                              </wps:spPr>
                              <wps:txbx>
                                <w:txbxContent>
                                  <w:p>
                                    <w:pPr>
                                      <w:adjustRightInd w:val="0"/>
                                      <w:snapToGrid w:val="0"/>
                                    </w:pPr>
                                    <w:r>
                                      <w:rPr>
                                        <w:rFonts w:hint="eastAsia"/>
                                      </w:rPr>
                                      <w:t>0.9</w:t>
                                    </w:r>
                                  </w:p>
                                </w:txbxContent>
                              </wps:txbx>
                              <wps:bodyPr upright="1"/>
                            </wps:wsp>
                            <wps:wsp>
                              <wps:cNvPr id="342" name="矩形 342"/>
                              <wps:cNvSpPr/>
                              <wps:spPr>
                                <a:xfrm>
                                  <a:off x="3797104" y="3294380"/>
                                  <a:ext cx="449580" cy="245110"/>
                                </a:xfrm>
                                <a:prstGeom prst="rect">
                                  <a:avLst/>
                                </a:prstGeom>
                                <a:noFill/>
                                <a:ln>
                                  <a:noFill/>
                                </a:ln>
                              </wps:spPr>
                              <wps:txbx>
                                <w:txbxContent>
                                  <w:p>
                                    <w:pPr>
                                      <w:adjustRightInd w:val="0"/>
                                      <w:snapToGrid w:val="0"/>
                                    </w:pPr>
                                    <w:r>
                                      <w:rPr>
                                        <w:rFonts w:hint="eastAsia"/>
                                      </w:rPr>
                                      <w:t>0.9</w:t>
                                    </w:r>
                                  </w:p>
                                </w:txbxContent>
                              </wps:txbx>
                              <wps:bodyPr upright="1"/>
                            </wps:wsp>
                            <wps:wsp>
                              <wps:cNvPr id="343" name="矩形 343"/>
                              <wps:cNvSpPr/>
                              <wps:spPr>
                                <a:xfrm>
                                  <a:off x="1082479" y="1970405"/>
                                  <a:ext cx="492125" cy="267335"/>
                                </a:xfrm>
                                <a:prstGeom prst="rect">
                                  <a:avLst/>
                                </a:prstGeom>
                                <a:noFill/>
                                <a:ln>
                                  <a:noFill/>
                                </a:ln>
                              </wps:spPr>
                              <wps:txbx>
                                <w:txbxContent>
                                  <w:p>
                                    <w:pPr>
                                      <w:adjustRightInd w:val="0"/>
                                      <w:snapToGrid w:val="0"/>
                                    </w:pPr>
                                    <w:r>
                                      <w:rPr>
                                        <w:rFonts w:hint="eastAsia"/>
                                      </w:rPr>
                                      <w:t>0.03</w:t>
                                    </w:r>
                                  </w:p>
                                </w:txbxContent>
                              </wps:txbx>
                              <wps:bodyPr upright="1"/>
                            </wps:wsp>
                            <wps:wsp>
                              <wps:cNvPr id="344" name="矩形 344"/>
                              <wps:cNvSpPr/>
                              <wps:spPr>
                                <a:xfrm>
                                  <a:off x="1110419" y="2570480"/>
                                  <a:ext cx="494030" cy="267335"/>
                                </a:xfrm>
                                <a:prstGeom prst="rect">
                                  <a:avLst/>
                                </a:prstGeom>
                                <a:noFill/>
                                <a:ln>
                                  <a:noFill/>
                                </a:ln>
                              </wps:spPr>
                              <wps:txbx>
                                <w:txbxContent>
                                  <w:p>
                                    <w:pPr>
                                      <w:adjustRightInd w:val="0"/>
                                      <w:snapToGrid w:val="0"/>
                                    </w:pPr>
                                    <w:r>
                                      <w:rPr>
                                        <w:rFonts w:hint="eastAsia"/>
                                      </w:rPr>
                                      <w:t>5.312</w:t>
                                    </w:r>
                                  </w:p>
                                </w:txbxContent>
                              </wps:txbx>
                              <wps:bodyPr upright="1"/>
                            </wps:wsp>
                            <wps:wsp>
                              <wps:cNvPr id="345" name="矩形 345"/>
                              <wps:cNvSpPr/>
                              <wps:spPr>
                                <a:xfrm>
                                  <a:off x="1183444" y="3267075"/>
                                  <a:ext cx="439420" cy="223520"/>
                                </a:xfrm>
                                <a:prstGeom prst="rect">
                                  <a:avLst/>
                                </a:prstGeom>
                                <a:noFill/>
                                <a:ln>
                                  <a:noFill/>
                                </a:ln>
                              </wps:spPr>
                              <wps:txbx>
                                <w:txbxContent>
                                  <w:p>
                                    <w:pPr>
                                      <w:adjustRightInd w:val="0"/>
                                      <w:snapToGrid w:val="0"/>
                                    </w:pPr>
                                    <w:r>
                                      <w:rPr>
                                        <w:rFonts w:hint="eastAsia"/>
                                      </w:rPr>
                                      <w:t>1</w:t>
                                    </w:r>
                                  </w:p>
                                </w:txbxContent>
                              </wps:txbx>
                              <wps:bodyPr upright="1"/>
                            </wps:wsp>
                            <wps:wsp>
                              <wps:cNvPr id="346" name="曲线连接符 346"/>
                              <wps:cNvCnPr/>
                              <wps:spPr>
                                <a:xfrm flipV="1">
                                  <a:off x="1863529" y="3303905"/>
                                  <a:ext cx="368300" cy="114300"/>
                                </a:xfrm>
                                <a:prstGeom prst="curvedConnector3">
                                  <a:avLst>
                                    <a:gd name="adj1" fmla="val 50083"/>
                                  </a:avLst>
                                </a:prstGeom>
                                <a:ln w="9525" cap="flat" cmpd="sng">
                                  <a:solidFill>
                                    <a:srgbClr val="000000"/>
                                  </a:solidFill>
                                  <a:prstDash val="dash"/>
                                  <a:headEnd type="none" w="med" len="med"/>
                                  <a:tailEnd type="triangle" w="med" len="med"/>
                                </a:ln>
                              </wps:spPr>
                              <wps:bodyPr/>
                            </wps:wsp>
                            <wps:wsp>
                              <wps:cNvPr id="151" name="矩形 151"/>
                              <wps:cNvSpPr/>
                              <wps:spPr>
                                <a:xfrm>
                                  <a:off x="2225479" y="3129915"/>
                                  <a:ext cx="666750" cy="245110"/>
                                </a:xfrm>
                                <a:prstGeom prst="rect">
                                  <a:avLst/>
                                </a:prstGeom>
                                <a:noFill/>
                                <a:ln>
                                  <a:noFill/>
                                </a:ln>
                              </wps:spPr>
                              <wps:txbx>
                                <w:txbxContent>
                                  <w:p>
                                    <w:pPr>
                                      <w:adjustRightInd w:val="0"/>
                                      <w:snapToGrid w:val="0"/>
                                    </w:pPr>
                                    <w:r>
                                      <w:rPr>
                                        <w:rFonts w:hint="eastAsia"/>
                                      </w:rPr>
                                      <w:t>0.1</w:t>
                                    </w:r>
                                  </w:p>
                                </w:txbxContent>
                              </wps:txbx>
                              <wps:bodyPr upright="1"/>
                            </wps:wsp>
                            <wps:wsp>
                              <wps:cNvPr id="165" name="直接连接符 165"/>
                              <wps:cNvCnPr/>
                              <wps:spPr>
                                <a:xfrm flipV="1">
                                  <a:off x="2508689" y="2861945"/>
                                  <a:ext cx="1285240" cy="6985"/>
                                </a:xfrm>
                                <a:prstGeom prst="line">
                                  <a:avLst/>
                                </a:prstGeom>
                                <a:ln w="9525" cap="flat" cmpd="sng">
                                  <a:solidFill>
                                    <a:srgbClr val="000000"/>
                                  </a:solidFill>
                                  <a:prstDash val="solid"/>
                                  <a:headEnd type="none" w="med" len="med"/>
                                  <a:tailEnd type="triangle" w="med" len="med"/>
                                </a:ln>
                              </wps:spPr>
                              <wps:bodyPr/>
                            </wps:wsp>
                            <wps:wsp>
                              <wps:cNvPr id="166" name="矩形 166"/>
                              <wps:cNvSpPr/>
                              <wps:spPr>
                                <a:xfrm>
                                  <a:off x="3825679" y="2748915"/>
                                  <a:ext cx="902970" cy="27114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adjustRightInd w:val="0"/>
                                      <w:snapToGrid w:val="0"/>
                                    </w:pPr>
                                    <w:r>
                                      <w:rPr>
                                        <w:rFonts w:hint="eastAsia"/>
                                      </w:rPr>
                                      <w:t>有资质单位</w:t>
                                    </w:r>
                                  </w:p>
                                </w:txbxContent>
                              </wps:txbx>
                              <wps:bodyPr upright="1"/>
                            </wps:wsp>
                            <wps:wsp>
                              <wps:cNvPr id="167" name="矩形 167"/>
                              <wps:cNvSpPr/>
                              <wps:spPr>
                                <a:xfrm>
                                  <a:off x="3031294" y="2607310"/>
                                  <a:ext cx="541655" cy="273050"/>
                                </a:xfrm>
                                <a:prstGeom prst="rect">
                                  <a:avLst/>
                                </a:prstGeom>
                                <a:noFill/>
                                <a:ln>
                                  <a:noFill/>
                                </a:ln>
                              </wps:spPr>
                              <wps:txbx>
                                <w:txbxContent>
                                  <w:p>
                                    <w:pPr>
                                      <w:adjustRightInd w:val="0"/>
                                      <w:snapToGrid w:val="0"/>
                                    </w:pPr>
                                    <w:r>
                                      <w:rPr>
                                        <w:rFonts w:hint="eastAsia"/>
                                      </w:rPr>
                                      <w:t>0.032</w:t>
                                    </w:r>
                                  </w:p>
                                </w:txbxContent>
                              </wps:txbx>
                              <wps:bodyPr upright="1"/>
                            </wps:wsp>
                          </wpc:wpc>
                        </a:graphicData>
                      </a:graphic>
                    </wp:inline>
                  </w:drawing>
                </mc:Choice>
                <mc:Fallback>
                  <w:pict>
                    <v:group id="_x0000_s1026" o:spid="_x0000_s1026" o:spt="203" style="height:316.25pt;width:409.25pt;" coordsize="5197475,4016375" editas="canvas"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Aoyb6a1gkAADlfAAAOAAAAZHJzL2Uyb0RvYy54bWztXMuO&#10;28gV3QfIPxDcx816sIoU3J6FPXYWQTLATLKnJeoRSCRBsh9eZ59VdgNMgAAJMEBWQRZBgmC+Zqbz&#10;GTn1ICmVRFNqA211N71oS1UUJd4693XurXr5xe1m7V2nZbXKs0ufvAh8L82m+WyVLS79337z9heR&#10;71V1ks2SdZ6ll/6HtPK/ePXzn728KSYpzZf5epaWHm6SVZOb4tJf1nUxubiopst0k1Qv8iLNMDnP&#10;y01S4225uJiVyQ3uvllf0CAQFzd5OSvKfJpWFUbfmEnf3rE85ob5fL6apm/y6dUmzWpz1zJdJzUe&#10;qVquisp/pX/tfJ5O69/M51Vae+tLH09a67/4Erx+r/5evHqZTBZlUixXU/sTkmN+gvNMm2SV4Uvb&#10;W71J6sS7Kld7t9qspmVe5fP6xTTfXJgH0RLBU5DAkc27Mr8q9LMsJjeLohU6FsqR+r1vO/319Vel&#10;t5oBCZL5XpZssOR3f/rPj//6g6dGIJ+bYjHBZe/K4uviq9IOLMw79ci383Kj/sfDeLdash9ayaa3&#10;tTfFYEhiyWXoe1PM8YAIhjda9tMlFmjvc9PllwOfvGi++EL9vvbn3BRAZdWJqvo0UX29TIpUr0Cl&#10;ZNCIqpPUn7//8b9/8YgVlL6olVI1qSCwAyJiYRzHvgdRkEhEUWBF0QiLRSKIAFAlKxHwkGqYtg+c&#10;TIqyqt+l+cZTLy79EijX4Euuf1XVkCoubS5R357lb1frtZb2OtsZwIVqBCJsfqt6Vd++v9XLXE3e&#10;57MPeOirolwtlvgqohZNXw4hK2g8hLR5i8tv//nTH//6vx++w9+7v//NI9zgU4v9dWbB2TxKA5AW&#10;mTyUghm5UyK4JI7cw4DSyGJUMD3ZL/T1KlPASCY9Ql9n3s2lH4dU3TCBnZzDPuHlpoCuVdlCf7bK&#10;16uZWhx1o6pcvH+9Lr3rRNkq/U9LGzPbl6mVfZNUS3OdnjKatEyT2ZfZzKs/FNDhDMbbVz9hk858&#10;b53C1qtXGgV1slp3V9blKskW656rD0PE4OIzYAHStDbKap5eJoVDqOew5nFKAqibVT0WxNYDNKoX&#10;C0ZjzCvVo5IF4fNWPaUtO+LGgLUMR4mbBJxEVuXCILJKlUwacYuAxI2lG8XtKwdpxe1YOuMtLcyH&#10;LV0sqaAwm0BxxEhkULwldsLhVqyDGQ2dMYvnZeikaKFgDB0GTtI8QRhCLg0BEREWOr4OUQchNsag&#10;ImCfauh2XNSOJ3ur/6kfDwnvXPbwLnKzqtMSvySZ3NdZ9rvVw/g5s1gqJi2sHAuDmQ5fR1iYKKDc&#10;wIuEHABzHKkgFEZmNDE7kddhiHy2WEpgfXa8O8FIB4LhaIpSDv9tImqG4Nl8vPMzMgYKWiMjZPC8&#10;oylkvXsCPy1xpDEJpXXsjFOJCFUtWCfxSIZCNPGr+HSJ79jr0azrdF5FYWdm1okAaeeocnSSKpNA&#10;RgGzBp2GXLq6HCKcQJBgMiMh2VDY+NRJCdkZT8eTEkx1VrTHlXrz9ar4nSJUlPpa6ozyOGRh61UF&#10;BXmwo94siikiOcMMDa3A02EoTg26PptHlb3hFcHUICi2oBBLwa06Rlhy4zk7O0+owp9hKaCtQwzh&#10;CIUHJy1V7mUs8k/f/uPu3z9ssZaYGoTCQftAIvCJ0sRboQjkHnEsIgakaFwQwtVrfBGizoaib1hh&#10;SxxPr8rrdPY6zzIwyHnJOj5TIXExsw+QzH4PXM83a1RGQE56QGOk4xbcWbOf+juae6uPPlBmNwMN&#10;agzkfdO5R8V99tND5ER+iEYSSDJAIiGKM0jVdhxNY1w4V1Wbj4JotC0Pb1tccoiczA4FsiEICaew&#10;FE6gMdJD96ulnBqpnFseIWXjte72olqp7MDxFHQUwMho/hE0AQqeDsJGguhAae7MCCK5l1VipAPB&#10;MEFEYGSksCgA30xGO6PCo2dPQxNlGQ5XutRUB7Ge7Hk7UdqyMxGTkVvUH+3M+dsZVQLuQQOm7okG&#10;EClxMKJBN4M8pjSHYs0aNJjSpxrpQHCM1yFhG3tItPS4sccY3T7L6BZNX3vIOrWqzlDnMgQt6i9o&#10;2XSi2hFZzxRZvXkTJaflTTRAMb0pxIClQVlGGb+O+pUxZ02XIugZDcB+im9kZx6anaGky5qcHFpN&#10;dY6sJ7bVzO8vVWXoIAcMfASi6R7Gi72iO1NkoKGAVVvPs8HHo4pxxJ4nwkgHjeEYh0bIpSmQpprI&#10;Qw623/FETafr2MmqdzdQ0Vpotx6jpjrRf0wr3Xot6jFoYLU0OgskR+vFjq1mY0HmCTejIxR04kk1&#10;0kHpCC2mPJDEAgj0mHQL/mMHlenstxtv0LDfStzxrWqqE/0pWkxDaK5dBEppzBFd7Wrx2HWxu4Pk&#10;vGhqptzgYfpITQ2CYotMpHEQ8Mjkd4CCYOhe3IHCWBc944ZWbN3pB8IR1mEbCChWhLa/GSUMNMc5&#10;NmHMwtxtZWdmFFhvKxbD1KBRGMrCSEBjSwRRRHno0No1FGMWdmjr4blhpI3f3JyAse1A7pRoAjt6&#10;0bZpQ7o4FtxtrRlzgqe8QZUxt8dfjXTm5qicIFYtxGaPKouYmxPEMefjrop2M74mS234Z+pFauQk&#10;iWPXL+NGZcHpS3RZOsZ8KwEYt6n6qvffBtz7dlOL7uNdQgd5TRJJWEa7CCLA3hV3EUYu5SlzKcxl&#10;RBlGTtJitMmzJiTjEdtL40cuZZdLYf1pM6Y60fdEP9vZUkgIiBPtstB2gQNLHN3FiS9xs28F2xV0&#10;rPwcalaPqSbBtg57cLm1nWMfhvHAZMziFg8hOsxHPDy6Phymtm/vxlVGca1zH45ksS0JbtyaBRaw&#10;2DULMZLoZh8TV617Gib9hmFoT+G4W/Vwgn1mXeaMd9yMjdgx0jmcYWRRuBhpN0qC44Wrdw0MdlK2&#10;B8twuKcBlzOErEd+hBZ6lfZ0eZvgGJY4TLrEaT7GxaNGwty2FD5KfPuIOMb3eACMnIJxEkRgno31&#10;xOl5AXetJ48p0aeLqbOqxh3ZTNH1jr86jQcgMBNtITCExPcwjn1yOHHB7LsdJc7UGVKOxLUdPjpC&#10;IDgdDD1s1qrguAo36ecsVpubjcQpe+5HITLeZsl7zAumOvPSE6P3MC84l62J1g+FaSNj/ZQZaxK6&#10;0Zga6aA0HBugUo4DQ2ycT2iMQ2rU57uWVaHYvEaLx2iMqBN6rN10Mm011Yn+FC1GFwvOkjWLQCOB&#10;Ld3OIhBshEC7kbGlIjYF7f5c6+k0Dj8mEobsNYaqkQ4Rw8rIcFxIk3RTyaM9ZdxOuqlsGkf7gTCU&#10;Go1J96NIuknXAHtnkm41chKyAgbjbpujcPrIXnMU2pBFy/Ke9eG5+sxwnKiuDy6xp7+rI9u33+P1&#10;9on3r/4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RgwAAFtDb250ZW50X1R5cGVzXS54bWxQSwECFAAKAAAAAACHTuJAAAAAAAAAAAAAAAAABgAA&#10;AAAAAAAAABAAAAAoCwAAX3JlbHMvUEsBAhQAFAAAAAgAh07iQIoUZjzRAAAAlAEAAAsAAAAAAAAA&#10;AQAgAAAATAsAAF9yZWxzLy5yZWxzUEsBAhQACgAAAAAAh07iQAAAAAAAAAAAAAAAAAQAAAAAAAAA&#10;AAAQAAAAAAAAAGRycy9QSwECFAAUAAAACACHTuJAg5CZBtcAAAAFAQAADwAAAAAAAAABACAAAAAi&#10;AAAAZHJzL2Rvd25yZXYueG1sUEsBAhQAFAAAAAgAh07iQCjJvprWCQAAOV8AAA4AAAAAAAAAAQAg&#10;AAAAJgEAAGRycy9lMm9Eb2MueG1sUEsFBgAAAAAGAAYAWQEAAG4NAAAAAA==&#10;">
                      <o:lock v:ext="edit" aspectratio="f"/>
                      <v:shape id="_x0000_s1026" o:spid="_x0000_s1026" style="position:absolute;left:0;top:0;height:4016375;width:5197475;"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A46rhehgkAALJeAAAOAAAAZHJzL2Uyb0RvYy54bWztXMuO&#10;pMgV3Vuaf0Dsp4t4EAGprp5Ft9teWPZIM/aeyiQfIxJSQFdV/4R/YCRbsmRLlryyZmXJmq/xtD9j&#10;ThBBAkHSJN12d1YVtaiiIkgSLueeuPfEjXj+1f0+cW7jvNhl6bVLnnmuE6fLbLVLN9fu7799/WXg&#10;OkUZpasoydL42n0bF+5XL774xfO7wyKm2TZLVnHu4CJpsbg7XLvbsjwsrq6K5TbeR8Wz7BCn6Fxn&#10;+T4q8W++uVrl0R2uvk+uqOeJq7ssXx3ybBkXBVpf6U7XXDE/54LZer1bxq+y5Zt9nJb6qnmcRCUe&#10;qdjuDoX7orrb9Tpelr9br4u4dJJrF09aVr/xJTi+Ub+vXjyPFps8Omx3S3ML0Tm3YD3TPtql+NLj&#10;pV5FZeS8yXe9S+13yzwrsnX5bJntr/SDVBbBUxDPss3LKL2N9MMsYev6BnH0P7zuzUbdd5q93iUJ&#10;rHGFqy9Um/p7h7cdq+4k7Z6kW6pzzTl3B8ChOByBUXzcLX6zjQ5x9RqLxfK3t1/nzm4FtDLXSaM9&#10;UPnuz3//z7//4qAB96y+Gyd9c/g6N/8VOFR3fL/O9+ovDO3cX7vMD8PQdd7iSoEIAs/X7z++L52l&#10;6g6EFwAZS5wgPO7TCh9XzWUOeVH+Ks72jjq4dnPAq3rr0e1vilIZL1rUp3Ts9R4DFgt9r+oZyvub&#10;e/MAN9nqLR76zSHfbbb4KqLuFPaujKyf+P9vbX609vc//PTHv/73xz/h97t//M0hvGX2l+mY2bkv&#10;BdN2p0RwSSy7+x6lgW/szqrOYaMnu1QBI1oMGD1JnbtrN/SpumAEglqDGHC4PwBARbqpPltkyW6l&#10;EK8uVOSbm5dJ7txGiiSqn8ra6Gmfpt7sq6jY6vOqLg2fbRytfpmunPLtAchMwZquuoV9vHKdJAbJ&#10;qiO8vmhRRrukObPMd1G6SQbOhgWU11XvvIGIxsVnwAKs2fW86jWd7XmcEg/uZlyPeaGh3tr1QsFo&#10;iH7lelQyz3/arqe8pWNuNBhmOIvoiMdJYFzO9wKhnSpa1OYWHglrppvN7coG3RbToaex+zjThZIK&#10;CtoEigNGAo3iltkJx7AyE12HFi+L6KSwPA8NDQLGQwwiCAulhoAICPOtsQ5RByEmxqDCYx9LdJ0h&#10;qjOSva5+1M3Dwp3TPv0Qud+VcY47iRYfOlgOD6un8XNhsVRIjrCyGAY9Db7OYJjAo1zDi/gcALMG&#10;UkEoSGammAumGCLwfjqju2ppQDBOMpRyjN86omYInvXHm3FGhkDBkWSE9J52NEVEL29EyySDh8SX&#10;ZmBnnEpEqOrzjcUD6QtRx6/i4y3e4euZ1qt0/hJTZAG1zHLlYBKyiCcDjxlCpz6Xti/7CCcQJOjM&#10;SEg2lh8/dlFCNuRpjaQEXY1TDwylzjrZHf6gBBXlvkYXojz0mX8cVQWFeNBxbxaEFJGcVobG3sDj&#10;USimBl2fTZ2Qg+EVQdcoKFpQCKXgxh0DvHI9cjY8T6jCn1Yp4K1jCuEMhU8uWqrcSzPyT9//892/&#10;fmyplugahcJJfiAB9ESp4y1feLInHIuAASkVLgjh6hhfhMSk1p9rVdgIx8s3+W28epmlKRTkLGeN&#10;nqmQuFmZB4hW3wHX632CKQmIkw7QGFRxC65cqZ/Vd9TXVh/9RJndCjKoJsgPTecelPY5LA+RifoQ&#10;DSSQpIFEfJ+ESNU6A01NLpxzfelhEM3c8um5xRaHyGR1yJO1QEg4BVNYgcYsD33YXMrUSOXC5CEi&#10;ZT1qvetFtXJ81GoHMIEHkqkkaMgEmPC0EDYLRCem5k5riJ8vnO1llXJiVgmSkcKgAHozmXlGuciT&#10;l6GJYgajV/R4pj3FOJA9D/BMwGRgT+rPPHP5PKOmgAfQgK7RXOk0GiCkhN6MhqoY5CGlORTvrEaD&#10;rq5SLQ0IxqclMPfpH2MPiZIeO/aYo9snGd2i6KuHrKmz6gzzXFqgxfwLaiWtqHZG1hNF1mDeRMm0&#10;vIl6mEyvJ2Kg0mBapivNyJCzukoR8kwFwFmduZwSRUqarMmKbVVXM5ANxLaV8vtrNTN0UgMGPjxR&#10;Vw/joDfpzpQYqCVgVdbzZPDxoGIc0RuJ0NJAYzzGoQFyaQqkqSJyn0Ptt0aiutJ1rmStSvapODK0&#10;PR+juhrTv88r7flazMeggNXI6MyTHKUXuFIzTcfmCZlHXIyOUNCKJ1VLA6UzvJhyTxIDIMhj0p7w&#10;nyuo9Joas/AGBftHi1tjq+pqTD/Fi6kPzzUvgVIackRXXS+eqy66K0guS6Zmahg8LR+prlFQtOQj&#10;GnoeD3R+BygIhurFDhTmedELLmjF0p1hIJzBDm0gYLLCN/XNmMJAcZzFCXMWZi8ruzBSYIOlWAxd&#10;o6QwloURj4ZGCKKI8lCh1SWKOQs7tfTw0jByjN/snICxdiA3JZrAil6UbZqQLgwFt0tr5pzgMS9Q&#10;Zcyu8VctDd2clROEqoRYr1FlAbNzgjDkfF5VcVyMX4mlJvzT80WqZZLFseqXce2y0PQlqiwtMm8l&#10;APMyVVfV/puAu8+blenMeuxpvCnBjOYlCA9rV+yXMGspj1lLYbYiytAyyYtRJs/qkIwHrJfGz1pK&#10;V0thw2kzuhrTD3hxO1vyCYFwUg1ZKLvAhiWW73LIpPW6FSxXqGLlpzBn9ZDmJFhrswdbW+ts+zCO&#10;ByZDFh7x4KPCfMbDg6vDYWr5djeu0o47YbMVNYwbWmAeC21aCJFE1+uYuCrdq2AyTAxjawrn1aqn&#10;E+wLqzJnvNFmTMSOlmbAOSNHwhAjzUJJaLwY6m2CwUrK48YyHMPTyJAzhqzjvmQPcwst1Cr1fLkt&#10;cIxbHJQusZuPHuIxR8LsshQ+W7y9RRzjPR0ALVMwTrwAyrNmTwKa5DZ78pCSancxtVfVvCKbKbne&#10;Gq+m6QAENHGcCPRh8R7GsU4OOy7odbezxZnaQ8qyeMXDZ0cIBLuDoYbNsAq2q7CTfs5CtbhZW5yy&#10;p74VIuPHLLmnvKCroZeBGP1kRRkUaxj2PWHarFg/ZsWa+HY0ploaKI3HBpgpx4YhBkCEhtikRn2+&#10;KYMSSs2rvXiOxojaocfwppVpq67G9FO8GFUs2EtWvwQaCCzptl4CwUIIlBtpLhWhntAezrUez7Lu&#10;hyTCkF5hqGppEDHujAzbhdRJN5U86DljO+mmsi4cHQbCWGo0J90PIukmTQFsvWl1p+71DGR5DORu&#10;iqOw+0ivOAplyOKo8l705rl6x/DDstq4xGy7rvZKb/+P4/ZW8y9+Bl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PYLAABbQ29udGVudF9UeXBlc10u&#10;eG1sUEsBAhQACgAAAAAAh07iQAAAAAAAAAAAAAAAAAYAAAAAAAAAAAAQAAAA2AoAAF9yZWxzL1BL&#10;AQIUABQAAAAIAIdO4kCKFGY80QAAAJQBAAALAAAAAAAAAAEAIAAAAPwKAABfcmVscy8ucmVsc1BL&#10;AQIUAAoAAAAAAIdO4kAAAAAAAAAAAAAAAAAEAAAAAAAAAAAAEAAAAAAAAABkcnMvUEsBAhQAFAAA&#10;AAgAh07iQIOQmQbXAAAABQEAAA8AAAAAAAAAAQAgAAAAIgAAAGRycy9kb3ducmV2LnhtbFBLAQIU&#10;ABQAAAAIAIdO4kA46rhehgkAALJeAAAOAAAAAAAAAAEAIAAAACYBAABkcnMvZTJvRG9jLnhtbFBL&#10;BQYAAAAABgAGAFkBAAAeDQAAAAA=&#10;">
                        <v:fill on="f" focussize="0,0"/>
                        <v:stroke on="f"/>
                        <v:imagedata o:title=""/>
                        <o:lock v:ext="edit" aspectratio="t"/>
                      </v:shape>
                      <v:rect id="_x0000_s1026" o:spid="_x0000_s1026" o:spt="1" style="position:absolute;left:35999;top:1868805;height:604520;width:38608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Dnbb6yrgEAAEwDAAAOAAAAZHJzL2Uyb0RvYy54bWytU82O&#10;0zAQviPxDpbv1GmXVmnUdC/VckGw0sIDuI7dWPKfPG6TPg0SNx6Cx0G8BmMn7MJy2QMXZ2b86Zv5&#10;vnF2t6M15CIjaO9aulxUlEgnfKfdqaWfP929qSmBxF3HjXeypVcJ9Hb/+tVuCI1c+d6bTkaCJA6a&#10;IbS0Tyk0jIHopeWw8EE6vFQ+Wp4wjSfWRT4guzVsVVUbNvjYheiFBMDqYbqkM2N8CaFXSgt58OJs&#10;pUsTa5SGJ5QEvQ5A92VapaRIH5UCmYhpKSpN5cQmGB/zyfY73pwiD70W8wj8JSM802S5dtj0kerA&#10;EyfnqP+hslpED16lhfCWTUKKI6hiWT3z5qHnQRYtaDWER9Ph/9GKD5f7SHSHL+GGEsctbvznl28/&#10;vn8lWEB3hgANgh7CfZwzwDBLHVW0+YsiyNjSm/V2u6Xkikz1pq6r9eStHBMR+breVDW6LhCwqd6u&#10;V8V79kQTIqR30luSg5ZGXF1xlF/eQ8LWCP0NyV2dv9PGlPUZ91cBgbnC8uTTrDlK43GcBRx9d0XR&#10;5xD1qcdWyzxpgaPJpdH8IPIW/8wL6ukn2P8C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g5CZBtcA&#10;AAAFAQAADwAAAAAAAAABACAAAAAiAAAAZHJzL2Rvd25yZXYueG1sUEsBAhQAFAAAAAgAh07iQOdt&#10;vrKuAQAATAMAAA4AAAAAAAAAAQAgAAAAJgEAAGRycy9lMm9Eb2MueG1sUEsFBgAAAAAGAAYAWQEA&#10;AEYFAAAAAA==&#10;">
                        <v:fill on="f" focussize="0,0"/>
                        <v:stroke on="f"/>
                        <v:imagedata o:title=""/>
                        <o:lock v:ext="edit" aspectratio="f"/>
                        <v:textbox>
                          <w:txbxContent>
                            <w:p>
                              <w:pPr>
                                <w:adjustRightInd w:val="0"/>
                                <w:snapToGrid w:val="0"/>
                                <w:jc w:val="center"/>
                              </w:pPr>
                              <w:r>
                                <w:rPr>
                                  <w:rFonts w:hint="eastAsia"/>
                                </w:rPr>
                                <w:t>新鲜水</w:t>
                              </w:r>
                            </w:p>
                          </w:txbxContent>
                        </v:textbox>
                      </v:rect>
                      <v:line id="_x0000_s1026" o:spid="_x0000_s1026" o:spt="20" style="position:absolute;left:457639;top:2164715;height:635;width:502285;" filled="f" stroked="t" coordsize="21600,21600" o:gfxdata="UEsDBAoAAAAAAIdO4kAAAAAAAAAAAAAAAAAEAAAAZHJzL1BLAwQUAAAACACHTuJADuAEGdcAAAAF&#10;AQAADwAAAGRycy9kb3ducmV2LnhtbE2PwU7DMBBE70j8g7VI3KiTolZWyKYHpHJpAbVFCG5uvCQR&#10;8TqynTb8PYYLXFYazWjmbbmabC9O5EPnGCGfZSCIa2c6bhBeDusbBSJEzUb3jgnhiwKsqsuLUhfG&#10;nXlHp31sRCrhUGiENsahkDLULVkdZm4gTt6H81bHJH0jjdfnVG57Oc+ypbS647TQ6oHuW6o/96NF&#10;2G3XG/W6Gafavz/kT4fn7eNbUIjXV3l2ByLSFP/C8IOf0KFKTEc3sgmiR0iPxN+bPJWrBYgjwvJ2&#10;vgBZlfI/ffUNUEsDBBQAAAAIAIdO4kC4DjYqBQIAAOoDAAAOAAAAZHJzL2Uyb0RvYy54bWytU81u&#10;EzEQviPxDpbvZDfbJG1X2fTQUC4IIgEPMLG9u5b8J9vNJi/BCyBxgxNH7rwN5TEYe0MDRUg9kIMz&#10;9nz+Zr5vx8urvVZkJ3yQ1jR0OikpEYZZLk3X0Hdvb55dUBIiGA7KGtHQgwj0avX0yXJwtahsbxUX&#10;niCJCfXgGtrH6OqiCKwXGsLEOmEw2VqvIeLWdwX3MCC7VkVVlotisJ47b5kIAU/XY5IeGf1jCG3b&#10;SibWlt1qYeLI6oWCiJJCL12gq9xt2woWX7dtEJGohqLSmFcsgvE2rcVqCXXnwfWSHVuAx7TwQJMG&#10;abDoPdUaIpBbL/+i0pJ5G2wbJ8zqYhSSHUEV0/KBN296cCJrQauDuzc9/D9a9mq38URynIQZJQY0&#10;fvG7D1+/v//049tHXO++fCaYQZsGF2pEX5uNP+6C2/iked96nf5RDdk3dDY/X5xdUnJoaDVdzM6n&#10;89FlsY+EYX5eVtXFnBKGgMVZThYnEudDfCGsJiloqJImOQA17F6GiIUR+guSjpUhQ0Mv51UiBBzH&#10;FscAQ+1QUjBdvhuskvxGKpVuBN9tr5UnO0gjkX+pP+T9A5aKrCH0Iy6nRhm9AP7ccBIPDr0y+EZo&#10;akELTokS+KRShIRQR5DqhIxegunUP9BYXhnsIrk8+pqireWHbHc+xxHIfR7HNc3Y7/t8+/REVz8B&#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uAEGdcAAAAFAQAADwAAAAAAAAABACAAAAAiAAAAZHJz&#10;L2Rvd25yZXYueG1sUEsBAhQAFAAAAAgAh07iQLgONioFAgAA6gMAAA4AAAAAAAAAAQAgAAAAJgEA&#10;AGRycy9lMm9Eb2MueG1sUEsFBgAAAAAGAAYAWQEAAJ0FAAAAAA==&#10;">
                        <v:fill on="f" focussize="0,0"/>
                        <v:stroke color="#000000" joinstyle="round" endarrow="block"/>
                        <v:imagedata o:title=""/>
                        <o:lock v:ext="edit" aspectratio="f"/>
                      </v:line>
                      <v:rect id="_x0000_s1026" o:spid="_x0000_s1026" o:spt="1" style="position:absolute;left:421005;top:1863090;height:273050;width:963295;"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CKLUp8rgEAAE0DAAAOAAAAZHJzL2Uyb0RvYy54bWytU0tu&#10;2zAQ3RfoHQjua8py48aC5WyMdFOkAdIcgKZIiwB/4NCWfJoA2eUQPU7Ra3RIq0mbbrLohhrOPLyZ&#10;94ZaX43WkKOMoL1r6XxWUSKd8J12+5bef7v+cEkJJO46bryTLT1JoFeb9+/WQ2hk7XtvOhkJkjho&#10;htDSPqXQMAail5bDzAfpsKh8tDzhNe5ZF/mA7NawuqqWbPCxC9ELCYDZ7blIJ8b4FkKvlBZy68XB&#10;SpfOrFEanlAS9DoA3ZRplZIifVUKZCKmpag0lRObYLzLJ9usebOPPPRaTCPwt4zwSpPl2mHTZ6ot&#10;T5wcov6HymoRPXiVZsJbdhZSHEEV8+qVN3c9D7JoQashPJsO/49W3BxvI9EdvoQLShy3uPGfD08/&#10;vj8STKA7Q4AGQXfhNk43wDBLHVW0+YsiyNjSj/W8qpDjhFSXy0W1msyVYyIC66vlol5hXSCg/rSo&#10;LkqdvfCECOmz9JbkoKURd1cs5ccvkLA3Qn9Dclvnr7UxZX/G/ZVAYM6wPPp52BylcTdOCna+O6Hq&#10;Q4h632OreRZa4OhyaTS9iLzGP+8F9fIXbH4B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HgQAAFtDb250ZW50X1R5cGVzXS54bWxQSwECFAAKAAAA&#10;AACHTuJAAAAAAAAAAAAAAAAABgAAAAAAAAAAABAAAAAAAwAAX3JlbHMvUEsBAhQAFAAAAAgAh07i&#10;QIoUZjzRAAAAlAEAAAsAAAAAAAAAAQAgAAAAJAMAAF9yZWxzLy5yZWxzUEsBAhQACgAAAAAAh07i&#10;QAAAAAAAAAAAAAAAAAQAAAAAAAAAAAAQAAAAAAAAAGRycy9QSwECFAAUAAAACACHTuJAg5CZBtcA&#10;AAAFAQAADwAAAAAAAAABACAAAAAiAAAAZHJzL2Rvd25yZXYueG1sUEsBAhQAFAAAAAgAh07iQIot&#10;SnyuAQAATQMAAA4AAAAAAAAAAQAgAAAAJgEAAGRycy9lMm9Eb2MueG1sUEsFBgAAAAAGAAYAWQEA&#10;AEYFAAAAAA==&#10;">
                        <v:fill on="f" focussize="0,0"/>
                        <v:stroke on="f"/>
                        <v:imagedata o:title=""/>
                        <o:lock v:ext="edit" aspectratio="f"/>
                        <v:textbox>
                          <w:txbxContent>
                            <w:p>
                              <w:pPr>
                                <w:adjustRightInd w:val="0"/>
                                <w:snapToGrid w:val="0"/>
                              </w:pPr>
                              <w:r>
                                <w:rPr>
                                  <w:rFonts w:hint="eastAsia"/>
                                </w:rPr>
                                <w:t>9.332</w:t>
                              </w:r>
                            </w:p>
                            <w:p>
                              <w:pPr>
                                <w:pStyle w:val="2"/>
                                <w:jc w:val="both"/>
                              </w:pPr>
                            </w:p>
                          </w:txbxContent>
                        </v:textbox>
                      </v:rect>
                      <v:rect id="_x0000_s1026" o:spid="_x0000_s1026" o:spt="1" style="position:absolute;left:1041839;top:508635;height:273050;width:60198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BHtHgvrwEAAE0DAAAOAAAAZHJzL2Uyb0RvYy54bWytU0tu&#10;2zAQ3RfoHQjuY0l27TqC5WyMdFOkAdIcgKZIiwB/4NCWfJoA3fUQPU7Ra3RIKZ+mmyyyoYYzg/fm&#10;vaE2V4PR5CQCKGcbWs1KSoTlrlX20ND779cXa0ogMtsy7axo6FkAvdp+/LDpfS3mrnO6FYEgiIW6&#10;9w3tYvR1UQDvhGEwc15YLEoXDIt4DYeiDaxHdKOLeVmuit6F1gfHBQBmd2ORTojhLYBOSsXFzvGj&#10;ETaOqEFoFlESdMoD3eZppRQ8fpMSRCS6oag05hNJMN6ns9huWH0IzHeKTyOwt4zwSpNhyiLpE9SO&#10;RUaOQf0HZRQPDpyMM+5MMQrJjqCKqnzlzV3HvMha0GrwT6bD+8Hym9NtIKpt6OKSEssMbvzPw8/f&#10;v34QTKA7vYcam+78bZhugGGSOshg0hdFkAFfUvmpWieQc0OX5Xq1WI7miiESjvVVWV2u0XaO9fnn&#10;RbnM5hfPOD5A/CKcISloaMDdZUvZ6StE5MbWx5ZEa9210jrvT9t/EtiYMkUafRw2RXHYD5OCvWvP&#10;qProgzp0SFWlSXM7upyJpheR1vjynrue/4LtX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OQmQbX&#10;AAAABQEAAA8AAAAAAAAAAQAgAAAAIgAAAGRycy9kb3ducmV2LnhtbFBLAQIUABQAAAAIAIdO4kBH&#10;tHgvrwEAAE0DAAAOAAAAAAAAAAEAIAAAACYBAABkcnMvZTJvRG9jLnhtbFBLBQYAAAAABgAGAFkB&#10;AABHBQAAAAA=&#10;">
                        <v:fill on="f" focussize="0,0"/>
                        <v:stroke on="f"/>
                        <v:imagedata o:title=""/>
                        <o:lock v:ext="edit" aspectratio="f"/>
                        <v:textbox>
                          <w:txbxContent>
                            <w:p>
                              <w:pPr>
                                <w:adjustRightInd w:val="0"/>
                                <w:snapToGrid w:val="0"/>
                              </w:pPr>
                              <w:r>
                                <w:rPr>
                                  <w:rFonts w:hint="eastAsia"/>
                                </w:rPr>
                                <w:t>2.67</w:t>
                              </w:r>
                            </w:p>
                          </w:txbxContent>
                        </v:textbox>
                      </v:rect>
                      <v:line id="_x0000_s1026" o:spid="_x0000_s1026" o:spt="20" style="position:absolute;left:972624;top:831850;height:635;width:614045;" filled="f" stroked="t" coordsize="21600,21600" o:gfxdata="UEsDBAoAAAAAAIdO4kAAAAAAAAAAAAAAAAAEAAAAZHJzL1BLAwQUAAAACACHTuJADuAEGdcAAAAF&#10;AQAADwAAAGRycy9kb3ducmV2LnhtbE2PwU7DMBBE70j8g7VI3KiTolZWyKYHpHJpAbVFCG5uvCQR&#10;8TqynTb8PYYLXFYazWjmbbmabC9O5EPnGCGfZSCIa2c6bhBeDusbBSJEzUb3jgnhiwKsqsuLUhfG&#10;nXlHp31sRCrhUGiENsahkDLULVkdZm4gTt6H81bHJH0jjdfnVG57Oc+ypbS647TQ6oHuW6o/96NF&#10;2G3XG/W6Gafavz/kT4fn7eNbUIjXV3l2ByLSFP/C8IOf0KFKTEc3sgmiR0iPxN+bPJWrBYgjwvJ2&#10;vgBZlfI/ffUNUEsDBBQAAAAIAIdO4kABZE43AgIAAOkDAAAOAAAAZHJzL2Uyb0RvYy54bWytU81u&#10;EzEQviPxDpbvZJM0ScMqmx4aygVBJeABJl7vriX/yeNmk5fgBZC4wYkj974N5TEYe0MDRUg9kIMz&#10;9oy/b75vx6uLvdFsJwMqZys+GY05k1a4Wtm24u/fXT1bcoYRbA3aWVnxg0R+sX76ZNX7Uk5d53Qt&#10;AyMQi2XvK97F6MuiQNFJAzhyXlpKNi4YiLQNbVEH6And6GI6Hi+K3oXaByckIp1uhiQ/IobHALqm&#10;UUJunLgx0sYBNUgNkSRhpzzyde62aaSIb5oGZWS64qQ05pVIKN6mtVivoGwD+E6JYwvwmBYeaDKg&#10;LJHeQ20gArsJ6i8oo0Rw6Jo4Es4Ug5DsCKmYjB9487YDL7MWshr9ven4/2DF6911YKqu+PmcMwuG&#10;vvjdx2/fP3z+cfuJ1ruvXxhlyKbeY0nVl/Y6HHfor0PSvG+CSf+khu0r/vx8upjOODtUfHk2Wc6P&#10;Jst9ZILSi8lsPCMuQfnFWYYuThg+YHwpnWEpqLhWNhkAJexeYSReKv1Vko61ZT0xzqcJEGgaG5oC&#10;Co0nRWjbfBedVvWV0jrdwNBuL3VgO0gTkX9JHeH+UZZINoDdUJdTw6x0EuoXtmbx4MkqS0+EpxaM&#10;rDnTkl5UiggQyghKnypjUGBb/Y9qoteWukgmD7amaOvqQ3Y7n9ME5D6P05pG7Pd9vn16oeuf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DuAEGdcAAAAFAQAADwAAAAAAAAABACAAAAAiAAAAZHJzL2Rv&#10;d25yZXYueG1sUEsBAhQAFAAAAAgAh07iQAFkTjcCAgAA6QMAAA4AAAAAAAAAAQAgAAAAJgEAAGRy&#10;cy9lMm9Eb2MueG1sUEsFBgAAAAAGAAYAWQEAAJoFAAAAAA==&#10;">
                        <v:fill on="f" focussize="0,0"/>
                        <v:stroke color="#000000" joinstyle="round" endarrow="block"/>
                        <v:imagedata o:title=""/>
                        <o:lock v:ext="edit" aspectratio="f"/>
                      </v:line>
                      <v:rect id="_x0000_s1026" o:spid="_x0000_s1026" o:spt="1" style="position:absolute;left:1613974;top:681355;height:260350;width:880110;" fillcolor="#FFFFFF" filled="t" stroked="t" coordsize="21600,21600" o:gfxdata="UEsDBAoAAAAAAIdO4kAAAAAAAAAAAAAAAAAEAAAAZHJzL1BLAwQUAAAACACHTuJARvCD09UAAAAF&#10;AQAADwAAAGRycy9kb3ducmV2LnhtbE2PwU7DMBBE70j8g7VI3KidVK1CiNMDqEgc2/TCbRMvSSBe&#10;R7HTBr4ewwUuK41mNPO22C12EGeafO9YQ7JSIIgbZ3puNZyq/V0Gwgdkg4Nj0vBJHnbl9VWBuXEX&#10;PtD5GFoRS9jnqKELYcyl9E1HFv3KjcTRe3OTxRDl1Eoz4SWW20GmSm2lxZ7jQocjPXbUfBxnq6Hu&#10;0xN+HapnZe/36/CyVO/z65PWtzeJegARaAl/YfjBj+hQRqbazWy8GDTER8LvjV6WZBsQtYbtOt2A&#10;LAv5n778BlBLAwQUAAAACACHTuJA6hg0ixECAAA1BAAADgAAAGRycy9lMm9Eb2MueG1srVPNjtMw&#10;EL4j8Q6W7zRJS7rdqOkeKOWCYKVdHsB1nMSS/+Rxm/RpkLjxEDwO4jUYO2X/4NADOThjz/ib+b4Z&#10;r29GrchReJDW1LSY5ZQIw20jTVfTL/e7NytKIDDTMGWNqOlJAL3ZvH61Hlwl5ra3qhGeIIiBanA1&#10;7UNwVZYB74VmMLNOGHS21msWcOu7rPFsQHStsnmeL7PB+sZ5ywUAnm4nJz0j+ksAbdtKLraWH7Qw&#10;YUL1QrGAlKCXDugmVdu2gofPbQsiEFVTZBrSiknQ3sc126xZ1XnmesnPJbBLSnjBSTNpMOkD1JYF&#10;Rg5e/gWlJfcWbBtm3OpsIpIUQRZF/kKbu545kbig1OAeRIf/B8s/HW89kU1Nr5aUGKax47++fv/5&#10;4xvBA1RncFBh0J279ecdoBmpjq3X8Y8kyIiTtCwW11dvKTnVdLkqFmU5iSvGQDj6V6u8KFB2jv75&#10;Ml+USfzsEcd5CB+E1SQaNfXYuyQpO36EgLkx9E9ITAtWyWYnlUob3+3fKU+ODPu8S1/MjleehSlD&#10;hppel/MS62A4vC0ODZraoQBgupTv2Q14Cpyn71/AsbAtg34qICFM7LUMwmMlrOoFa96bhoSTQ40N&#10;vi0ai9GioUQJfIrRSpGBSXVJJLJTBknGFk1NiVYY9yPCRHNvmxN29+C87HqUtEilRw9OU1LnPPlx&#10;XJ/uE+jja9/8Bl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bwg9PVAAAABQEAAA8AAAAAAAAAAQAg&#10;AAAAIgAAAGRycy9kb3ducmV2LnhtbFBLAQIUABQAAAAIAIdO4kDqGDSLEQIAADUEAAAOAAAAAAAA&#10;AAEAIAAAACQBAABkcnMvZTJvRG9jLnhtbFBLBQYAAAAABgAGAFkBAACnBQAAAAA=&#10;">
                        <v:fill on="t" focussize="0,0"/>
                        <v:stroke color="#000000" joinstyle="miter"/>
                        <v:imagedata o:title=""/>
                        <o:lock v:ext="edit" aspectratio="f"/>
                        <v:textbox>
                          <w:txbxContent>
                            <w:p>
                              <w:pPr>
                                <w:adjustRightInd w:val="0"/>
                                <w:snapToGrid w:val="0"/>
                                <w:jc w:val="center"/>
                              </w:pPr>
                              <w:r>
                                <w:rPr>
                                  <w:rFonts w:hint="eastAsia"/>
                                </w:rPr>
                                <w:t>脱模剂用水</w:t>
                              </w:r>
                            </w:p>
                          </w:txbxContent>
                        </v:textbox>
                      </v:rect>
                      <v:line id="_x0000_s1026" o:spid="_x0000_s1026" o:spt="20" style="position:absolute;left:980244;top:1548130;height:635;width:612140;" filled="f" stroked="t" coordsize="21600,21600" o:gfxdata="UEsDBAoAAAAAAIdO4kAAAAAAAAAAAAAAAAAEAAAAZHJzL1BLAwQUAAAACACHTuJADuAEGdcAAAAF&#10;AQAADwAAAGRycy9kb3ducmV2LnhtbE2PwU7DMBBE70j8g7VI3KiTolZWyKYHpHJpAbVFCG5uvCQR&#10;8TqynTb8PYYLXFYazWjmbbmabC9O5EPnGCGfZSCIa2c6bhBeDusbBSJEzUb3jgnhiwKsqsuLUhfG&#10;nXlHp31sRCrhUGiENsahkDLULVkdZm4gTt6H81bHJH0jjdfnVG57Oc+ypbS647TQ6oHuW6o/96NF&#10;2G3XG/W6Gafavz/kT4fn7eNbUIjXV3l2ByLSFP/C8IOf0KFKTEc3sgmiR0iPxN+bPJWrBYgjwvJ2&#10;vgBZlfI/ffUNUEsDBBQAAAAIAIdO4kCnd/EwAAIAAOoDAAAOAAAAZHJzL2Uyb0RvYy54bWytU0uO&#10;EzEQ3SNxB8t70ulMEoVWOrOYMGwQRAIOULHd3Zb8k+1JJ5fgAkjsYMWSPbeZ4RiU3c0EBiHNgiyc&#10;suv5Vb3X5fXlUStyED5Ia2paTqaUCMMsl6at6ft3189WlIQIhoOyRtT0JAK93Dx9su5dJWa2s4oL&#10;T5DEhKp3Ne1idFVRBNYJDWFinTCYbKzXEHHr24J76JFdq2I2nS6L3nruvGUiBDzdDkk6MvrHENqm&#10;kUxsLbvRwsSB1QsFESWFTrpAN7nbphEsvmmaICJRNUWlMa9YBON9WovNGqrWg+skG1uAx7TwQJMG&#10;abDoPdUWIpAbL/+i0pJ5G2wTJ8zqYhCSHUEV5fSBN287cCJrQauDuzc9/D9a9vqw80Tymj4vKTGg&#10;8Yvfffx2++Hzj++fcL37+oVgBm3qXagQfWV2ftwFt/NJ87HxOv2jGnJEotV0Np9TcsLpWsxX5cXo&#10;sjhGwjC/LGflHP1nCFheLBJ3cSZxPsSXwmqSgpoqaZIDUMHhVYgD9BckHStDeiy5mC2QEHAcGxwD&#10;DLVDScG0+W6wSvJrqVS6EXy7v1KeHCCNRP6NLfwBS0W2ELoBl1MJBlUngL8wnMSTQ68MvhGaWtCC&#10;U6IEPqkUZWQEqc7I6CWYVv0DjQ4og0YklwdfU7S3/JTtzuc4AtmqcVzTjP2+z7fPT3TzE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HAEAABbQ29u&#10;dGVudF9UeXBlc10ueG1sUEsBAhQACgAAAAAAh07iQAAAAAAAAAAAAAAAAAYAAAAAAAAAAAAQAAAA&#10;UgMAAF9yZWxzL1BLAQIUABQAAAAIAIdO4kCKFGY80QAAAJQBAAALAAAAAAAAAAEAIAAAAHYDAABf&#10;cmVscy8ucmVsc1BLAQIUAAoAAAAAAIdO4kAAAAAAAAAAAAAAAAAEAAAAAAAAAAAAEAAAAAAAAABk&#10;cnMvUEsBAhQAFAAAAAgAh07iQA7gBBnXAAAABQEAAA8AAAAAAAAAAQAgAAAAIgAAAGRycy9kb3du&#10;cmV2LnhtbFBLAQIUABQAAAAIAIdO4kCnd/EwAAIAAOoDAAAOAAAAAAAAAAEAIAAAACYBAABkcnMv&#10;ZTJvRG9jLnhtbFBLBQYAAAAABgAGAFkBAACYBQAAAAA=&#10;">
                        <v:fill on="f" focussize="0,0"/>
                        <v:stroke color="#000000" joinstyle="round" endarrow="block"/>
                        <v:imagedata o:title=""/>
                        <o:lock v:ext="edit" aspectratio="f"/>
                      </v:line>
                      <v:rect id="_x0000_s1026" o:spid="_x0000_s1026" o:spt="1" style="position:absolute;left:2241989;top:302260;height:266700;width:79121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AhvyyOsAEAAE8DAAAOAAAAZHJzL2Uyb0RvYy54bWytU0tu&#10;2zAQ3RfoHQjua0pq4cSC5WyMdFO0AdIegKZIiwB/GNKWfJoC3fUQPU7Ra3RIKUmbbrLohhrOjN6b&#10;90ba3kzWkLOEqL3raL2qKJFO+F67Y0e/fL59c01JTNz13HgnO3qRkd7sXr/ajqGVjR+86SUQBHGx&#10;HUNHh5RCy1gUg7Q8rnyQDovKg+UJr3BkPfAR0a1hTVWt2eihD+CFjBGz+7lIF0R4CaBXSgu59+Jk&#10;pUszKkjDE0qKgw6R7sq0SkmRPikVZSKmo6g0lRNJMD7kk+22vD0CD4MWywj8JSM802S5dkj6CLXn&#10;iZMT6H+grBbgo1dpJbxls5DiCKqoq2fe3A88yKIFrY7h0fT4/2DFx/MdEN3jl7BGTxy3uPJfX7//&#10;/PGN5Az6M4bYYtt9uIPlFjHMYicFNj9RBpk62jTv6s31hpJLR99WTTO/zls5JSKwfrWpmxpJBNab&#10;9fqqKvDsCSdATO+ltyQHHQXcXjGVnz/EhNzY+tCSaZ2/1caUDRr3VwIbc4bl0edhc5Smw7QoOPj+&#10;grpPAfRxQKo6Cy3t6HMhWr6JvMg/76Xr6T/Y/QZ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DkJkG&#10;1wAAAAUBAAAPAAAAAAAAAAEAIAAAACIAAABkcnMvZG93bnJldi54bWxQSwECFAAUAAAACACHTuJA&#10;Ib8sjrABAABPAwAADgAAAAAAAAABACAAAAAmAQAAZHJzL2Uyb0RvYy54bWxQSwUGAAAAAAYABgBZ&#10;AQAASAUAAAAA&#10;">
                        <v:fill on="f" focussize="0,0"/>
                        <v:stroke on="f"/>
                        <v:imagedata o:title=""/>
                        <o:lock v:ext="edit" aspectratio="f"/>
                        <v:textbox>
                          <w:txbxContent>
                            <w:p>
                              <w:pPr>
                                <w:adjustRightInd w:val="0"/>
                                <w:snapToGrid w:val="0"/>
                              </w:pPr>
                              <w:r>
                                <w:rPr>
                                  <w:rFonts w:hint="eastAsia"/>
                                </w:rPr>
                                <w:t>2.67</w:t>
                              </w:r>
                            </w:p>
                          </w:txbxContent>
                        </v:textbox>
                      </v:rect>
                      <v:rect id="_x0000_s1026" o:spid="_x0000_s1026" o:spt="1" style="position:absolute;left:2915724;top:3427730;height:266700;width:875665;" fillcolor="#FFFFFF" filled="t" stroked="t" coordsize="21600,21600" o:gfxdata="UEsDBAoAAAAAAIdO4kAAAAAAAAAAAAAAAAAEAAAAZHJzL1BLAwQUAAAACACHTuJARvCD09UAAAAF&#10;AQAADwAAAGRycy9kb3ducmV2LnhtbE2PwU7DMBBE70j8g7VI3KidVK1CiNMDqEgc2/TCbRMvSSBe&#10;R7HTBr4ewwUuK41mNPO22C12EGeafO9YQ7JSIIgbZ3puNZyq/V0Gwgdkg4Nj0vBJHnbl9VWBuXEX&#10;PtD5GFoRS9jnqKELYcyl9E1HFv3KjcTRe3OTxRDl1Eoz4SWW20GmSm2lxZ7jQocjPXbUfBxnq6Hu&#10;0xN+HapnZe/36/CyVO/z65PWtzeJegARaAl/YfjBj+hQRqbazWy8GDTER8LvjV6WZBsQtYbtOt2A&#10;LAv5n778BlBLAwQUAAAACACHTuJAss2jmxICAAA4BAAADgAAAGRycy9lMm9Eb2MueG1srVPNjtMw&#10;EL4j8Q6W7zRpuk13o6Z7oJQLgpUWHmDqOIkl/8l2m/RpkLjxEDwO4jUYu2H/4NADOSTj+PM3830z&#10;Xt+OSpIjd14YXdP5LKeEa2Yaobuafvm8e3NNiQ+gG5BG85qeuKe3m9ev1oOteGF6IxvuCJJoXw22&#10;pn0Itsoyz3quwM+M5Ro3W+MUBFy6LmscDMiuZFbkeZkNxjXWGca9x7/b8yadGN0lhKZtBeNbww6K&#10;63BmdVxCQEm+F9bTTaq2bTkLn9rW80BkTVFpSG9MgvE+vrPNGqrOge0Fm0qAS0p4oUmB0Jj0gWoL&#10;AcjBib+olGDOeNOGGTMqOwtJjqCKef7Cm/seLE9a0GpvH0z3/4+WfTzeOSIanIRyQYkGhS3/9fX7&#10;zx/fSPyD/gzWVwi7t3duWnkMo9ixdSp+UQYZa1rczJer4oqSU00XV8VqtZj85WMgDAHXq2VZLilh&#10;CCjKcpWn/eyRyDof3nOjSAxq6rB9yVU4fvABkyP0DyTm9UaKZiekTAvX7d9KR46Ard6lJ1aPR57B&#10;pCZDTW+WRawDcH5bnBsMlUUPvO5Svmcn/FPiPD3/Io6FbcH35wISQ4RBpUTg0Tmoeg7NO92QcLLo&#10;ssbrRWMxijeUSI63MUYJGUDIS5CoTmoUGXt07kqMwrgfkSaGe9OcsMEH60TXo6XzVHrcwYFK7kzD&#10;Hyf26TqRPl74zW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G8IPT1QAAAAUBAAAPAAAAAAAAAAEA&#10;IAAAACIAAABkcnMvZG93bnJldi54bWxQSwECFAAUAAAACACHTuJAss2jmxICAAA4BAAADgAAAAAA&#10;AAABACAAAAAkAQAAZHJzL2Uyb0RvYy54bWxQSwUGAAAAAAYABgBZAQAAqAUAAAAA&#10;">
                        <v:fill on="t" focussize="0,0"/>
                        <v:stroke color="#000000" joinstyle="miter"/>
                        <v:imagedata o:title=""/>
                        <o:lock v:ext="edit" aspectratio="f"/>
                        <v:textbox>
                          <w:txbxContent>
                            <w:p>
                              <w:pPr>
                                <w:adjustRightInd w:val="0"/>
                                <w:snapToGrid w:val="0"/>
                                <w:jc w:val="center"/>
                              </w:pPr>
                              <w:r>
                                <w:rPr>
                                  <w:rFonts w:hint="eastAsia"/>
                                </w:rPr>
                                <w:t>三级化粪池</w:t>
                              </w:r>
                            </w:p>
                          </w:txbxContent>
                        </v:textbox>
                      </v:rect>
                      <v:rect id="_x0000_s1026" o:spid="_x0000_s1026" o:spt="1" style="position:absolute;left:1078034;top:1254760;height:267335;width:53975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DPseKbsAEAAFADAAAOAAAAZHJzL2Uyb0RvYy54bWytU0tu&#10;2zAQ3RfoHQjua8l2bCeC5WyMdFO0AdIegKZIiwB/mKEt+TQFuushepyi1+hQUpM22WTRDTUzHLx5&#10;7w21ve2dZWcFaIKv+XxWcqa8DI3xx5p/+Xz37pozTMI3wgavan5RyG93b99su1ipRWiDbRQwAvFY&#10;dbHmbUqxKgqUrXICZyEqT5c6gBOJUjgWDYiO0J0tFmW5LroATYQgFSJV9+MlnxDhNYBBayPVPsiT&#10;Uz6NqKCsSCQJWxOR7wa2WiuZPmmNKjFbc1KahpOGUHzIZ7HbiuoIIrZGThTEayg80+SE8TT0EWov&#10;kmAnMC+gnJEQMOg0k8EVo5DBEVIxL59589CKqAYtZDXGR9Px/8HKj+d7YKahl7CmxXvhaOW/vn7/&#10;+eMbyxXyp4tYUdtDvIcpQwqz2F6Dy1+SwXpCKDfX5fKKswvFi9XVZj35q/rEJDWsljebFTkvqWGx&#10;3iyXq4xfPAFFwPReBcdyUHOg9Q2uivMHTGPrn5Y814c7Yy3VRWX9PwXCzJUicx/Z5ij1h36ScAjN&#10;hYSfIphjS6PmA5PcREYPnKZHkTf5dz6APv0Iu9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DkJkG&#10;1wAAAAUBAAAPAAAAAAAAAAEAIAAAACIAAABkcnMvZG93bnJldi54bWxQSwECFAAUAAAACACHTuJA&#10;z7Him7ABAABQAwAADgAAAAAAAAABACAAAAAmAQAAZHJzL2Uyb0RvYy54bWxQSwUGAAAAAAYABgBZ&#10;AQAASAUAAAAA&#10;">
                        <v:fill on="f" focussize="0,0"/>
                        <v:stroke on="f"/>
                        <v:imagedata o:title=""/>
                        <o:lock v:ext="edit" aspectratio="f"/>
                        <v:textbox>
                          <w:txbxContent>
                            <w:p>
                              <w:pPr>
                                <w:adjustRightInd w:val="0"/>
                                <w:snapToGrid w:val="0"/>
                              </w:pPr>
                              <w:r>
                                <w:rPr>
                                  <w:rFonts w:hint="eastAsia"/>
                                </w:rPr>
                                <w:t>0.32</w:t>
                              </w:r>
                            </w:p>
                          </w:txbxContent>
                        </v:textbox>
                      </v:rect>
                      <v:line id="_x0000_s1026" o:spid="_x0000_s1026" o:spt="20" style="position:absolute;left:2495354;top:1546225;flip:y;height:635;width:389255;" filled="f" stroked="t" coordsize="21600,21600" o:gfxdata="UEsDBAoAAAAAAIdO4kAAAAAAAAAAAAAAAAAEAAAAZHJzL1BLAwQUAAAACACHTuJAMaKo19QAAAAF&#10;AQAADwAAAGRycy9kb3ducmV2LnhtbE2PQUvEMBCF74L/IYzgzU3aZZdamy4i6kUQXKvnaTO2xWRS&#10;mmx3/fdGL3oZeLzHe99Uu5OzYqE5jJ41ZCsFgrjzZuReQ/P6cFWACBHZoPVMGr4owK4+P6uwNP7I&#10;L7TsYy9SCYcSNQwxTqWUoRvIYVj5iTh5H352GJOce2lmPKZyZ2Wu1FY6HDktDDjR3UDd5/7gNNy+&#10;P92vn5fWeWuu++bNuEY95lpfXmTqBkSkU/wLww9+Qoc6MbX+wCYIqyE9En9v8oqs2IBoNWzX+QZk&#10;Xcn/9PU3UEsDBBQAAAAIAIdO4kDZfjBgBQIAAPMDAAAOAAAAZHJzL2Uyb0RvYy54bWytU82O0zAQ&#10;viPxDpbvNN20Kduo6R62LBcElfi5Tx07seQ/2d6mfQleAIkbnDhy521YHoOxUxZYLj2QgzX2fP5m&#10;vi/j1dVBK7LnPkhrGnoxmVLCDbOtNF1D3765eXJJSYhgWlDW8IYeeaBX68ePVoOreWl7q1ruCZKY&#10;UA+uoX2Mri6KwHquIUys4waTwnoNEbe+K1oPA7JrVZTT6aIYrG+dt4yHgKebMUlPjP4cQiuEZHxj&#10;2a3mJo6sniuIKCn00gW6zt0KwVl8JUTgkaiGotKYVyyC8S6txXoFdefB9ZKdWoBzWnigSYM0WPSe&#10;agMRyK2X/1BpybwNVsQJs7oYhWRHUMXF9IE3r3twPGtBq4O7Nz38P1r2cr/1RLY4CU/REwMaf/nd&#10;h6/f33/68e0jrndfPpOUQqMGF2rEX5utP+2C2/qk+iC8JkJJ9w55sg+ojBwaWs6X1ayaU3LERDVf&#10;lGU1Ws4PkTAEzC6XZVVRwhCwmOVkMfIlXudDfM6tJiloqJIm2QE17F+EiD0g9BckHStDhoYuKyxC&#10;GOBsCpwJDLVDfcF0+W6wSrY3Uql0I/hud6082UOaj/yl/pD3L1gqsoHQj7icGmX0HNpnpiXx6NA3&#10;gw+GphY0bylRHN9XipAQ6ghSnYPE0spgB8ns0d4U7Wx7zK7nc5yF3ONpbtOw/bnPt3+/1f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aKo19QAAAAFAQAADwAAAAAAAAABACAAAAAiAAAAZHJzL2Rv&#10;d25yZXYueG1sUEsBAhQAFAAAAAgAh07iQNl+MGAFAgAA8wMAAA4AAAAAAAAAAQAgAAAAIwEAAGRy&#10;cy9lMm9Eb2MueG1sUEsFBgAAAAAGAAYAWQEAAJoFAAAAAA==&#10;">
                        <v:fill on="f" focussize="0,0"/>
                        <v:stroke color="#000000" joinstyle="round"/>
                        <v:imagedata o:title=""/>
                        <o:lock v:ext="edit" aspectratio="f"/>
                      </v:line>
                      <v:line id="_x0000_s1026" o:spid="_x0000_s1026" o:spt="20" style="position:absolute;left:976434;top:825500;height:2725420;width:1270;" filled="f" stroked="t" coordsize="21600,21600" o:gfxdata="UEsDBAoAAAAAAIdO4kAAAAAAAAAAAAAAAAAEAAAAZHJzL1BLAwQUAAAACACHTuJAPZSnedUAAAAF&#10;AQAADwAAAGRycy9kb3ducmV2LnhtbE2PzU7DMBCE70h9B2uRuFTUTqpWURqnh0JuXGhBXLfxNomI&#10;12ns/sDTY7iUy0qjGc18W6yvthdnGn3nWEMyUyCIa2c6bjS87arHDIQPyAZ7x6Thizysy8ldgblx&#10;F36l8zY0Ipawz1FDG8KQS+nrliz6mRuIo3dwo8UQ5dhIM+IllttepkotpcWO40KLA21aqj+3J6vB&#10;V+90rL6n9VR9zBtH6fHp5Rm1frhP1ApEoGu4heEXP6JDGZn27sTGi15DfCT83ehlSbYAsdewnKcL&#10;kGUh/9OXP1BLAwQUAAAACACHTuJAHvSQEf4BAADpAwAADgAAAGRycy9lMm9Eb2MueG1srVPNbhMx&#10;EL4j8Q6W72STJWnKKpseGsoFQSToA0y83qwl/8njZpOX4AWQuMGJI/e+DeUxOvaGFsolB3Jwxp7x&#10;N/N9+3lxsTea7WRA5WzNJ6MxZ9IK1yi7rfn1x6sX55xhBNuAdlbW/CCRXyyfP1v0vpKl65xuZGAE&#10;YrHqfc27GH1VFCg6aQBHzktLydYFA5G2YVs0AXpCN7oox+Ozoneh8cEJiUinqyHJj4jhFEDXtkrI&#10;lRM3Rto4oAapIRIl7JRHvszTtq0U8X3booxM15yYxrxSE4o3aS2WC6i2AXynxHEEOGWEJ5wMKEtN&#10;H6BWEIHdBPUPlFEiOHRtHAlnioFIVoRYTMZPtPnQgZeZC0mN/kF0/H+w4t1uHZhqyAnzCWcWDH3y&#10;u88/fn76+uv2C61337+xlCKheo8V1V/adTju0K9DYr1vg0n/xIfta/5qfjZ9OeXsUPPzcjYbH2WW&#10;+8gEpSflnOQXlC3n5Wxa5nTxiOIDxjfSGZaCmmtlkwhQwe4tRupMpb9L0rG2rKees3JGoECObMkJ&#10;FBpPrNBu8110WjVXSut0A8N2c6kD20FyRf4lfoT7V1lqsgLshrqcGvzSSWhe24bFgye1LD0TnkYw&#10;suFMS3pVKSJAqCIofUoltdaWJkgSD6KmaOOaQ9Y6n5MD8oxHtyaL/bnPtx9f6PIe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ZSnedUAAAAFAQAADwAAAAAAAAABACAAAAAiAAAAZHJzL2Rvd25yZXYu&#10;eG1sUEsBAhQAFAAAAAgAh07iQB70kBH+AQAA6QMAAA4AAAAAAAAAAQAgAAAAJAEAAGRycy9lMm9E&#10;b2MueG1sUEsFBgAAAAAGAAYAWQEAAJQFAAAAAA==&#10;">
                        <v:fill on="f" focussize="0,0"/>
                        <v:stroke color="#000000" joinstyle="round"/>
                        <v:imagedata o:title=""/>
                        <o:lock v:ext="edit" aspectratio="f"/>
                      </v:line>
                      <v:shape id="_x0000_s1026" o:spid="_x0000_s1026" o:spt="38" type="#_x0000_t38" style="position:absolute;left:1895279;top:560705;flip:y;height:114300;width:368300;" filled="f" stroked="t" coordsize="21600,21600" o:gfxdata="UEsDBAoAAAAAAIdO4kAAAAAAAAAAAAAAAAAEAAAAZHJzL1BLAwQUAAAACACHTuJAA+cr7tUAAAAF&#10;AQAADwAAAGRycy9kb3ducmV2LnhtbE2PwU7DMBBE70j9B2srcUHUSaFRFOL0UKlSD1xo+IBNvMSB&#10;eB3FThv4egwXuKw0mtHM23K/2EFcaPK9YwXpJgFB3Drdc6fgtT7e5yB8QNY4OCYFn+RhX61uSiy0&#10;u/ILXc6hE7GEfYEKTAhjIaVvDVn0GzcSR+/NTRZDlFMn9YTXWG4HuU2STFrsOS4YHOlgqP04z1bB&#10;0uKM89c71iZ75O6uPj039Ump23WaPIEItIS/MPzgR3SoIlPjZtZeDAriI+H3Ri9P8x2IRkH2sN2B&#10;rEr5n776BlBLAwQUAAAACACHTuJAyKxIhi4CAAAxBAAADgAAAGRycy9lMm9Eb2MueG1srVNLjhMx&#10;EN0jcQfLe9KdZPKZKJ1ZJAwbBJH47B1/uo38k+2kk0twASR2sJoVSzZzmxmOQdndzMAgpFnQi1aV&#10;q/yq3qvy8uKoFTpwH6Q1FR4OSoy4oZZJU1f43dvLZ3OMQiSGEWUNr/CJB3yxevpk2boFH9nGKsY9&#10;AhATFq2rcBOjWxRFoA3XJAys4waCwnpNIri+LpgnLaBrVYzKclq01jPnLeUhwOmmC+Ie0T8G0Aoh&#10;Kd9YutfcxA7Vc0UiUAqNdAGvcrdCcBpfCxF4RKrCwDTmPxQBe5f+xWpJFrUnrpG0b4E8poUHnDSR&#10;BoreQW1IJGjv5V9QWlJvgxVxQK0uOiJZEWAxLB9o86YhjmcuIHVwd6KH/wdLXx22HkkGmzA7w8gQ&#10;DSO/+fTt9vv1j+vPNx+/3F59RSkEQrUuLCB/bba+94Lb+sT6KLxGQkn3HnCyDsAMHcGZn09Gs3OM&#10;ThWeTMtZOekU58eIKMTH0/m4hFlQiA+HZ8kG6KJDTMjOh/iCW42SUWG69wfO1tYYmKz141yLHF6G&#10;mMVnPQHCPgwxElrBLA9EoUlZzsc9cp8NNX5hp6vKoLbC0OwEmiGw1gLWCUztQJpg6lwoWCXZpVQq&#10;3Qi+3q2VR4APi5S/vsIfaanIhoSmy2NgdQo0nLDnhqF4cqC4gaeGUweaM4wUh5eZrLydkUh1nxm9&#10;JKZW/8gGVsqAgGlU3XCStbPslGeWz2GTssT91qdV/d3Pt+9f+uo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A+cr7tUAAAAFAQAADwAAAAAAAAABACAAAAAiAAAAZHJzL2Rvd25yZXYueG1sUEsBAhQA&#10;FAAAAAgAh07iQMisSIYuAgAAMQQAAA4AAAAAAAAAAQAgAAAAJAEAAGRycy9lMm9Eb2MueG1sUEsF&#10;BgAAAAAGAAYAWQEAAMQFAAAAAA==&#10;" adj="10818">
                        <v:fill on="f" focussize="0,0"/>
                        <v:stroke color="#000000" joinstyle="round" dashstyle="dash" endarrow="block"/>
                        <v:imagedata o:title=""/>
                        <o:lock v:ext="edit" aspectratio="f"/>
                      </v:shape>
                      <v:line id="_x0000_s1026" o:spid="_x0000_s1026" o:spt="20" style="position:absolute;left:2879529;top:1551940;height:244475;width:0;" filled="f" stroked="t" coordsize="21600,21600" o:gfxdata="UEsDBAoAAAAAAIdO4kAAAAAAAAAAAAAAAAAEAAAAZHJzL1BLAwQUAAAACACHTuJAPZSnedUAAAAF&#10;AQAADwAAAGRycy9kb3ducmV2LnhtbE2PzU7DMBCE70h9B2uRuFTUTqpWURqnh0JuXGhBXLfxNomI&#10;12ns/sDTY7iUy0qjGc18W6yvthdnGn3nWEMyUyCIa2c6bjS87arHDIQPyAZ7x6Thizysy8ldgblx&#10;F36l8zY0Ipawz1FDG8KQS+nrliz6mRuIo3dwo8UQ5dhIM+IllttepkotpcWO40KLA21aqj+3J6vB&#10;V+90rL6n9VR9zBtH6fHp5Rm1frhP1ApEoGu4heEXP6JDGZn27sTGi15DfCT83ehlSbYAsdewnKcL&#10;kGUh/9OXP1BLAwQUAAAACACHTuJA/Au2bfoBAADnAwAADgAAAGRycy9lMm9Eb2MueG1srVO9jhMx&#10;EO6ReAfLPdkkSrjLKpsrLhwNgkjAA0xsb9aS/+TxZZOX4AWQ6KCipOdtOB6DsTfcwdGkYAvv2DP+&#10;Zr7PM8urgzVsryJq7xo+GY05U054qd2u4e/f3Ty75AwTOAnGO9Xwo0J+tXr6ZNmHWk19541UkRGI&#10;w7oPDe9SCnVVoeiUBRz5oBw5Wx8tJNrGXSUj9IRuTTUdj59XvY8yRC8UIp2uByc/IcZzAH3baqHW&#10;Xtxa5dKAGpWBRJSw0wH5qlTbtkqkN22LKjHTcGKaykpJyN7mtVotod5FCJ0WpxLgnBIecbKgHSW9&#10;h1pDAnYb9T9QVovo0bdpJLytBiJFEWIxGT/S5m0HQRUuJDWGe9Hx/8GK1/tNZFpSJ1zMOXNg6cnv&#10;Pn778eHzz++faL37+oVlFwnVB6wp/tpt4mmHYRMz60Mbbf4TH3Zo+PTyYjGfLjg7Eux8PlnMTkKr&#10;Q2KCAkh9Qb7pbDYboKsHjBAxvVTesmw03GiXJYAa9q8wUV4K/R2Sj41jfcMpHVUvgPqxpT4g0wbi&#10;hG5X7qI3Wt5oY/INjLvttYlsD7knypfZEe5fYTnJGrAb4opr6JZOgXzhJEvHQFo5GhKeS7BKcmYU&#10;zVS2CBDqBNqcE0mpjaMKssCDpNnaenksSpdzev9S46lXc4P9uS+3H+Zz9Qt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9lKd51QAAAAUBAAAPAAAAAAAAAAEAIAAAACIAAABkcnMvZG93bnJldi54bWxQ&#10;SwECFAAUAAAACACHTuJA/Au2bfoBAADnAwAADgAAAAAAAAABACAAAAAkAQAAZHJzL2Uyb0RvYy54&#10;bWxQSwUGAAAAAAYABgBZAQAAkAUAAAAA&#10;">
                        <v:fill on="f" focussize="0,0"/>
                        <v:stroke color="#000000" joinstyle="round"/>
                        <v:imagedata o:title=""/>
                        <o:lock v:ext="edit" aspectratio="f"/>
                      </v:line>
                      <v:rect id="_x0000_s1026" o:spid="_x0000_s1026" o:spt="1" style="position:absolute;left:1607624;top:1424305;height:260350;width:880110;" fillcolor="#FFFFFF" filled="t" stroked="t" coordsize="21600,21600" o:gfxdata="UEsDBAoAAAAAAIdO4kAAAAAAAAAAAAAAAAAEAAAAZHJzL1BLAwQUAAAACACHTuJARvCD09UAAAAF&#10;AQAADwAAAGRycy9kb3ducmV2LnhtbE2PwU7DMBBE70j8g7VI3KidVK1CiNMDqEgc2/TCbRMvSSBe&#10;R7HTBr4ewwUuK41mNPO22C12EGeafO9YQ7JSIIgbZ3puNZyq/V0Gwgdkg4Nj0vBJHnbl9VWBuXEX&#10;PtD5GFoRS9jnqKELYcyl9E1HFv3KjcTRe3OTxRDl1Eoz4SWW20GmSm2lxZ7jQocjPXbUfBxnq6Hu&#10;0xN+HapnZe/36/CyVO/z65PWtzeJegARaAl/YfjBj+hQRqbazWy8GDTER8LvjV6WZBsQtYbtOt2A&#10;LAv5n778BlBLAwQUAAAACACHTuJAZPaP5xECAAA4BAAADgAAAGRycy9lMm9Eb2MueG1srVPNjtMw&#10;EL4j8Q6W7zRpts2WqOkeKOWCYKVdHsB1nMSS/+Rxm/RpkLjxEDwO4jUYO2X/4NADOSTjePzN930z&#10;Xt+MWpGj8CCtqel8llMiDLeNNF1Nv9zv3qwogcBMw5Q1oqYnAfRm8/rVenCVKGxvVSM8QRAD1eBq&#10;2ofgqiwD3gvNYGadMLjZWq9ZwKXvssazAdG1yoo8L7PB+sZ5ywUA/t1Om/SM6C8BtG0rudhaftDC&#10;hAnVC8UCSoJeOqCbxLZtBQ+f2xZEIKqmqDSkNxbBeB/f2WbNqs4z10t+psAuofBCk2bSYNEHqC0L&#10;jBy8/AtKS+4t2DbMuNXZJCQ5girm+Qtv7nrmRNKCVoN7MB3+Hyz/dLz1RDY4CdclJYZpbPmvr99/&#10;/vhG4h/0Z3BQYdqdu/XnFWAYxY6t1/GLMsiICGV+XRYLSk4YL4rFVb6c/BVjIBwTVqt8PkfnOSYU&#10;ZX61TP5nj0DOQ/ggrCYxqKnH9iVX2fEjBCyOqX9SYl2wSjY7qVRa+G7/TnlyZNjqXXpidTzyLE0Z&#10;MtT07bJYIg+G89vi3GCoHXoApkv1np2Ap8B5ev4FHIltGfQTgYQwqdcyCI9MWNUL1rw3DQknhy4b&#10;vF40ktGioUQJvI0xSpmBSXVJJqpTBkXGHk1diVEY9yPCxHBvmxM2+OC87Hq0dJ6oxx0cqOTOefjj&#10;xD5dJ9DHC7/5D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bwg9PVAAAABQEAAA8AAAAAAAAAAQAg&#10;AAAAIgAAAGRycy9kb3ducmV2LnhtbFBLAQIUABQAAAAIAIdO4kBk9o/nEQIAADgEAAAOAAAAAAAA&#10;AAEAIAAAACQBAABkcnMvZTJvRG9jLnhtbFBLBQYAAAAABgAGAFkBAACnBQAAAAA=&#10;">
                        <v:fill on="t" focussize="0,0"/>
                        <v:stroke color="#000000" joinstyle="miter"/>
                        <v:imagedata o:title=""/>
                        <o:lock v:ext="edit" aspectratio="f"/>
                        <v:textbox>
                          <w:txbxContent>
                            <w:p>
                              <w:pPr>
                                <w:adjustRightInd w:val="0"/>
                                <w:snapToGrid w:val="0"/>
                                <w:jc w:val="center"/>
                              </w:pPr>
                              <w:r>
                                <w:rPr>
                                  <w:rFonts w:hint="eastAsia"/>
                                </w:rPr>
                                <w:t>冷却用水</w:t>
                              </w:r>
                            </w:p>
                          </w:txbxContent>
                        </v:textbox>
                      </v:rect>
                      <v:line id="_x0000_s1026" o:spid="_x0000_s1026" o:spt="20" style="position:absolute;left:980879;top:2245995;height:635;width:612140;" filled="f" stroked="t" coordsize="21600,21600" o:gfxdata="UEsDBAoAAAAAAIdO4kAAAAAAAAAAAAAAAAAEAAAAZHJzL1BLAwQUAAAACACHTuJADuAEGdcAAAAF&#10;AQAADwAAAGRycy9kb3ducmV2LnhtbE2PwU7DMBBE70j8g7VI3KiTolZWyKYHpHJpAbVFCG5uvCQR&#10;8TqynTb8PYYLXFYazWjmbbmabC9O5EPnGCGfZSCIa2c6bhBeDusbBSJEzUb3jgnhiwKsqsuLUhfG&#10;nXlHp31sRCrhUGiENsahkDLULVkdZm4gTt6H81bHJH0jjdfnVG57Oc+ypbS647TQ6oHuW6o/96NF&#10;2G3XG/W6Gafavz/kT4fn7eNbUIjXV3l2ByLSFP/C8IOf0KFKTEc3sgmiR0iPxN+bPJWrBYgjwvJ2&#10;vgBZlfI/ffUNUEsDBBQAAAAIAIdO4kDyIwkgBQIAAOwDAAAOAAAAZHJzL2Uyb0RvYy54bWytU0uO&#10;EzEQ3SNxB8t70kkz+bXSmcWEYYMgEnCAiu3utuSfbE86uQQXQGIHK5bs5zYMx6DsDhMYhDQLsnDK&#10;rudX9V6XV5cHrche+CCtqelkNKZEGGa5NG1N37+7fragJEQwHJQ1oqZHEejl+umTVe8qUdrOKi48&#10;QRITqt7VtIvRVUURWCc0hJF1wmCysV5DxK1vC+6hR3atinI8nhW99dx5y0QIeLoZkvTE6B9DaJtG&#10;MrGx7EYLEwdWLxRElBQ66QJd526bRrD4pmmCiETVFJXGvGIRjHdpLdYrqFoPrpPs1AI8poUHmjRI&#10;g0XvqTYQgdx4+ReVlszbYJs4YlYXg5DsCKqYjB9487YDJ7IWtDq4e9PD/6Nlr/dbTyTHSZjPKTGg&#10;8ZPfffz2/cPnH7efcL37+oWkFBrVu1Ah/sps/WkX3NYn1YfG6/SPesihpsvFeDFfUnKsaVleTJfL&#10;6eCzOETCMD+blJML/AIMAbPnOVmcSZwP8aWwmqSgpkqa5AFUsH8VIhZG6C9IOlaG9FhyWk6REHAg&#10;GxwEDLVDUcG0+W6wSvJrqVS6EXy7u1Ke7CENRf6l/pD3D1gqsoHQDbicGmR0AvgLw0k8OjTL4Cuh&#10;qQUtOCVK4KNKERJCFUGqMzJ6CaZV/0BjeWWwi+Ty4GuKdpYfs935HIcg93ka2DRlv+/z7fMjXf8E&#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uAEGdcAAAAFAQAADwAAAAAAAAABACAAAAAiAAAAZHJz&#10;L2Rvd25yZXYueG1sUEsBAhQAFAAAAAgAh07iQPIjCSAFAgAA7AMAAA4AAAAAAAAAAQAgAAAAJgEA&#10;AGRycy9lMm9Eb2MueG1sUEsFBgAAAAAGAAYAWQEAAJ0FAAAAAA==&#10;">
                        <v:fill on="f" focussize="0,0"/>
                        <v:stroke color="#000000" joinstyle="round" endarrow="block"/>
                        <v:imagedata o:title=""/>
                        <o:lock v:ext="edit" aspectratio="f"/>
                      </v:line>
                      <v:rect id="_x0000_s1026" o:spid="_x0000_s1026" o:spt="1" style="position:absolute;left:1624769;top:2110105;height:260350;width:880110;" fillcolor="#FFFFFF" filled="t" stroked="t" coordsize="21600,21600" o:gfxdata="UEsDBAoAAAAAAIdO4kAAAAAAAAAAAAAAAAAEAAAAZHJzL1BLAwQUAAAACACHTuJARvCD09UAAAAF&#10;AQAADwAAAGRycy9kb3ducmV2LnhtbE2PwU7DMBBE70j8g7VI3KidVK1CiNMDqEgc2/TCbRMvSSBe&#10;R7HTBr4ewwUuK41mNPO22C12EGeafO9YQ7JSIIgbZ3puNZyq/V0Gwgdkg4Nj0vBJHnbl9VWBuXEX&#10;PtD5GFoRS9jnqKELYcyl9E1HFv3KjcTRe3OTxRDl1Eoz4SWW20GmSm2lxZ7jQocjPXbUfBxnq6Hu&#10;0xN+HapnZe/36/CyVO/z65PWtzeJegARaAl/YfjBj+hQRqbazWy8GDTER8LvjV6WZBsQtYbtOt2A&#10;LAv5n778BlBLAwQUAAAACACHTuJACePrPw8CAAA4BAAADgAAAGRycy9lMm9Eb2MueG1srVPLrtMw&#10;EN0j8Q+W9zRpoL29UdO7oJQNgitd+ADXdhJLfsnjNunXILHjI/gcxG8wdsp9waILskjG9uTMOWfG&#10;65vRaHKUAZSzDZ3PSkqk5U4o2zX0y+fdqxUlEJkVTDsrG3qSQG82L1+sB1/LyvVOCxkIglioB9/Q&#10;PkZfFwXwXhoGM+elxcPWBcMiLkNXiMAGRDe6qMpyWQwuCB8clwC4u50O6RkxXALo2lZxuXX8YKSN&#10;E2qQmkWUBL3yQDeZbdtKHj+1LchIdENRacxvLILxPr2LzZrVXWC+V/xMgV1C4Zkmw5TFovdQWxYZ&#10;OQT1F5RRPDhwbZxxZ4pJSHYEVczLZ97c9czLrAWtBn9vOvw/WP7xeBuIEjgJV9h4ywy2/NfX7z9/&#10;fCNpB/0ZPNSYdudvw3kFGCaxYxtM+qIMMiLCsnpztbym5NTQaj5HPYvJXzlGwjFhtSpxmxKeEpbl&#10;60X2v3gA8gHie+kMSUFDA7Yvu8qOHyBicUz9k5LqgtNK7JTWeRG6/VsdyJFhq3f5SdXxlydp2pKh&#10;odeLaoE8GM5vi3ODofHoAdgu13vyBzwGLvPzL+BEbMugnwhkhEm9UVEGZMLqXjLxzgoSTx5dtni9&#10;aCJjpKBES7yNKcqZkSl9SSaq0xZFph5NXUlRHPcjwqRw78QJG3zwQXU9WjrP1NMJDlR25zz8aWIf&#10;rzPow4Xf/AZ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BG8IPT1QAAAAUBAAAPAAAAAAAAAAEAIAAA&#10;ACIAAABkcnMvZG93bnJldi54bWxQSwECFAAUAAAACACHTuJACePrPw8CAAA4BAAADgAAAAAAAAAB&#10;ACAAAAAkAQAAZHJzL2Uyb0RvYy54bWxQSwUGAAAAAAYABgBZAQAApQUAAAAA&#10;">
                        <v:fill on="t" focussize="0,0"/>
                        <v:stroke color="#000000" joinstyle="miter"/>
                        <v:imagedata o:title=""/>
                        <o:lock v:ext="edit" aspectratio="f"/>
                        <v:textbox>
                          <w:txbxContent>
                            <w:p>
                              <w:pPr>
                                <w:adjustRightInd w:val="0"/>
                                <w:snapToGrid w:val="0"/>
                                <w:jc w:val="center"/>
                              </w:pPr>
                              <w:r>
                                <w:rPr>
                                  <w:rFonts w:hint="eastAsia"/>
                                </w:rPr>
                                <w:t>研磨用水</w:t>
                              </w:r>
                            </w:p>
                          </w:txbxContent>
                        </v:textbox>
                      </v:rect>
                      <v:line id="_x0000_s1026" o:spid="_x0000_s1026" o:spt="20" style="position:absolute;left:980879;top:2837815;height:635;width:612140;" filled="f" stroked="t" coordsize="21600,21600" o:gfxdata="UEsDBAoAAAAAAIdO4kAAAAAAAAAAAAAAAAAEAAAAZHJzL1BLAwQUAAAACACHTuJADuAEGdcAAAAF&#10;AQAADwAAAGRycy9kb3ducmV2LnhtbE2PwU7DMBBE70j8g7VI3KiTolZWyKYHpHJpAbVFCG5uvCQR&#10;8TqynTb8PYYLXFYazWjmbbmabC9O5EPnGCGfZSCIa2c6bhBeDusbBSJEzUb3jgnhiwKsqsuLUhfG&#10;nXlHp31sRCrhUGiENsahkDLULVkdZm4gTt6H81bHJH0jjdfnVG57Oc+ypbS647TQ6oHuW6o/96NF&#10;2G3XG/W6Gafavz/kT4fn7eNbUIjXV3l2ByLSFP/C8IOf0KFKTEc3sgmiR0iPxN+bPJWrBYgjwvJ2&#10;vgBZlfI/ffUNUEsDBBQAAAAIAIdO4kDA7vxQBAIAAOwDAAAOAAAAZHJzL2Uyb0RvYy54bWytU81u&#10;EzEQviPxDpbvZJOUpOkqmx4aygVBJOABJl7vriX/yeNmk5fgBZC4wYkj974N5TEYe0MDRUg9kIMz&#10;9nz+Zr5vx8vLvdFsJwMqZys+GY05k1a4Wtm24u/fXT9bcIYRbA3aWVnxg0R+uXr6ZNn7Uk5d53Qt&#10;AyMSi2XvK97F6MuiQNFJAzhyXlpKNi4YiLQNbVEH6Ind6GI6Hs+L3oXaByckIp2uhyQ/MobHELqm&#10;UUKunbgx0saBNUgNkSRhpzzyVe62aaSIb5oGZWS64qQ05pWKULxNa7FaQtkG8J0SxxbgMS080GRA&#10;WSp6T7WGCOwmqL+ojBLBoWviSDhTDEKyI6RiMn7gzdsOvMxayGr096bj/6MVr3ebwFRNk3B+wZkF&#10;Q5/87uO37x8+/7j9ROvd1y8spcio3mNJ+Cu7Cccd+k1IqvdNMOmf9LB9xS8W40ViO1R8ujg7X0xm&#10;g89yH5mg/HwynTynLyAIMD/LyeJE4gPGl9IZloKKa2WTB1DC7hVGKkzQX5B0rC3rqeRsOiNCoIFs&#10;aBAoNJ5EoW3zXXRa1ddK63QDQ7u90oHtIA1F/qX+iPcPWCqyBuwGXE4NMjoJ9Qtbs3jwZJalV8JT&#10;C0bWnGlJjypFRAhlBKVPyBgU2Fb/A03ltaUuksuDrynauvqQ7c7nNAS5z+PApin7fZ9vnx7p6id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O4AQZ1wAAAAUBAAAPAAAAAAAAAAEAIAAAACIAAABkcnMv&#10;ZG93bnJldi54bWxQSwECFAAUAAAACACHTuJAwO78UAQCAADsAwAADgAAAAAAAAABACAAAAAmAQAA&#10;ZHJzL2Uyb0RvYy54bWxQSwUGAAAAAAYABgBZAQAAnAUAAAAA&#10;">
                        <v:fill on="f" focussize="0,0"/>
                        <v:stroke color="#000000" joinstyle="round" endarrow="block"/>
                        <v:imagedata o:title=""/>
                        <o:lock v:ext="edit" aspectratio="f"/>
                      </v:line>
                      <v:line id="_x0000_s1026" o:spid="_x0000_s1026" o:spt="20" style="position:absolute;left:980879;top:3549015;height:635;width:612140;" filled="f" stroked="t" coordsize="21600,21600" o:gfxdata="UEsDBAoAAAAAAIdO4kAAAAAAAAAAAAAAAAAEAAAAZHJzL1BLAwQUAAAACACHTuJADuAEGdcAAAAF&#10;AQAADwAAAGRycy9kb3ducmV2LnhtbE2PwU7DMBBE70j8g7VI3KiTolZWyKYHpHJpAbVFCG5uvCQR&#10;8TqynTb8PYYLXFYazWjmbbmabC9O5EPnGCGfZSCIa2c6bhBeDusbBSJEzUb3jgnhiwKsqsuLUhfG&#10;nXlHp31sRCrhUGiENsahkDLULVkdZm4gTt6H81bHJH0jjdfnVG57Oc+ypbS647TQ6oHuW6o/96NF&#10;2G3XG/W6Gafavz/kT4fn7eNbUIjXV3l2ByLSFP/C8IOf0KFKTEc3sgmiR0iPxN+bPJWrBYgjwvJ2&#10;vgBZlfI/ffUNUEsDBBQAAAAIAIdO4kBx2OKeBQIAAOwDAAAOAAAAZHJzL2Uyb0RvYy54bWytU81u&#10;EzEQviPxDpbvZDdpE5JVNj00lAuCSNAHmNjeXUv+k+1mk5fgBZC4wYkj974N5TE69oYGipB6IAdn&#10;7Pn8zXzfjpcXe63ITvggranpeFRSIgyzXJq2ptcfrl7MKQkRDAdljajpQQR6sXr+bNm7SkxsZxUX&#10;niCJCVXvatrF6KqiCKwTGsLIOmEw2VivIeLWtwX30CO7VsWkLGdFbz133jIRAp6uhyQ9MvqnENqm&#10;kUysLbvRwsSB1QsFESWFTrpAV7nbphEsvmuaICJRNUWlMa9YBONtWovVEqrWg+skO7YAT2nhkSYN&#10;0mDRB6o1RCA3Xv5FpSXzNtgmjpjVxSAkO4IqxuUjb9534ETWglYH92B6+H+07O1u44nkOAlz9MSA&#10;xk9+9+n7j49fft5+xvXu21eSUmhU70KF+Euz8cddcBufVO8br9M/6iH7mi7m5fzlgpJDTc+m54ty&#10;PB18FvtIGOZn48n4HKsxBMzOcrI4kTgf4mthNUlBTZU0yQOoYPcmRCyM0F+QdKwM6bHkdDJFQsCB&#10;bHAQMNQORQXT5rvBKsmvpFLpRvDt9lJ5soM0FPmX+kPeP2CpyBpCN+ByapDRCeCvDCfx4NAsg6+E&#10;pha04JQogY8qRUgIVQSpTsjoJZhW/QON5ZXBLpLLg68p2lp+yHbncxyC3OdxYNOU/b7Pt0+PdHUP&#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uAEGdcAAAAFAQAADwAAAAAAAAABACAAAAAiAAAAZHJz&#10;L2Rvd25yZXYueG1sUEsBAhQAFAAAAAgAh07iQHHY4p4FAgAA7AMAAA4AAAAAAAAAAQAgAAAAJgEA&#10;AGRycy9lMm9Eb2MueG1sUEsFBgAAAAAGAAYAWQEAAJ0FAAAAAA==&#10;">
                        <v:fill on="f" focussize="0,0"/>
                        <v:stroke color="#000000" joinstyle="round" endarrow="block"/>
                        <v:imagedata o:title=""/>
                        <o:lock v:ext="edit" aspectratio="f"/>
                      </v:line>
                      <v:rect id="_x0000_s1026" o:spid="_x0000_s1026" o:spt="1" style="position:absolute;left:1615879;top:2728595;height:260350;width:880110;" fillcolor="#FFFFFF" filled="t" stroked="t" coordsize="21600,21600" o:gfxdata="UEsDBAoAAAAAAIdO4kAAAAAAAAAAAAAAAAAEAAAAZHJzL1BLAwQUAAAACACHTuJARvCD09UAAAAF&#10;AQAADwAAAGRycy9kb3ducmV2LnhtbE2PwU7DMBBE70j8g7VI3KidVK1CiNMDqEgc2/TCbRMvSSBe&#10;R7HTBr4ewwUuK41mNPO22C12EGeafO9YQ7JSIIgbZ3puNZyq/V0Gwgdkg4Nj0vBJHnbl9VWBuXEX&#10;PtD5GFoRS9jnqKELYcyl9E1HFv3KjcTRe3OTxRDl1Eoz4SWW20GmSm2lxZ7jQocjPXbUfBxnq6Hu&#10;0xN+HapnZe/36/CyVO/z65PWtzeJegARaAl/YfjBj+hQRqbazWy8GDTER8LvjV6WZBsQtYbtOt2A&#10;LAv5n778BlBLAwQUAAAACACHTuJAPR5oZxICAAA4BAAADgAAAGRycy9lMm9Eb2MueG1srVM7jtsw&#10;EO0D5A4E+1iSA3ttwfIW6zhNkCywmwOMSUoiwB9I2pJPEyBdDpHjBLlGhrSzv6RwsSqkofj4Zt6b&#10;4ep61IochA/SmoZWk5ISYZjl0nQN/Xq/fbegJEQwHJQ1oqFHEej1+u2b1eBqMbW9VVx4giQm1INr&#10;aB+jq4sisF5oCBPrhMHN1noNEZe+K7iHAdm1KqZlOS8G67nzlokQ8O/mtEnPjP4SQtu2komNZXst&#10;TDyxeqEgoqTQSxfoOlfbtoLFL20bRCSqoag05jcmwXiX3sV6BXXnwfWSnUuAS0p4oUmDNJj0gWoD&#10;Ecjey3+otGTeBtvGCbO6OAnJjqCKqnzhzV0PTmQtaHVwD6aH16Nlnw+3nkje0Gk1o8SAxpb//vbj&#10;18/vJP1BfwYXaoTduVt/XgUMk9ix9Tp9UQYZcZbm1WxxtaTkiGxX08Vsmc9DLcZIGAIWi7Kq0HmW&#10;APPy/Sz7XzwSOR/iR2E1SUFDPbYvuwqHTyFicoT+haS8wSrJt1KpvPDd7kZ5cgBs9TY/qXo88gym&#10;DBkaupxNUS0DnN8W5wZD7dCDYLqc79mJ8JS4zM//iFNhGwj9qYDMkGBQaxlFcg7qXgD/YDiJR4cu&#10;G7xeNBWjBadECbyNKcrICFJdgkR1yqDI1KNTV1IUx92INCncWX7EBu+dl12Plla59LSDA5XdOQ9/&#10;mtin60z6eOHX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BG8IPT1QAAAAUBAAAPAAAAAAAAAAEA&#10;IAAAACIAAABkcnMvZG93bnJldi54bWxQSwECFAAUAAAACACHTuJAPR5oZxICAAA4BAAADgAAAAAA&#10;AAABACAAAAAkAQAAZHJzL2Uyb0RvYy54bWxQSwUGAAAAAAYABgBZAQAAqAUAAAAA&#10;">
                        <v:fill on="t" focussize="0,0"/>
                        <v:stroke color="#000000" joinstyle="miter"/>
                        <v:imagedata o:title=""/>
                        <o:lock v:ext="edit" aspectratio="f"/>
                        <v:textbox>
                          <w:txbxContent>
                            <w:p>
                              <w:pPr>
                                <w:adjustRightInd w:val="0"/>
                                <w:snapToGrid w:val="0"/>
                                <w:jc w:val="center"/>
                              </w:pPr>
                              <w:r>
                                <w:rPr>
                                  <w:rFonts w:hint="eastAsia"/>
                                </w:rPr>
                                <w:t>水喷淋用水</w:t>
                              </w:r>
                            </w:p>
                          </w:txbxContent>
                        </v:textbox>
                      </v:rect>
                      <v:rect id="_x0000_s1026" o:spid="_x0000_s1026" o:spt="1" style="position:absolute;left:1633024;top:3422015;height:260350;width:880110;" fillcolor="#FFFFFF" filled="t" stroked="t" coordsize="21600,21600" o:gfxdata="UEsDBAoAAAAAAIdO4kAAAAAAAAAAAAAAAAAEAAAAZHJzL1BLAwQUAAAACACHTuJARvCD09UAAAAF&#10;AQAADwAAAGRycy9kb3ducmV2LnhtbE2PwU7DMBBE70j8g7VI3KidVK1CiNMDqEgc2/TCbRMvSSBe&#10;R7HTBr4ewwUuK41mNPO22C12EGeafO9YQ7JSIIgbZ3puNZyq/V0Gwgdkg4Nj0vBJHnbl9VWBuXEX&#10;PtD5GFoRS9jnqKELYcyl9E1HFv3KjcTRe3OTxRDl1Eoz4SWW20GmSm2lxZ7jQocjPXbUfBxnq6Hu&#10;0xN+HapnZe/36/CyVO/z65PWtzeJegARaAl/YfjBj+hQRqbazWy8GDTER8LvjV6WZBsQtYbtOt2A&#10;LAv5n778BlBLAwQUAAAACACHTuJAyz697xECAAA4BAAADgAAAGRycy9lMm9Eb2MueG1srVM7jtsw&#10;EO0D5A4E+1gfrw1HsLxFHKcJkgV2cwCaoiQC/IFDW/JpAqTLIXKcINfIkHL2ly1crAppKA7fvPdm&#10;uL4etSJH4UFaU9NillMiDLeNNF1Nv93t3q0ogcBMw5Q1oqYnAfR68/bNenCVKG1vVSM8QRAD1eBq&#10;2ofgqiwD3gvNYGadMLjZWq9ZwKXvssazAdG1yso8X2aD9Y3zlgsA/LudNukZ0V8CaNtWcrG1/KCF&#10;CROqF4oFlAS9dEA3iW3bCh6+ti2IQFRNUWlIbyyC8T6+s82aVZ1nrpf8TIFdQuGZJs2kwaL3UFsW&#10;GDl4+R+UltxbsG2YcauzSUhyBFUU+TNvbnvmRNKCVoO7Nx1eD5Z/Od54IpualsWSEsM0tvzP95+/&#10;f/0g8Q/6MzioMO3W3fjzCjCMYsfW6/hFGWTEWVrO53l5RcmppvOrEgUtJn/FGAjHhNUqLwp0nmNC&#10;uczni+R/9gDkPIRPwmoSg5p6bF9ylR0/Q8DimPovJdYFq2Szk0qlhe/2H5QnR4at3qUnVscjT9KU&#10;IUNN3y/KBfJgOL8tzg2G2qEHYLpU78kJeAycp+cl4Ehsy6CfCCSESb2WQXhkwqpesOajaUg4OXTZ&#10;4PWikYwWDSVK4G2MUcoMTKpLMlGdMigy9mjqSozCuB8RJoZ725ywwQfnZdejpUWiHndwoJI75+GP&#10;E/t4nUAfLvzmL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Ebwg9PVAAAABQEAAA8AAAAAAAAAAQAg&#10;AAAAIgAAAGRycy9kb3ducmV2LnhtbFBLAQIUABQAAAAIAIdO4kDLPr3vEQIAADgEAAAOAAAAAAAA&#10;AAEAIAAAACQBAABkcnMvZTJvRG9jLnhtbFBLBQYAAAAABgAGAFkBAACnBQAAAAA=&#10;">
                        <v:fill on="t" focussize="0,0"/>
                        <v:stroke color="#000000" joinstyle="miter"/>
                        <v:imagedata o:title=""/>
                        <o:lock v:ext="edit" aspectratio="f"/>
                        <v:textbox>
                          <w:txbxContent>
                            <w:p>
                              <w:pPr>
                                <w:adjustRightInd w:val="0"/>
                                <w:snapToGrid w:val="0"/>
                                <w:jc w:val="center"/>
                              </w:pPr>
                              <w:r>
                                <w:rPr>
                                  <w:rFonts w:hint="eastAsia"/>
                                </w:rPr>
                                <w:t>生活用水</w:t>
                              </w:r>
                            </w:p>
                          </w:txbxContent>
                        </v:textbox>
                      </v:rect>
                      <v:line id="_x0000_s1026" o:spid="_x0000_s1026" o:spt="20" style="position:absolute;left:2081334;top:1795780;height:4445;width:794385;" filled="f" stroked="t" coordsize="21600,21600" o:gfxdata="UEsDBAoAAAAAAIdO4kAAAAAAAAAAAAAAAAAEAAAAZHJzL1BLAwQUAAAACACHTuJAPZSnedUAAAAF&#10;AQAADwAAAGRycy9kb3ducmV2LnhtbE2PzU7DMBCE70h9B2uRuFTUTqpWURqnh0JuXGhBXLfxNomI&#10;12ns/sDTY7iUy0qjGc18W6yvthdnGn3nWEMyUyCIa2c6bjS87arHDIQPyAZ7x6Thizysy8ldgblx&#10;F36l8zY0Ipawz1FDG8KQS+nrliz6mRuIo3dwo8UQ5dhIM+IllttepkotpcWO40KLA21aqj+3J6vB&#10;V+90rL6n9VR9zBtH6fHp5Rm1frhP1ApEoGu4heEXP6JDGZn27sTGi15DfCT83ehlSbYAsdewnKcL&#10;kGUh/9OXP1BLAwQUAAAACACHTuJAJCcZ/fwBAADqAwAADgAAAGRycy9lMm9Eb2MueG1srVNLjhMx&#10;EN0jcQfLe9KdH0la6cxiwrBBEAk4gGO705b8k8uTTi7BBZDYwYole27DcAzK7mYGhk0W9MJddj0/&#10;13sur69ORpOjDKCcrel4VFIiLXdC2UNN37+7ebakBCKzgmlnZU3PEujV5umTdecrOXGt00IGgiQW&#10;qs7XtI3RV0UBvJWGwch5aTHZuGBYxGk4FCKwDtmNLiZl+bzoXBA+OC4BcHXbJ+nAGC4hdE2juNw6&#10;fmukjT1rkJpFlASt8kA3udqmkTy+aRqQkeiaotKYRzwE430ai82aVYfAfKv4UAK7pIRHmgxTFg+9&#10;p9qyyMhtUP9QGcWDA9fEEXem6IVkR1DFuHzkzduWeZm1oNXg702H/0fLXx93gShR08l4QYllBq/8&#10;7uO3Hx8+//z+Cce7r19ISqFRnYcK8dd2F4YZ+F1Iqk9NMOmPesgJqcrleDqdUXLGBlus5ovlYLQ8&#10;RcIRsFjNpss5JRwBs9lsntiLBxofIL6UzpAU1FQrm1xgFTu+gthDf0PSsrakq+lqPkmMDFuywVbA&#10;0HiUBfaQ94LTStwordMOCIf9tQ7kyFJb5G8o4S9YOmTLoO1xOZVgrGolEy+sIPHs0S6L74SmEowU&#10;lGiJzypFGRmZ0pcgUb22aELyuHc1RXsnztnsvI4tkG0a2jX12J/zvPvhiW5+AV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GoEAABbQ29udGVudF9U&#10;eXBlc10ueG1sUEsBAhQACgAAAAAAh07iQAAAAAAAAAAAAAAAAAYAAAAAAAAAAAAQAAAATAMAAF9y&#10;ZWxzL1BLAQIUABQAAAAIAIdO4kCKFGY80QAAAJQBAAALAAAAAAAAAAEAIAAAAHADAABfcmVscy8u&#10;cmVsc1BLAQIUAAoAAAAAAIdO4kAAAAAAAAAAAAAAAAAEAAAAAAAAAAAAEAAAAAAAAABkcnMvUEsB&#10;AhQAFAAAAAgAh07iQD2Up3nVAAAABQEAAA8AAAAAAAAAAQAgAAAAIgAAAGRycy9kb3ducmV2Lnht&#10;bFBLAQIUABQAAAAIAIdO4kAkJxn9/AEAAOoDAAAOAAAAAAAAAAEAIAAAACQBAABkcnMvZTJvRG9j&#10;LnhtbFBLBQYAAAAABgAGAFkBAACSBQAAAAA=&#10;">
                        <v:fill on="f" focussize="0,0"/>
                        <v:stroke color="#000000" joinstyle="round"/>
                        <v:imagedata o:title=""/>
                        <o:lock v:ext="edit" aspectratio="f"/>
                      </v:line>
                      <v:line id="_x0000_s1026" o:spid="_x0000_s1026" o:spt="20" style="position:absolute;left:2080699;top:1699260;flip:x y;height:103505;width:3175;" filled="f" stroked="t" coordsize="21600,21600" o:gfxdata="UEsDBAoAAAAAAIdO4kAAAAAAAAAAAAAAAAAEAAAAZHJzL1BLAwQUAAAACACHTuJAKF/ovNYAAAAF&#10;AQAADwAAAGRycy9kb3ducmV2LnhtbE2PzWrDMBCE74W+g9hCLqGR5BJjXMuhFJqGXkp+HkCxtrZb&#10;aWUsOUnfvmovzWVhmGHm22p1cZadcAy9JwVyIYAhNd701Co47F/uC2AhajLaekIF3xhgVd/eVLo0&#10;/kxbPO1iy1IJhVIr6GIcSs5D06HTYeEHpOR9+NHpmOTYcjPqcyp3lmdC5NzpntJCpwd87rD52k1O&#10;wdPw/jllG7k2Yp/N53aTS//6ptTsTopHYBEv8T8Mv/gJHerEdPQTmcCsgvRI/LvJK2SxBHZUkD9k&#10;S+B1xa/p6x9QSwMEFAAAAAgAh07iQEapOq0NAgAAAgQAAA4AAABkcnMvZTJvRG9jLnhtbK1Ty24T&#10;MRTdI/EPlvdkJqkSmlEmXTQUFggi8djfeOwZS37JdjPJT/ADSOxgxbJ7/ob2M3rtGVooQuoCL6xr&#10;3+Pje46vV2cHrcie+yCtqel0UlLCDbONNG1NP7y/eHZKSYhgGlDW8JoeeaBn66dPVr2r+Mx2VjXc&#10;EyQxoepdTbsYXVUUgXVcQ5hYxw0mhfUaIi59WzQeemTXqpiV5aLorW+ct4yHgLubIUlHRv8YQiuE&#10;ZHxj2aXmJg6sniuIKCl00gW6ztUKwVl8K0TgkaiaotKYZ7wE412ai/UKqtaD6yQbS4DHlPBAkwZp&#10;8NI7qg1EIJde/kWlJfM2WBEnzOpiEJIdQRXT8oE37zpwPGtBq4O7Mz38P1r2Zr/1RDY1nU3x4Q1o&#10;fPLrz1c/P329+fEF5+vv30hKoVG9CxXiz83Wj6vgtj6pPgiviVDSvcKOojn6mKKUQ43kgPTlablY&#10;Lik5YgKD2WI0nx8iYQg4mT6fU8JSujyZl/N0YzFQJxrnQ3zJrSYpqKmSJjkDFexfhzhAf0HStjKk&#10;r+lyPkucgG0qsD0w1A6lBtPms8Eq2VxIpdKJ4NvdufJkD6lV8hhL+AOWLtlA6AZcTiUYVB2H5oVp&#10;SDw6tNDg36GpBM0bShTHr5aijIwg1T0yegmmVf9AowPKoBHJ+8HtFO1sc8yPkPexNbJVYxun3vt9&#10;nU/ff931L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Chf6LzWAAAABQEAAA8AAAAAAAAAAQAgAAAA&#10;IgAAAGRycy9kb3ducmV2LnhtbFBLAQIUABQAAAAIAIdO4kBGqTqtDQIAAAIEAAAOAAAAAAAAAAEA&#10;IAAAACUBAABkcnMvZTJvRG9jLnhtbFBLBQYAAAAABgAGAFkBAACkBQAAAAA=&#10;">
                        <v:fill on="f" focussize="0,0"/>
                        <v:stroke color="#000000" joinstyle="round" endarrow="block"/>
                        <v:imagedata o:title=""/>
                        <o:lock v:ext="edit" aspectratio="f"/>
                      </v:line>
                      <v:rect id="_x0000_s1026" o:spid="_x0000_s1026" o:spt="1" style="position:absolute;left:2810528;top:1541145;height:273050;width:421005;"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BYqApAsQEAAFADAAAOAAAAZHJzL2Uyb0RvYy54bWytU0tu&#10;2zAQ3RfoHQjua31quYFgORsj3RRtgLQHoCnSIsAfhrQln6ZAdz1Ej1P0Gh1SStImmyyyoWaGD2/m&#10;vaG215PR5CwgKGc7Wq1KSoTlrlf22NFvX2/eXVESIrM9086Kjl5EoNe7t2+2o29F7QanewEESWxo&#10;R9/RIUbfFkXggzAsrJwXFi+lA8MipnAsemAjshtd1GW5KUYHvQfHRQhY3c+XdGGElxA6KRUXe8dP&#10;Rtg4s4LQLKKkMCgf6C5PK6Xg8YuUQUSiO4pKYz6xCcaHdBa7LWuPwPyg+DICe8kITzQZpiw2faDa&#10;s8jICdQzKqM4uOBkXHFnillIdgRVVOUTb+4G5kXWglYH/2B6eD1a/vl8C0T1Ha03G0osM7jyP99/&#10;/v71g6QK+jP60CLszt/CkgUMk9hJgklflEEmZLiqyqbG53PBd9Wsq2rdzP6KKRKOgHVdlWVDCUdA&#10;/eF92WT/i0ciDyF+FM6QFHQUcH3ZVXb+FCI2R+g9JPW17kZpnVeo7X8FBKZKkWafp01RnA7TIuHg&#10;+gsKP3lQxwFbVWnSDEejc6PlUaRN/ptn1OOPsPs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5CZ&#10;BtcAAAAFAQAADwAAAAAAAAABACAAAAAiAAAAZHJzL2Rvd25yZXYueG1sUEsBAhQAFAAAAAgAh07i&#10;QFioCkCxAQAAUAMAAA4AAAAAAAAAAQAgAAAAJgEAAGRycy9lMm9Eb2MueG1sUEsFBgAAAAAGAAYA&#10;WQEAAEkFAAAAAA==&#10;">
                        <v:fill on="f" focussize="0,0"/>
                        <v:stroke on="f"/>
                        <v:imagedata o:title=""/>
                        <o:lock v:ext="edit" aspectratio="f"/>
                        <v:textbox>
                          <w:txbxContent>
                            <w:p>
                              <w:pPr>
                                <w:adjustRightInd w:val="0"/>
                                <w:snapToGrid w:val="0"/>
                              </w:pPr>
                              <w:r>
                                <w:rPr>
                                  <w:rFonts w:hint="eastAsia"/>
                                </w:rPr>
                                <w:t>16</w:t>
                              </w:r>
                            </w:p>
                          </w:txbxContent>
                        </v:textbox>
                      </v:rect>
                      <v:shape id="_x0000_s1026" o:spid="_x0000_s1026" o:spt="38" type="#_x0000_t38" style="position:absolute;left:1890199;top:1307465;flip:y;height:114300;width:368300;" filled="f" stroked="t" coordsize="21600,21600" o:gfxdata="UEsDBAoAAAAAAIdO4kAAAAAAAAAAAAAAAAAEAAAAZHJzL1BLAwQUAAAACACHTuJAA+cr7tUAAAAF&#10;AQAADwAAAGRycy9kb3ducmV2LnhtbE2PwU7DMBBE70j9B2srcUHUSaFRFOL0UKlSD1xo+IBNvMSB&#10;eB3FThv4egwXuKw0mtHM23K/2EFcaPK9YwXpJgFB3Drdc6fgtT7e5yB8QNY4OCYFn+RhX61uSiy0&#10;u/ILXc6hE7GEfYEKTAhjIaVvDVn0GzcSR+/NTRZDlFMn9YTXWG4HuU2STFrsOS4YHOlgqP04z1bB&#10;0uKM89c71iZ75O6uPj039Ump23WaPIEItIS/MPzgR3SoIlPjZtZeDAriI+H3Ri9P8x2IRkH2sN2B&#10;rEr5n776BlBLAwQUAAAACACHTuJA1S/KWy8CAAAyBAAADgAAAGRycy9lMm9Eb2MueG1srVPLbhMx&#10;FN0j8Q+W92QmSZMmUSZdJJQNgkg89o4fM0Z+yXYyyU/wA0jsYNUVSzb9m5bP4NoztFCE1AWzGF3b&#10;x+fec+718uKoFTpwH6Q1FR4OSoy4oZZJU1f43dvLZzOMQiSGEWUNr/CJB3yxevpk2boFH9nGKsY9&#10;AhITFq2rcBOjWxRFoA3XJAys4wYOhfWaRFj6umCetMCuVTEqy2nRWs+ct5SHALub7hD3jP4xhFYI&#10;SfnG0r3mJnasnisSQVJopAt4lasVgtP4WojAI1IVBqUx/yEJxLv0L1ZLsqg9cY2kfQnkMSU80KSJ&#10;NJD0jmpDIkF7L/+i0pJ6G6yIA2p10QnJjoCKYfnAmzcNcTxrAauDuzM9/D9a+uqw9UiyCo+m5xgZ&#10;oqHlN5++3X6//nH9+ebjl9urrygdgVGtCwvAr83W96vgtj6pPgqvkVDSvYeJyj6AMnSExWxeDudz&#10;jE4Qj8vzs+mks5wfI6IAGE9n4xKaQRNgeJZi4C46ykTtfIgvuNUoBRWme3/gbG2NgdZaP87JyOFl&#10;iNl91isg7MMQI6EVNPNAFJqU5WzcM/doyPGLO11VBrUVnk9GEyiGwFwLmCcItQNvgqlzomCVZJdS&#10;qXQj+Hq3Vh4BP0xS/voMf8BSkg0JTYdjEHUONJyw54aheHJguYG3hlMFmjOMFIenmaI8npFIdY+M&#10;XhJTq3+gQZUyYGDqVdedFO0sO+Wm5X0YpWxxP/ZpVn9f59v3T331E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PnK+7VAAAABQEAAA8AAAAAAAAAAQAgAAAAIgAAAGRycy9kb3ducmV2LnhtbFBLAQIU&#10;ABQAAAAIAIdO4kDVL8pbLwIAADIEAAAOAAAAAAAAAAEAIAAAACQBAABkcnMvZTJvRG9jLnhtbFBL&#10;BQYAAAAABgAGAFkBAADFBQAAAAA=&#10;" adj="10818">
                        <v:fill on="f" focussize="0,0"/>
                        <v:stroke color="#000000" joinstyle="round" dashstyle="dash" endarrow="block"/>
                        <v:imagedata o:title=""/>
                        <o:lock v:ext="edit" aspectratio="f"/>
                      </v:shape>
                      <v:rect id="_x0000_s1026" o:spid="_x0000_s1026" o:spt="1" style="position:absolute;left:2240719;top:1101725;height:266700;width:79121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ARXOgOsQEAAFADAAAOAAAAZHJzL2Uyb0RvYy54bWytU0uO&#10;1DAQ3SNxB8t72kmAbibq9GxawwbBSMMcwO3YHUv+yeXupE+DxI5DcBzENSg7YQaGzSzYOFXlp1f1&#10;Xjnb68kacpYRtHcdrVcVJdIJ32t37Oj955tX7yiBxF3PjXeyoxcJ9Hr38sV2DK1s/OBNLyNBEgft&#10;GDo6pBRaxkAM0nJY+SAdXiofLU+YxiPrIx+R3RrWVNWajT72IXohAbC6ny/pwhifQ+iV0kLuvThZ&#10;6dLMGqXhCSXBoAPQXZlWKSnSJ6VAJmI6ikpTObEJxod8st2Wt8fIw6DFMgJ/zghPNFmuHTZ9oNrz&#10;xMkp6n+orBbRg1dpJbxls5DiCKqoqyfe3A08yKIFrYbwYDr8P1rx8Xwbie47+rpqKHHc4sp/fvn2&#10;4/tXkivozxigRdhduI1LBhhmsZOKNn9RBpk62jRvqk19RckF31Vd1Zvm7eyvnBIRCNhc1U2NzgsE&#10;NOv1pir+s0eiECG9l96SHHQ04vqKq/z8ARI2R+hvSO7r/I02pqzQuL8KCMwVlmefp81Rmg7TIuHg&#10;+wsKP4WojwO2qvOkBY5Gl0bLo8ib/DMvqMcfYfcL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5CZ&#10;BtcAAAAFAQAADwAAAAAAAAABACAAAAAiAAAAZHJzL2Rvd25yZXYueG1sUEsBAhQAFAAAAAgAh07i&#10;QBFc6A6xAQAAUAMAAA4AAAAAAAAAAQAgAAAAJgEAAGRycy9lMm9Eb2MueG1sUEsFBgAAAAAGAAYA&#10;WQEAAEkFAAAAAA==&#10;">
                        <v:fill on="f" focussize="0,0"/>
                        <v:stroke on="f"/>
                        <v:imagedata o:title=""/>
                        <o:lock v:ext="edit" aspectratio="f"/>
                        <v:textbox>
                          <w:txbxContent>
                            <w:p>
                              <w:pPr>
                                <w:adjustRightInd w:val="0"/>
                                <w:snapToGrid w:val="0"/>
                              </w:pPr>
                              <w:r>
                                <w:rPr>
                                  <w:rFonts w:hint="eastAsia"/>
                                </w:rPr>
                                <w:t>蒸发0.32</w:t>
                              </w:r>
                            </w:p>
                          </w:txbxContent>
                        </v:textbox>
                      </v:rect>
                      <v:line id="_x0000_s1026" o:spid="_x0000_s1026" o:spt="20" style="position:absolute;left:2507419;top:2229485;flip:y;height:635;width:389255;" filled="f" stroked="t" coordsize="21600,21600" o:gfxdata="UEsDBAoAAAAAAIdO4kAAAAAAAAAAAAAAAAAEAAAAZHJzL1BLAwQUAAAACACHTuJAMaKo19QAAAAF&#10;AQAADwAAAGRycy9kb3ducmV2LnhtbE2PQUvEMBCF74L/IYzgzU3aZZdamy4i6kUQXKvnaTO2xWRS&#10;mmx3/fdGL3oZeLzHe99Uu5OzYqE5jJ41ZCsFgrjzZuReQ/P6cFWACBHZoPVMGr4owK4+P6uwNP7I&#10;L7TsYy9SCYcSNQwxTqWUoRvIYVj5iTh5H352GJOce2lmPKZyZ2Wu1FY6HDktDDjR3UDd5/7gNNy+&#10;P92vn5fWeWuu++bNuEY95lpfXmTqBkSkU/wLww9+Qoc6MbX+wCYIqyE9En9v8oqs2IBoNWzX+QZk&#10;Xcn/9PU3UEsDBBQAAAAIAIdO4kCxCWidBQIAAPMDAAAOAAAAZHJzL2Uyb0RvYy54bWytU82O0zAQ&#10;viPxDpbvNGm6Wdqo6R62LBcElfi5u7bTWPKfPN6mfQleAIkbnDhy521YHoOxUxZYLj2QgzX2fP5m&#10;vi/j5dXBaLKXAZSzLZ1OSkqk5U4ou2vp2zc3T+aUQGRWMO2sbOlRAr1aPX60HHwjK9c7LWQgSGKh&#10;GXxL+xh9UxTAe2kYTJyXFpOdC4ZF3IZdIQIbkN3ooirLy2JwQfjguATA0/WYpCfGcA6h6zrF5drx&#10;WyNtHFmD1CyiJOiVB7rK3Xad5PFV14GMRLcUlca8YhGMt2ktVkvW7ALzveKnFtg5LTzQZJiyWPSe&#10;as0iI7dB/UNlFA8OXBcn3JliFJIdQRXT8oE3r3vmZdaCVoO/Nx3+Hy1/ud8EokRLZ+WCEssM/vK7&#10;D1+/v//049tHXO++fCYphUYNHhrEX9tNOO3Ab0JSfeiCIZ1W/h1OVPYBlZFDS6u6fHoxReIjxlW1&#10;uJjXo+XyEAlHwGy+qOqaEo6Ay1lOFiNf4vUB4nPpDElBS7WyyQ7WsP0LiNgDQn9B0rG2ZGjpoq4S&#10;IcPZ7HAmMDQe9YHd5bvgtBI3Sut0A8Jue60D2bM0H/lL/SHvX7BUZM2gH3E5NcroJRPPrCDx6NE3&#10;iw+GphaMFJRoie8rRUjImsiUPgeJpbXFDpLZo70p2jpxzK7nc5yF3ONpbtOw/bnPt3+/1dV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MaKo19QAAAAFAQAADwAAAAAAAAABACAAAAAiAAAAZHJzL2Rv&#10;d25yZXYueG1sUEsBAhQAFAAAAAgAh07iQLEJaJ0FAgAA8wMAAA4AAAAAAAAAAQAgAAAAIwEAAGRy&#10;cy9lMm9Eb2MueG1sUEsFBgAAAAAGAAYAWQEAAJoFAAAAAA==&#10;">
                        <v:fill on="f" focussize="0,0"/>
                        <v:stroke color="#000000" joinstyle="round"/>
                        <v:imagedata o:title=""/>
                        <o:lock v:ext="edit" aspectratio="f"/>
                      </v:line>
                      <v:line id="_x0000_s1026" o:spid="_x0000_s1026" o:spt="20" style="position:absolute;left:2900484;top:2226310;height:244475;width:0;" filled="f" stroked="t" coordsize="21600,21600" o:gfxdata="UEsDBAoAAAAAAIdO4kAAAAAAAAAAAAAAAAAEAAAAZHJzL1BLAwQUAAAACACHTuJAPZSnedUAAAAF&#10;AQAADwAAAGRycy9kb3ducmV2LnhtbE2PzU7DMBCE70h9B2uRuFTUTqpWURqnh0JuXGhBXLfxNomI&#10;12ns/sDTY7iUy0qjGc18W6yvthdnGn3nWEMyUyCIa2c6bjS87arHDIQPyAZ7x6Thizysy8ldgblx&#10;F36l8zY0Ipawz1FDG8KQS+nrliz6mRuIo3dwo8UQ5dhIM+IllttepkotpcWO40KLA21aqj+3J6vB&#10;V+90rL6n9VR9zBtH6fHp5Rm1frhP1ApEoGu4heEXP6JDGZn27sTGi15DfCT83ehlSbYAsdewnKcL&#10;kGUh/9OXP1BLAwQUAAAACACHTuJAumFg1vkBAADnAwAADgAAAGRycy9lMm9Eb2MueG1srVNNjtMw&#10;FN4jcQfLe5o00w4zUdNZTBk2CCoBB3BtJ7HkP/l5mvYSXACJHaxYsuc2DMfg2QkzMGy6IAvn2e/z&#10;5/d9fl5dHYwmexlAOdvQ+aykRFruhLJdQ9+/u3l2QQlEZgXTzsqGHiXQq/XTJ6vB17JyvdNCBoIk&#10;FurBN7SP0ddFAbyXhsHMeWkx2bpgWMRp6AoR2IDsRhdVWZ4XgwvCB8clAK5uxiSdGMMphK5tFZcb&#10;x2+NtHFkDVKziJKgVx7oOlfbtpLHN20LMhLdUFQa84iHYLxLY7FesboLzPeKTyWwU0p4pMkwZfHQ&#10;e6oNi4zcBvUPlVE8OHBtnHFnilFIdgRVzMtH3rztmZdZC1oN/t50+H+0/PV+G4gSDT2r8OItM3jl&#10;dx+//fjw+ef3Tzjeff1CUgqNGjzUiL+22zDNwG9DUn1og0l/1EMODa0uy3JxsaDkiHFVnZ/NJ6Pl&#10;IRKOAHSfp9xisXi+TNTFA4cPEF9KZ0gKGqqVTRawmu1fQRyhvyFpWVsyNPRyWS2Rk2E/ttgHGBqP&#10;msB2eS84rcSN0jrtgNDtrnUge5Z6In9TCX/B0iEbBv2Iy6kEY3UvmXhhBYlHj15ZfCQ0lWCkoERL&#10;fFMpysjIlD4Fieq1RROSwaOlKdo5ccxO53W8/2zT1Kupwf6c590P73P9C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2Up3nVAAAABQEAAA8AAAAAAAAAAQAgAAAAIgAAAGRycy9kb3ducmV2LnhtbFBL&#10;AQIUABQAAAAIAIdO4kC6YWDW+QEAAOcDAAAOAAAAAAAAAAEAIAAAACQBAABkcnMvZTJvRG9jLnht&#10;bFBLBQYAAAAABgAGAFkBAACPBQAAAAA=&#10;">
                        <v:fill on="f" focussize="0,0"/>
                        <v:stroke color="#000000" joinstyle="round"/>
                        <v:imagedata o:title=""/>
                        <o:lock v:ext="edit" aspectratio="f"/>
                      </v:line>
                      <v:line id="_x0000_s1026" o:spid="_x0000_s1026" o:spt="20" style="position:absolute;left:2110544;top:2470785;height:4445;width:794385;" filled="f" stroked="t" coordsize="21600,21600" o:gfxdata="UEsDBAoAAAAAAIdO4kAAAAAAAAAAAAAAAAAEAAAAZHJzL1BLAwQUAAAACACHTuJAPZSnedUAAAAF&#10;AQAADwAAAGRycy9kb3ducmV2LnhtbE2PzU7DMBCE70h9B2uRuFTUTqpWURqnh0JuXGhBXLfxNomI&#10;12ns/sDTY7iUy0qjGc18W6yvthdnGn3nWEMyUyCIa2c6bjS87arHDIQPyAZ7x6Thizysy8ldgblx&#10;F36l8zY0Ipawz1FDG8KQS+nrliz6mRuIo3dwo8UQ5dhIM+IllttepkotpcWO40KLA21aqj+3J6vB&#10;V+90rL6n9VR9zBtH6fHp5Rm1frhP1ApEoGu4heEXP6JDGZn27sTGi15DfCT83ehlSbYAsdewnKcL&#10;kGUh/9OXP1BLAwQUAAAACACHTuJAhGveCv4BAADqAwAADgAAAGRycy9lMm9Eb2MueG1srVNLjhMx&#10;EN0jcQfLe9KdTIdMWunMYsKwQRAJOEDFdndb8k+2J51cggsgsYMVS/bchuEYlN1hBoZNFmThlF3P&#10;r+q9Lq+uDlqRvfBBWtPQ6aSkRBhmuTRdQ9+/u3l2SUmIYDgoa0RDjyLQq/XTJ6vB1WJme6u48ARJ&#10;TKgH19A+RlcXRWC90BAm1gmDydZ6DRG3viu4hwHZtSpmZfm8GKznzlsmQsDTzZikJ0Z/DqFtW8nE&#10;xrJbLUwcWb1QEFFS6KULdJ27bVvB4pu2DSIS1VBUGvOKRTDepbVYr6DuPLheslMLcE4LjzRpkAaL&#10;3lNtIAK59fIfKi2Zt8G2ccKsLkYh2RFUMS0fefO2ByeyFrQ6uHvTw/+jZa/3W08kb+jFbEmJAY2f&#10;/O7jtx8fPv/8/gnXu69fSEqhUYMLNeKvzdafdsFtfVJ9aL1O/6iHHBo6m07LeVVRcsS4WpSLy/lo&#10;tDhEwhCwWFYXeEYYAqqqytnigcb5EF8Kq0kKGqqkSS5ADftXIWJphP6GpGNlyNDQ5XyWGAFHssVR&#10;wFA7lBVMl+8GqyS/kUqlG8F3u2vlyR7SWORfahB5/4KlIhsI/YjLqVFHL4C/MJzEo0O7DL4TmlrQ&#10;glOiBD6rFCEh1BGkOgeJpZXBDpLHo6sp2ll+zGbncxyB3ONpXNOM/bnPtx+e6PoX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PZSnedUAAAAFAQAADwAAAAAAAAABACAAAAAiAAAAZHJzL2Rvd25yZXYu&#10;eG1sUEsBAhQAFAAAAAgAh07iQIRr3gr+AQAA6gMAAA4AAAAAAAAAAQAgAAAAJAEAAGRycy9lMm9E&#10;b2MueG1sUEsFBgAAAAAGAAYAWQEAAJQFAAAAAA==&#10;">
                        <v:fill on="f" focussize="0,0"/>
                        <v:stroke color="#000000" joinstyle="round"/>
                        <v:imagedata o:title=""/>
                        <o:lock v:ext="edit" aspectratio="f"/>
                      </v:line>
                      <v:line id="_x0000_s1026" o:spid="_x0000_s1026" o:spt="20" style="position:absolute;left:2102924;top:2368550;flip:x y;height:103505;width:3175;" filled="f" stroked="t" coordsize="21600,21600" o:gfxdata="UEsDBAoAAAAAAIdO4kAAAAAAAAAAAAAAAAAEAAAAZHJzL1BLAwQUAAAACACHTuJAKF/ovNYAAAAF&#10;AQAADwAAAGRycy9kb3ducmV2LnhtbE2PzWrDMBCE74W+g9hCLqGR5BJjXMuhFJqGXkp+HkCxtrZb&#10;aWUsOUnfvmovzWVhmGHm22p1cZadcAy9JwVyIYAhNd701Co47F/uC2AhajLaekIF3xhgVd/eVLo0&#10;/kxbPO1iy1IJhVIr6GIcSs5D06HTYeEHpOR9+NHpmOTYcjPqcyp3lmdC5NzpntJCpwd87rD52k1O&#10;wdPw/jllG7k2Yp/N53aTS//6ptTsTopHYBEv8T8Mv/gJHerEdPQTmcCsgvRI/LvJK2SxBHZUkD9k&#10;S+B1xa/p6x9QSwMEFAAAAAgAh07iQAdFKygQAgAAAgQAAA4AAABkcnMvZTJvRG9jLnhtbK1TS47U&#10;MBDdI3EHy3s6nybDTNTpWUwzsEDQEp99teMklvyT7el0X4ILILGDFUv23IbhGJSdMAODkGZBFlbZ&#10;9fyq3kt5dX5Qkuy588LohhaLnBKumWmF7hv69s3lo1NKfADdgjSaN/TIPT1fP3ywGm3NSzMY2XJH&#10;kET7erQNHUKwdZZ5NnAFfmEs15jsjFMQcOv6rHUwIruSWZnnJ9loXGudYdx7PN1MSTozuvsQmq4T&#10;jG8Mu1Jch4nVcQkBJflBWE/Xqduu4yy86jrPA5ENRaUhrVgE411cs/UK6t6BHQSbW4D7tHBHkwKh&#10;segN1QYCkCsn/qJSgjnjTRcWzKhsEpIcQRVFfseb1wNYnrSg1d7emO7/Hy17ud86ItqGLpcFJRoU&#10;/vLrD1+/v//049tHXK+/fCYxhUaN1teIv9BbN++83bqo+tA5RTop7HOcKJqidzGKOdRIDg0ti7w8&#10;Kx9TcsR4eXJaVbP5/BAIQ8CyeFJRwjBd5Msqr2LFbKKONNb58IwbRWLQUCl0dAZq2L/wYYL+gsRj&#10;qcnY0LOqjJyAY9rheGCoLEr1uk93vZGivRRSxhve9bsL6cge4qikb27hD1gssgE/TLiUijCoBw7t&#10;U92ScLRooca3Q2MLireUSI5PLUYJGUDIW2RwAnQv/4FGB6RGI6L3k9sx2pn2mH5COsfRSFbNYxxn&#10;7/d9un37dNc/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Chf6LzWAAAABQEAAA8AAAAAAAAAAQAg&#10;AAAAIgAAAGRycy9kb3ducmV2LnhtbFBLAQIUABQAAAAIAIdO4kAHRSsoEAIAAAIEAAAOAAAAAAAA&#10;AAEAIAAAACUBAABkcnMvZTJvRG9jLnhtbFBLBQYAAAAABgAGAFkBAACnBQAAAAA=&#10;">
                        <v:fill on="f" focussize="0,0"/>
                        <v:stroke color="#000000" joinstyle="round" endarrow="block"/>
                        <v:imagedata o:title=""/>
                        <o:lock v:ext="edit" aspectratio="f"/>
                      </v:line>
                      <v:shape id="_x0000_s1026" o:spid="_x0000_s1026" o:spt="38" type="#_x0000_t38" style="position:absolute;left:1862259;top:1996440;flip:y;height:114300;width:368300;" filled="f" stroked="t" coordsize="21600,21600" o:gfxdata="UEsDBAoAAAAAAIdO4kAAAAAAAAAAAAAAAAAEAAAAZHJzL1BLAwQUAAAACACHTuJAA+cr7tUAAAAF&#10;AQAADwAAAGRycy9kb3ducmV2LnhtbE2PwU7DMBBE70j9B2srcUHUSaFRFOL0UKlSD1xo+IBNvMSB&#10;eB3FThv4egwXuKw0mtHM23K/2EFcaPK9YwXpJgFB3Drdc6fgtT7e5yB8QNY4OCYFn+RhX61uSiy0&#10;u/ILXc6hE7GEfYEKTAhjIaVvDVn0GzcSR+/NTRZDlFMn9YTXWG4HuU2STFrsOS4YHOlgqP04z1bB&#10;0uKM89c71iZ75O6uPj039Ump23WaPIEItIS/MPzgR3SoIlPjZtZeDAriI+H3Ri9P8x2IRkH2sN2B&#10;rEr5n776BlBLAwQUAAAACACHTuJAAS92xi8CAAAyBAAADgAAAGRycy9lMm9Eb2MueG1srVPLjtMw&#10;FN0j8Q+W9zRp0lZt1HQWLcMGQSUee9d2GiO/ZLtN+xP8ABI7WLGaJZv5mxk+g2snzMAgpFmQRXRt&#10;H597z7nXy4uTkujInRdG13g8yjHimhom9L7G795ePptj5APRjEijeY3P3OOL1dMny85WvDCtkYw7&#10;BCTaV52tcRuCrbLM05Yr4kfGcg2HjXGKBFi6fcYc6YBdyazI81nWGcesM5R7D7ub/hAPjO4xhKZp&#10;BOUbQw+K69CzOi5JAEm+FdbjVaq2aTgNr5vG84BkjUFpSH9IAvEu/rPVklR7R2wr6FACeUwJDzQp&#10;IjQkvaPakEDQwYm/qJSgznjThBE1KuuFJEdAxTh/4M2bllietIDV3t6Z7v8fLX113DokWI3LssBI&#10;EwUtv/l0dfv9+sf155uPX26/fUXxCIzqrK8Av9ZbN6y83bqo+tQ4hRop7HuYqOQDKEMnWMxnRTFd&#10;YHSGeLGYTSaD5fwUEAVAOZuXOTSDRsB4EmPgznrKSG2dDy+4USgGNaYHd+RsbbSG1hpXpmTk+NKH&#10;5D4bFBD2YYxRoyQ080gkmub5vByYBzTk+MUdr0qNuhovpsUUiiEw1w3ME4TKgjde71Mib6Rgl0LK&#10;eMO7/W4tHQJ+mKT0DRn+gMUkG+LbHscgiihStZyw55qhcLZguYa3hmMFijOMJIenGaOEDETIe2Rw&#10;gui9/AcaVEkNBsZe9d2J0c6wc2pa2odRShYPYx9n9fd1un3/1Fc/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PnK+7VAAAABQEAAA8AAAAAAAAAAQAgAAAAIgAAAGRycy9kb3ducmV2LnhtbFBLAQIU&#10;ABQAAAAIAIdO4kABL3bGLwIAADIEAAAOAAAAAAAAAAEAIAAAACQBAABkcnMvZTJvRG9jLnhtbFBL&#10;BQYAAAAABgAGAFkBAADFBQAAAAA=&#10;" adj="10818">
                        <v:fill on="f" focussize="0,0"/>
                        <v:stroke color="#000000" joinstyle="round" dashstyle="dash" endarrow="block"/>
                        <v:imagedata o:title=""/>
                        <o:lock v:ext="edit" aspectratio="f"/>
                      </v:shape>
                      <v:rect id="_x0000_s1026" o:spid="_x0000_s1026" o:spt="1" style="position:absolute;left:2249170;top:1838325;height:266700;width:99441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BkPsresgEAAFADAAAOAAAAZHJzL2Uyb0RvYy54bWytU0tu&#10;2zAQ3RfoHQjua+rjOrZgORsj3RRJgLQHoCnSIsAfSNqSTxOguxyixyl6jQ4pNWnTTRbdUDPDhzfz&#10;3lDb61ErdOY+SGtaXC4KjLhhtpPm2OKvX24+rDEKkZqOKmt4iy884Ovd+3fbwTW8sr1VHfcISExo&#10;BtfiPkbXEBJYzzUNC+u4gUthvaYRUn8knacDsGtFqqJYkcH6znnLeAhQ3U+XeGb0byG0QkjG95ad&#10;NDdxYvVc0QiSQi9dwLs8rRCcxTshAo9ItRiUxnxCE4gP6SS7LW2OnrpesnkE+pYRXmnSVBpo+ky1&#10;p5Gik5f/UGnJvA1WxAWzmkxCsiOgoixeefPQU8ezFrA6uGfTw/+jZbfne49k1+K6rjEyVMPKfz4+&#10;/fj+DaUK+DO40ADswd37OQsQJrGj8Dp9QQYaW1xVy015Bc5e4F2t63VdfZz85WNEDACbzXJZwj0D&#10;QLVaXRXZf/JC5HyIn7jVKAUt9rC+7Co9fw4RmgP0NyT1NfZGKpVXqMxfBQCmCkmzT9OmKI6HcZZw&#10;sN0FhJ+cl8ceWpVp0gwHo3Oj+VGkTf6ZZ9TLj7D7B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OQ&#10;mQbXAAAABQEAAA8AAAAAAAAAAQAgAAAAIgAAAGRycy9kb3ducmV2LnhtbFBLAQIUABQAAAAIAIdO&#10;4kBkPsresgEAAFADAAAOAAAAAAAAAAEAIAAAACYBAABkcnMvZTJvRG9jLnhtbFBLBQYAAAAABgAG&#10;AFkBAABKBQAAAAA=&#10;">
                        <v:fill on="f" focussize="0,0"/>
                        <v:stroke on="f"/>
                        <v:imagedata o:title=""/>
                        <o:lock v:ext="edit" aspectratio="f"/>
                        <v:textbox>
                          <w:txbxContent>
                            <w:p>
                              <w:pPr>
                                <w:adjustRightInd w:val="0"/>
                                <w:snapToGrid w:val="0"/>
                                <w:rPr>
                                  <w:color w:val="FF0000"/>
                                </w:rPr>
                              </w:pPr>
                              <w:r>
                                <w:rPr>
                                  <w:rFonts w:hint="eastAsia"/>
                                </w:rPr>
                                <w:t>损耗0.03</w:t>
                              </w:r>
                            </w:p>
                          </w:txbxContent>
                        </v:textbox>
                      </v:rect>
                      <v:rect id="_x0000_s1026" o:spid="_x0000_s1026" o:spt="1" style="position:absolute;left:2963349;top:2207895;height:273050;width:389255;"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DrN3GLsQEAAFADAAAOAAAAZHJzL2Uyb0RvYy54bWytU0tu&#10;2zAQ3RfoHQjua8lynNiC5WyMZFOkAdIegKZIiwB/4NCWfJoC2fUQPU7Ra3RIqUmbbLLIhpoZPr2Z&#10;90baXA9Gk5MIoJxt6HxWUiIsd62yh4Z++3rzaUUJRGZbpp0VDT0LoNfbjx82va9F5TqnWxEIklio&#10;e9/QLkZfFwXwThgGM+eFxUvpgmER03Ao2sB6ZDe6qMrysuhdaH1wXABgdTde0okxvIXQSam42Dl+&#10;NMLGkTUIzSJKgk55oNs8rZSCxy9SgohENxSVxnxiE4z36Sy2G1YfAvOd4tMI7C0jvNBkmLLY9Ilq&#10;xyIjx6BeURnFgwMn44w7U4xCsiOoYl6+8OahY15kLWg1+CfT4f1o+d3pPhDVNnSxuKDEMoMr//39&#10;x6+fjyRV0J/eQ42wB38fpgwwTGIHGUx6ogwyNLRaX+Ira0rOGFfl1Wq9HP0VQyQcAYvVulouKeEJ&#10;cLUol9n/4pnIB4i3whmSgoYGXF92lZ0+Q8TmCP0LSX2tu1Fa5xVq+18BgalSpNnHaVMUh/0wSdi7&#10;9ozCjz6oQ4et5mnSDEejc6Ppo0ib/DfPqOcfYfsH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5CZ&#10;BtcAAAAFAQAADwAAAAAAAAABACAAAAAiAAAAZHJzL2Rvd25yZXYueG1sUEsBAhQAFAAAAAgAh07i&#10;QOs3cYuxAQAAUAMAAA4AAAAAAAAAAQAgAAAAJgEAAGRycy9lMm9Eb2MueG1sUEsFBgAAAAAGAAYA&#10;WQEAAEkFAAAAAA==&#10;">
                        <v:fill on="f" focussize="0,0"/>
                        <v:stroke on="f"/>
                        <v:imagedata o:title=""/>
                        <o:lock v:ext="edit" aspectratio="f"/>
                        <v:textbox>
                          <w:txbxContent>
                            <w:p>
                              <w:pPr>
                                <w:adjustRightInd w:val="0"/>
                                <w:snapToGrid w:val="0"/>
                              </w:pPr>
                              <w:r>
                                <w:rPr>
                                  <w:rFonts w:hint="eastAsia"/>
                                </w:rPr>
                                <w:t>0.6</w:t>
                              </w:r>
                            </w:p>
                          </w:txbxContent>
                        </v:textbox>
                      </v:rect>
                      <v:shape id="_x0000_s1026" o:spid="_x0000_s1026" o:spt="38" type="#_x0000_t38" style="position:absolute;left:1873689;top:2606675;flip:y;height:114300;width:368300;" filled="f" stroked="t" coordsize="21600,21600" o:gfxdata="UEsDBAoAAAAAAIdO4kAAAAAAAAAAAAAAAAAEAAAAZHJzL1BLAwQUAAAACACHTuJAA+cr7tUAAAAF&#10;AQAADwAAAGRycy9kb3ducmV2LnhtbE2PwU7DMBBE70j9B2srcUHUSaFRFOL0UKlSD1xo+IBNvMSB&#10;eB3FThv4egwXuKw0mtHM23K/2EFcaPK9YwXpJgFB3Drdc6fgtT7e5yB8QNY4OCYFn+RhX61uSiy0&#10;u/ILXc6hE7GEfYEKTAhjIaVvDVn0GzcSR+/NTRZDlFMn9YTXWG4HuU2STFrsOS4YHOlgqP04z1bB&#10;0uKM89c71iZ75O6uPj039Ump23WaPIEItIS/MPzgR3SoIlPjZtZeDAriI+H3Ri9P8x2IRkH2sN2B&#10;rEr5n776BlBLAwQUAAAACACHTuJAE+i7Py8CAAAyBAAADgAAAGRycy9lMm9Eb2MueG1srVO7jhMx&#10;FO2R+AfLPZlJhmSzo0y2SFgaBJF49I4fGSO/ZDuZ5Cf4ASQ6qKgoafZvdvkMrj3DLixC2oIpRtf2&#10;8bn3nHu9uDhqhQ7cB2lNg8ejEiNuqGXS7Br89s3lkzlGIRLDiLKGN/jEA75YPn606FzNJ7a1inGP&#10;gMSEunMNbmN0dVEE2nJNwsg6buBQWK9JhKXfFcyTDti1KiZlOSs665nzlvIQYHfdH+KB0T+E0Aoh&#10;KV9butfcxJ7Vc0UiSAqtdAEvc7VCcBpfCRF4RKrBoDTmPySBeJv+xXJB6p0nrpV0KIE8pIR7mjSR&#10;BpLeUq1JJGjv5V9UWlJvgxVxRK0ueiHZEVAxLu9587oljmctYHVwt6aH/0dLXx42HknW4KqaYmSI&#10;hpZff/x28/3qx9Wn6w+fb75+QekIjOpcqAG/Mhs/rILb+KT6KLxGQkn3DiYq+wDK0BEW87NqNj/H&#10;6NTgyayczc4yE6n5MSIKADitSmgGBcB4/DTFwF30lIna+RCfc6tRChpM9/7A2coaA621vsrJyOFF&#10;iNl9Nigg7P0YI6EVNPNAFJqW5bwamAc05PjFna4qg7oGn08n4AIlMNcC5glC7cCbYHY5UbBKskup&#10;VLoR/G67Uh4BP0xS/oYMf8BSkjUJbY9jECUUqVtO2DPDUDw5sNzAW8OpAs0ZRorD00xRRkYi1R0y&#10;eknMTv0DDaqUAQNTr/rupGhr2Sk3Le/DKGWLh7FPs/r7Ot++e+rL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PnK+7VAAAABQEAAA8AAAAAAAAAAQAgAAAAIgAAAGRycy9kb3ducmV2LnhtbFBLAQIU&#10;ABQAAAAIAIdO4kAT6Ls/LwIAADIEAAAOAAAAAAAAAAEAIAAAACQBAABkcnMvZTJvRG9jLnhtbFBL&#10;BQYAAAAABgAGAFkBAADFBQAAAAA=&#10;" adj="10818">
                        <v:fill on="f" focussize="0,0"/>
                        <v:stroke color="#000000" joinstyle="round" dashstyle="dash" endarrow="block"/>
                        <v:imagedata o:title=""/>
                        <o:lock v:ext="edit" aspectratio="f"/>
                      </v:shape>
                      <v:rect id="_x0000_s1026" o:spid="_x0000_s1026" o:spt="1" style="position:absolute;left:2255324;top:2483485;height:266700;width:79121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CDpYEosQEAAFADAAAOAAAAZHJzL2Uyb0RvYy54bWytU0uO&#10;1DAQ3SNxB8t72kn6M03U6dm0hg2CkQYO4HacjiX/5HJ30qdBYschOA7iGpSdMAPDZhZs7Kry06t6&#10;r5Ld7Wg0ucgAytmGlouCEmmFa5U9NfTzp7s3W0ogctty7axs6FUCvd2/frUbfC0r1zvdykCQxEI9&#10;+Ib2MfqaMRC9NBwWzkuLj50LhkdMw4m1gQ/IbjSrimLDBhdaH5yQAFg9TI90ZgwvIXRdp4Q8OHE2&#10;0saJNUjNI0qCXnmg+zxt10kRP3YdyEh0Q1FpzCc2wfiYTrbf8foUuO+VmEfgLxnhmSbDlcWmj1QH&#10;Hjk5B/UPlVEiOHBdXAhn2CQkO4IqyuKZNw899zJrQavBP5oO/49WfLjcB6Lahi6XG0osN7jyn1++&#10;/fj+laQK+jN4qBH24O/DnAGGSezYBZNulEHGhlbVer2sVpRcMV5tl6vtevJXjpEIBNy8LasSnRcJ&#10;sNncFNl/9kTkA8R30hmSgoYGXF92lV/eQ8TmCP0NSX2tu1Na5xVq+1cBganC0uzTtCmK43GcJRxd&#10;e0XhZx/UqcdWZZo0w9Ho3Gj+KNIm/8wz6ulH2P8C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5CZ&#10;BtcAAAAFAQAADwAAAAAAAAABACAAAAAiAAAAZHJzL2Rvd25yZXYueG1sUEsBAhQAFAAAAAgAh07i&#10;QIOlgSixAQAAUAMAAA4AAAAAAAAAAQAgAAAAJgEAAGRycy9lMm9Eb2MueG1sUEsFBgAAAAAGAAYA&#10;WQEAAEkFAAAAAA==&#10;">
                        <v:fill on="f" focussize="0,0"/>
                        <v:stroke on="f"/>
                        <v:imagedata o:title=""/>
                        <o:lock v:ext="edit" aspectratio="f"/>
                        <v:textbox>
                          <w:txbxContent>
                            <w:p>
                              <w:pPr>
                                <w:adjustRightInd w:val="0"/>
                                <w:snapToGrid w:val="0"/>
                              </w:pPr>
                              <w:r>
                                <w:rPr>
                                  <w:rFonts w:hint="eastAsia"/>
                                </w:rPr>
                                <w:t>损耗5.28</w:t>
                              </w:r>
                            </w:p>
                          </w:txbxContent>
                        </v:textbox>
                      </v:rect>
                      <v:line id="_x0000_s1026" o:spid="_x0000_s1026" o:spt="20" style="position:absolute;left:2511229;top:3545205;height:2540;width:401955;" filled="f" stroked="t" coordsize="21600,21600" o:gfxdata="UEsDBAoAAAAAAIdO4kAAAAAAAAAAAAAAAAAEAAAAZHJzL1BLAwQUAAAACACHTuJADuAEGdcAAAAF&#10;AQAADwAAAGRycy9kb3ducmV2LnhtbE2PwU7DMBBE70j8g7VI3KiTolZWyKYHpHJpAbVFCG5uvCQR&#10;8TqynTb8PYYLXFYazWjmbbmabC9O5EPnGCGfZSCIa2c6bhBeDusbBSJEzUb3jgnhiwKsqsuLUhfG&#10;nXlHp31sRCrhUGiENsahkDLULVkdZm4gTt6H81bHJH0jjdfnVG57Oc+ypbS647TQ6oHuW6o/96NF&#10;2G3XG/W6Gafavz/kT4fn7eNbUIjXV3l2ByLSFP/C8IOf0KFKTEc3sgmiR0iPxN+bPJWrBYgjwvJ2&#10;vgBZlfI/ffUNUEsDBBQAAAAIAIdO4kC2wtnnBQIAAO4DAAAOAAAAZHJzL2Uyb0RvYy54bWytU02O&#10;0zAU3iNxB8t7mjTTIBo1ncWUYYOgEnCAV9tJLPlPtqdpL8EFkNjBiiV7bsNwDJ6dMoVBSLMgC+fZ&#10;/vy9931+Xl0etCJ74YO0pqXzWUmJMMxyafqWvnt7/eQZJSGC4aCsES09ikAv148frUbXiMoOVnHh&#10;CZKY0IyupUOMrimKwAahIcysEwY3O+s1RJz6vuAeRmTXqqjK8mkxWs+dt0yEgKubaZOeGP1DCG3X&#10;SSY2lt1oYeLE6oWCiJLCIF2g61xt1wkWX3ddEJGolqLSmEdMgvEujcV6BU3vwQ2SnUqAh5RwT5MG&#10;aTDpHdUGIpAbL/+i0pJ5G2wXZ8zqYhKSHUEV8/KeN28GcCJrQauDuzM9/D9a9mq/9UTyll5c4MUb&#10;0Hjltx++fn//6ce3jzjefvlM0hYaNbrQIP7KbP1pFtzWJ9WHzuv0Rz3k0NKqns+raknJEWnrRV2V&#10;9WS0OETCELAo58u6poQhoKoX+RqKM43zIb4QVpMUtFRJk1yABvYvQ8TUCP0FScvKkLGly7pKjIAt&#10;2WErYKgdygqmz2eDVZJfS6XSieD73ZXyZA+pLfKXCkTeP2ApyQbCMOHy1qRjEMCfG07i0aFdBt8J&#10;TSVowSlRAp9VipAQmghSnZHRSzC9+gca0yuDVSSfJ2dTtLP8mA3P69gGuc5Ty6Y++32eT5+f6fon&#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dQQA&#10;AFtDb250ZW50X1R5cGVzXS54bWxQSwECFAAKAAAAAACHTuJAAAAAAAAAAAAAAAAABgAAAAAAAAAA&#10;ABAAAABXAwAAX3JlbHMvUEsBAhQAFAAAAAgAh07iQIoUZjzRAAAAlAEAAAsAAAAAAAAAAQAgAAAA&#10;ewMAAF9yZWxzLy5yZWxzUEsBAhQACgAAAAAAh07iQAAAAAAAAAAAAAAAAAQAAAAAAAAAAAAQAAAA&#10;AAAAAGRycy9QSwECFAAUAAAACACHTuJADuAEGdcAAAAFAQAADwAAAAAAAAABACAAAAAiAAAAZHJz&#10;L2Rvd25yZXYueG1sUEsBAhQAFAAAAAgAh07iQLbC2ecFAgAA7gMAAA4AAAAAAAAAAQAgAAAAJgEA&#10;AGRycy9lMm9Eb2MueG1sUEsFBgAAAAAGAAYAWQEAAJ0FAAAAAA==&#10;">
                        <v:fill on="f" focussize="0,0"/>
                        <v:stroke color="#000000" joinstyle="round" endarrow="block"/>
                        <v:imagedata o:title=""/>
                        <o:lock v:ext="edit" aspectratio="f"/>
                      </v:line>
                      <v:line id="_x0000_s1026" o:spid="_x0000_s1026" o:spt="20" style="position:absolute;left:3793929;top:3551555;height:2540;width:401955;" filled="f" stroked="t" coordsize="21600,21600" o:gfxdata="UEsDBAoAAAAAAIdO4kAAAAAAAAAAAAAAAAAEAAAAZHJzL1BLAwQUAAAACACHTuJADuAEGdcAAAAF&#10;AQAADwAAAGRycy9kb3ducmV2LnhtbE2PwU7DMBBE70j8g7VI3KiTolZWyKYHpHJpAbVFCG5uvCQR&#10;8TqynTb8PYYLXFYazWjmbbmabC9O5EPnGCGfZSCIa2c6bhBeDusbBSJEzUb3jgnhiwKsqsuLUhfG&#10;nXlHp31sRCrhUGiENsahkDLULVkdZm4gTt6H81bHJH0jjdfnVG57Oc+ypbS647TQ6oHuW6o/96NF&#10;2G3XG/W6Gafavz/kT4fn7eNbUIjXV3l2ByLSFP/C8IOf0KFKTEc3sgmiR0iPxN+bPJWrBYgjwvJ2&#10;vgBZlfI/ffUNUEsDBBQAAAAIAIdO4kCpHNZeBAIAAO4DAAAOAAAAZHJzL2Uyb0RvYy54bWytU0uO&#10;1DAQ3SNxB8t7Ov2ZAB11ehbTDBsEIwEHqHacxJJ/cnk63ZfgAkjsYMWS/dyG4RiUnWYaBiHNgiyc&#10;sv38qt5zeXW+N5rtZEDlbM1nkyln0grXKNvV/P27yyfPOcMItgHtrKz5QSI/Xz9+tBp8Jeeud7qR&#10;gRGJxWrwNe9j9FVRoOilAZw4Ly1tti4YiDQNXdEEGIjd6GI+nT4tBhcaH5yQiLS6GTf5kTE8hNC1&#10;rRJy48S1kTaOrEFqiCQJe+WRr3O1bStFfNO2KCPTNSelMY+UhOJtGov1CqougO+VOJYADynhniYD&#10;ylLSO6oNRGDXQf1FZZQIDl0bJ8KZYhSSHSEVs+k9b9724GXWQlajvzMd/x+teL27Ckw1NV8slpxZ&#10;MHTltx+/ff/w+cfNJxpvv35haYuMGjxWhL+wV+E4Q38Vkup9G0z6kx62J6pny8VyTnQHistyVpbl&#10;aLTcRyYIcDadLWmNCQLMy7N8DcWJxgeML6UzLAU118omF6CC3SuMlJqgvyBpWVs21HxZzhMjUEu2&#10;1AoUGk+y0Hb5LDqtmkuldTqBodte6MB2kNoif6lA4v0DlpJsAPsRl7dGHb2E5oVtWDx4ssvSO+Gp&#10;BCMbzrSkZ5UiIoQqgtInZAwKbKf/gab02lIVyefR2RRtXXPIhud1aoNc57FlU5/9Ps+nT890/RN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AO4AQZ1wAAAAUBAAAPAAAAAAAAAAEAIAAAACIAAABkcnMv&#10;ZG93bnJldi54bWxQSwECFAAUAAAACACHTuJAqRzWXgQCAADuAwAADgAAAAAAAAABACAAAAAmAQAA&#10;ZHJzL2Uyb0RvYy54bWxQSwUGAAAAAAYABgBZAQAAnAUAAAAA&#10;">
                        <v:fill on="f" focussize="0,0"/>
                        <v:stroke color="#000000" joinstyle="round" endarrow="block"/>
                        <v:imagedata o:title=""/>
                        <o:lock v:ext="edit" aspectratio="f"/>
                      </v:line>
                      <v:rect id="_x0000_s1026" o:spid="_x0000_s1026" o:spt="1" style="position:absolute;left:4206679;top:3303905;height:478155;width:902970;" fillcolor="#FFFFFF" filled="t" stroked="t" coordsize="21600,21600" o:gfxdata="UEsDBAoAAAAAAIdO4kAAAAAAAAAAAAAAAAAEAAAAZHJzL1BLAwQUAAAACACHTuJARvCD09UAAAAF&#10;AQAADwAAAGRycy9kb3ducmV2LnhtbE2PwU7DMBBE70j8g7VI3KidVK1CiNMDqEgc2/TCbRMvSSBe&#10;R7HTBr4ewwUuK41mNPO22C12EGeafO9YQ7JSIIgbZ3puNZyq/V0Gwgdkg4Nj0vBJHnbl9VWBuXEX&#10;PtD5GFoRS9jnqKELYcyl9E1HFv3KjcTRe3OTxRDl1Eoz4SWW20GmSm2lxZ7jQocjPXbUfBxnq6Hu&#10;0xN+HapnZe/36/CyVO/z65PWtzeJegARaAl/YfjBj+hQRqbazWy8GDTER8LvjV6WZBsQtYbtOt2A&#10;LAv5n778BlBLAwQUAAAACACHTuJAmGyoORACAAA4BAAADgAAAGRycy9lMm9Eb2MueG1srVPLrtMw&#10;EN0j8Q+W9zRp+rqNmt4FpWwQXOnCB7iOk1jySx63Sb8GiR0fwecgfoOxU+4LFl2QRTKOx2fOOTPe&#10;3A5akZPwIK2p6HSSUyIMt7U0bUW/fN6/uaEEAjM1U9aIip4F0Nvt61eb3pWisJ1VtfAEQQyUvato&#10;F4Irswx4JzSDiXXC4GZjvWYBl77Nas96RNcqK/J8mfXW185bLgDw727cpBdEfw2gbRrJxc7yoxYm&#10;jKheKBZQEnTSAd0mtk0jePjUNCACURVFpSG9sQjGh/jOthtWtp65TvILBXYNhReaNJMGiz5A7Vhg&#10;5OjlX1Bacm/BNmHCrc5GIckRVDHNX3hz3zEnkha0GtyD6fD/YPnH050nsq7obI6eGKax5b++fv/5&#10;4xuJf9Cf3kGJaffuzl9WgGEUOzRexy/KIENF50W+XK7WlJwRbZbP1vli9FcMgXBMWOfFeoVVOCbM&#10;VzfTRdrPHoGch/BeWE1iUFGP7UuustMHCFgcU/+kxLpglaz3Uqm08O3hrfLkxLDV+/TE6njkWZoy&#10;pEcmi2KBPBjOb4Nzg6F26AGYNtV7dgKeAufp+RdwJLZj0I0EEsKoXssgPDJhZSdY/c7UJJwdumzw&#10;etFIRouaEiXwNsYoZQYm1TWZqE4ZFBl7NHYlRmE4DAgTw4Otz9jgo/Oy7dDSaaIed3CgkjuX4Y8T&#10;+3SdQB8v/P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vCD09UAAAAFAQAADwAAAAAAAAABACAA&#10;AAAiAAAAZHJzL2Rvd25yZXYueG1sUEsBAhQAFAAAAAgAh07iQJhsqDkQAgAAOAQAAA4AAAAAAAAA&#10;AQAgAAAAJAEAAGRycy9lMm9Eb2MueG1sUEsFBgAAAAAGAAYAWQEAAKYFAAAAAA==&#10;">
                        <v:fill on="t" focussize="0,0"/>
                        <v:stroke color="#000000" joinstyle="miter"/>
                        <v:imagedata o:title=""/>
                        <o:lock v:ext="edit" aspectratio="f"/>
                        <v:textbox>
                          <w:txbxContent>
                            <w:p>
                              <w:pPr>
                                <w:adjustRightInd w:val="0"/>
                                <w:snapToGrid w:val="0"/>
                              </w:pPr>
                              <w:r>
                                <w:rPr>
                                  <w:rFonts w:hint="eastAsia"/>
                                  <w:color w:val="000000" w:themeColor="text1"/>
                                  <w14:textFill>
                                    <w14:solidFill>
                                      <w14:schemeClr w14:val="tx1"/>
                                    </w14:solidFill>
                                  </w14:textFill>
                                </w:rPr>
                                <w:t>园洲镇第三污水处理厂</w:t>
                              </w:r>
                            </w:p>
                          </w:txbxContent>
                        </v:textbox>
                      </v:rect>
                      <v:rect id="_x0000_s1026" o:spid="_x0000_s1026" o:spt="1" style="position:absolute;left:2520754;top:3284855;height:245110;width:44958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C0oxw9sAEAAFADAAAOAAAAZHJzL2Uyb0RvYy54bWytU0tu&#10;2zAQ3RfIHQjua0qq1LqC5WyMZFO0AdIcgKZIiwB/IGlLPk2B7nqIHqfoNTqklE+TTRbZkDPDhzfz&#10;3kiby0krdOI+SGs6XK4KjLhhtpfm0OG771fv1xiFSE1PlTW8w2ce8OX24t1mdC2v7GBVzz0CEhPa&#10;0XV4iNG1hAQ2cE3Dyjpu4FFYr2mE1B9I7+kI7FqRqig+ktH63nnLeAhQ3c2PeGH0ryG0QkjGd5Yd&#10;NTdxZvVc0QiSwiBdwNs8rRCcxW9CBB6R6jAojfmEJhDv00m2G9oePHWDZMsI9DUjPNOkqTTQ9IFq&#10;RyNFRy9fUGnJvA1WxBWzmsxCsiOgoiyeeXM7UMezFrA6uAfTw9vRsq+nG49k3+EPdYmRoRpW/vfH&#10;rz+/f6JUAX9GF1qA3bobv2QBwiR2El6nG2SgqcNVUxWfmhqjM7BV63rdNLO/fIqIAaCuPzdrcJ4B&#10;oKqbssz+k0ci50O85lajFHTYw/qyq/T0JURoDtB7SOpr7JVUKq9Qmf8KAEwVkmafp01RnPbTImFv&#10;+zMIPzovDwO0ykozHIzOjZaPIm3yaZ5JH3+E7T9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AgBAAAW0NvbnRlbnRfVHlwZXNdLnhtbFBLAQIUAAoA&#10;AAAAAIdO4kAAAAAAAAAAAAAAAAAGAAAAAAAAAAAAEAAAAAIDAABfcmVscy9QSwECFAAUAAAACACH&#10;TuJAihRmPNEAAACUAQAACwAAAAAAAAABACAAAAAmAwAAX3JlbHMvLnJlbHNQSwECFAAKAAAAAACH&#10;TuJAAAAAAAAAAAAAAAAABAAAAAAAAAAAABAAAAAAAAAAZHJzL1BLAQIUABQAAAAIAIdO4kCDkJkG&#10;1wAAAAUBAAAPAAAAAAAAAAEAIAAAACIAAABkcnMvZG93bnJldi54bWxQSwECFAAUAAAACACHTuJA&#10;tKMcPbABAABQAwAADgAAAAAAAAABACAAAAAmAQAAZHJzL2Uyb0RvYy54bWxQSwUGAAAAAAYABgBZ&#10;AQAASAUAAAAA&#10;">
                        <v:fill on="f" focussize="0,0"/>
                        <v:stroke on="f"/>
                        <v:imagedata o:title=""/>
                        <o:lock v:ext="edit" aspectratio="f"/>
                        <v:textbox>
                          <w:txbxContent>
                            <w:p>
                              <w:pPr>
                                <w:adjustRightInd w:val="0"/>
                                <w:snapToGrid w:val="0"/>
                              </w:pPr>
                              <w:r>
                                <w:rPr>
                                  <w:rFonts w:hint="eastAsia"/>
                                </w:rPr>
                                <w:t>0.9</w:t>
                              </w:r>
                            </w:p>
                          </w:txbxContent>
                        </v:textbox>
                      </v:rect>
                      <v:rect id="_x0000_s1026" o:spid="_x0000_s1026" o:spt="1" style="position:absolute;left:3797104;top:3294380;height:245110;width:44958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Cw/ZPQrwEAAFADAAAOAAAAZHJzL2Uyb0RvYy54bWytU0tu&#10;2zAQ3RfoHQjua32iNLFgORsj2QRtgLQHoCnSIsAfOLQln6ZAdjlEj1P0Gh3SatImmyyyIWeGD2/m&#10;vZFWV5PR5CACKGc7Wi1KSoTlrld219Hv364/XVICkdmeaWdFR48C6NX644fV6FtRu8HpXgSCJBba&#10;0Xd0iNG3RQF8EIbBwnlh8VG6YFjENOyKPrAR2Y0u6rL8XIwu9D44LgCwujk90pkxvIXQSam42Di+&#10;N8LGE2sQmkWUBIPyQNd5WikFj1+lBBGJ7igqjfnEJhhv01msV6zdBeYHxecR2FtGeKHJMGWx6RPV&#10;hkVG9kG9ojKKBwdOxgV3pjgJyY6giqp84c39wLzIWtBq8E+mw/vR8i+Hu0BU39GzpqbEMoMr//3j&#10;8dfPB5Iq6M/ooUXYvb8LcwYYJrGTDCbdKINMyHCxvKjKhpIjxvWyObuc/RVTJBwBTbM8xxrhCKib&#10;86rK78UzkQ8Qb4QzJAUdDbi+7Co73ELE5gj9C0l9rbtWWucVavtfAYGpUqTZT9OmKE7baZawdf0R&#10;he99ULsBW1VJaYaj0bnR/FGkTf6bZ9Tzj7D+A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IOQmQbX&#10;AAAABQEAAA8AAAAAAAAAAQAgAAAAIgAAAGRycy9kb3ducmV2LnhtbFBLAQIUABQAAAAIAIdO4kCw&#10;/ZPQrwEAAFADAAAOAAAAAAAAAAEAIAAAACYBAABkcnMvZTJvRG9jLnhtbFBLBQYAAAAABgAGAFkB&#10;AABHBQAAAAA=&#10;">
                        <v:fill on="f" focussize="0,0"/>
                        <v:stroke on="f"/>
                        <v:imagedata o:title=""/>
                        <o:lock v:ext="edit" aspectratio="f"/>
                        <v:textbox>
                          <w:txbxContent>
                            <w:p>
                              <w:pPr>
                                <w:adjustRightInd w:val="0"/>
                                <w:snapToGrid w:val="0"/>
                              </w:pPr>
                              <w:r>
                                <w:rPr>
                                  <w:rFonts w:hint="eastAsia"/>
                                </w:rPr>
                                <w:t>0.9</w:t>
                              </w:r>
                            </w:p>
                          </w:txbxContent>
                        </v:textbox>
                      </v:rect>
                      <v:rect id="_x0000_s1026" o:spid="_x0000_s1026" o:spt="1" style="position:absolute;left:1082479;top:1970405;height:267335;width:492125;"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DfezevsgEAAFADAAAOAAAAZHJzL2Uyb0RvYy54bWytU0tu&#10;2zAQ3RfoHQjua8myE8eC5WyMdFMkAdIcgKZIiwB/4NCWfJoC2eUQPU7Ra3RIqUmbbrLohpoZPryZ&#10;94baXA9Gk5MIoJxt6HxWUiIsd62yh4Y+fr35dEUJRGZbpp0VDT0LoNfbjx82va9F5TqnWxEIklio&#10;e9/QLkZfFwXwThgGM+eFxUvpgmER03Ao2sB6ZDe6qMrysuhdaH1wXABgdTde0okxvIfQSam42Dl+&#10;NMLGkTUIzSJKgk55oNs8rZSCxzspQUSiG4pKYz6xCcb7dBbbDasPgflO8WkE9p4R3mgyTFls+kK1&#10;Y5GRY1D/UBnFgwMn44w7U4xCsiOoYl6+8eahY15kLWg1+BfT4f/R8tvTfSCqbehiuaDEMoMr//nt&#10;+cf3J5Iq6E/voUbYg78PUwYYJrGDDCZ9UQYZ8C2VV9VytabkjPF6VS7Li9FfMUTCEbBcV/PqghKO&#10;gOpytVjk++KVyAeIn4UzJAUNDbi+7Co7fYGIzRH6G5L6WnejtM4r1PavAgJTpUizj9OmKA77YZKw&#10;d+0ZhR99UIcOW83TpBmORudG06NIm/wzz6jXH2H7C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OQ&#10;mQbXAAAABQEAAA8AAAAAAAAAAQAgAAAAIgAAAGRycy9kb3ducmV2LnhtbFBLAQIUABQAAAAIAIdO&#10;4kDfezevsgEAAFADAAAOAAAAAAAAAAEAIAAAACYBAABkcnMvZTJvRG9jLnhtbFBLBQYAAAAABgAG&#10;AFkBAABKBQAAAAA=&#10;">
                        <v:fill on="f" focussize="0,0"/>
                        <v:stroke on="f"/>
                        <v:imagedata o:title=""/>
                        <o:lock v:ext="edit" aspectratio="f"/>
                        <v:textbox>
                          <w:txbxContent>
                            <w:p>
                              <w:pPr>
                                <w:adjustRightInd w:val="0"/>
                                <w:snapToGrid w:val="0"/>
                              </w:pPr>
                              <w:r>
                                <w:rPr>
                                  <w:rFonts w:hint="eastAsia"/>
                                </w:rPr>
                                <w:t>0.03</w:t>
                              </w:r>
                            </w:p>
                          </w:txbxContent>
                        </v:textbox>
                      </v:rect>
                      <v:rect id="_x0000_s1026" o:spid="_x0000_s1026" o:spt="1" style="position:absolute;left:1110419;top:2570480;height:267335;width:49403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DiWChksQEAAFADAAAOAAAAZHJzL2Uyb0RvYy54bWytU0tu&#10;2zAQ3RfoHQjua0q28hMsZ2OkmyIJkOYANEVaBPgDh7bk0xTILofocYpeo0NJTdp0k0U31Mxw8Oa9&#10;N9T6erCGHGUE7V1Dy0VBiXTCt9rtG/r49ebTJSWQuGu58U429CSBXm8+flj3oZZL33nTykgQxEHd&#10;h4Z2KYWaMRCdtBwWPkiHl8pHyxOmcc/ayHtEt4Yti+Kc9T62IXohAbC6nS7pjBjfA+iV0kJuvThY&#10;6dKEGqXhCSVBpwPQzchWKSnSnVIgEzENRaVpPHEIxrt8ss2a1/vIQ6fFTIG/h8IbTZZrh0NfoLY8&#10;cXKI+h8oq0X04FVaCG/ZJGR0BFWUxRtvHjoe5KgFrYbwYjr8P1hxe7yPRLcNXVUVJY5bXPnPb88/&#10;vj+RXEF/+gA1tj2E+zhngGEWO6ho8xdlkAHfUlkWVXlFyamhy7OLorqc/ZVDIgIbqquqWKHzIjec&#10;X6xWZxmfvQKFCOmz9JbkoKER1ze6yo9fIE2tv1vyXOdvtDFY57VxfxUQM1dY5j6xzVEadsMsYefb&#10;Ewo/hKj3HY4qRya5CY0eOc2PIm/yz3wEff0RNr8A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5CZ&#10;BtcAAAAFAQAADwAAAAAAAAABACAAAAAiAAAAZHJzL2Rvd25yZXYueG1sUEsBAhQAFAAAAAgAh07i&#10;QOJYKGSxAQAAUAMAAA4AAAAAAAAAAQAgAAAAJgEAAGRycy9lMm9Eb2MueG1sUEsFBgAAAAAGAAYA&#10;WQEAAEkFAAAAAA==&#10;">
                        <v:fill on="f" focussize="0,0"/>
                        <v:stroke on="f"/>
                        <v:imagedata o:title=""/>
                        <o:lock v:ext="edit" aspectratio="f"/>
                        <v:textbox>
                          <w:txbxContent>
                            <w:p>
                              <w:pPr>
                                <w:adjustRightInd w:val="0"/>
                                <w:snapToGrid w:val="0"/>
                              </w:pPr>
                              <w:r>
                                <w:rPr>
                                  <w:rFonts w:hint="eastAsia"/>
                                </w:rPr>
                                <w:t>5.312</w:t>
                              </w:r>
                            </w:p>
                          </w:txbxContent>
                        </v:textbox>
                      </v:rect>
                      <v:rect id="_x0000_s1026" o:spid="_x0000_s1026" o:spt="1" style="position:absolute;left:1183444;top:3267075;height:223520;width:43942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C43s1EsQEAAFADAAAOAAAAZHJzL2Uyb0RvYy54bWytU0tu&#10;2zAQ3RfoHQjua8qy8hMsZ2OkmyINkPYANEVZBPjDkLbk0xTIrofocYpeo0NKzXeTRTfUzHD05r1H&#10;cn09Gk2OEoJytqHLRUGJtMK1yu4b+v3bzadLSkLktuXaWdnQkwz0evPxw3rwtSxd73QrgSCIDfXg&#10;G9rH6GvGguil4WHhvLS42TkwPGIKe9YCHxDdaFYWxTkbHLQenJAhYHU7bdIZEd4D6LpOCbl14mCk&#10;jRMqSM0jSgq98oFuMtuukyJ+7bogI9ENRaUxrzgE411a2WbN6z1w3ysxU+DvofBKk+HK4tBHqC2P&#10;nBxAvYEySoALrosL4QybhGRHUMWyeOXNfc+9zFrQ6uAfTQ//D1bcHu+AqLahq+qMEssNHvmfHz9/&#10;/3ogqYL+DD7U2Hbv72DOAoZJ7NiBSV+UQUa8S8vLVVVVlJwQrTy/KC7y/7yWYyQCG6rVVVWi8wIb&#10;ynJ1hjEisicgDyF+ls6QFDQU8Piyq/z4JcSp9V9LmmvdjdIa67zW9kUBMVOFJe4T2xTFcTfOEnau&#10;PaHwgwe173HUMjNJTWh05jRfinSSz/MM+vQQNn8B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5CZ&#10;BtcAAAAFAQAADwAAAAAAAAABACAAAAAiAAAAZHJzL2Rvd25yZXYueG1sUEsBAhQAFAAAAAgAh07i&#10;QLjezUSxAQAAUAMAAA4AAAAAAAAAAQAgAAAAJgEAAGRycy9lMm9Eb2MueG1sUEsFBgAAAAAGAAYA&#10;WQEAAEkFAAAAAA==&#10;">
                        <v:fill on="f" focussize="0,0"/>
                        <v:stroke on="f"/>
                        <v:imagedata o:title=""/>
                        <o:lock v:ext="edit" aspectratio="f"/>
                        <v:textbox>
                          <w:txbxContent>
                            <w:p>
                              <w:pPr>
                                <w:adjustRightInd w:val="0"/>
                                <w:snapToGrid w:val="0"/>
                              </w:pPr>
                              <w:r>
                                <w:rPr>
                                  <w:rFonts w:hint="eastAsia"/>
                                </w:rPr>
                                <w:t>1</w:t>
                              </w:r>
                            </w:p>
                          </w:txbxContent>
                        </v:textbox>
                      </v:rect>
                      <v:shape id="_x0000_s1026" o:spid="_x0000_s1026" o:spt="38" type="#_x0000_t38" style="position:absolute;left:1863529;top:3303905;flip:y;height:114300;width:368300;" filled="f" stroked="t" coordsize="21600,21600" o:gfxdata="UEsDBAoAAAAAAIdO4kAAAAAAAAAAAAAAAAAEAAAAZHJzL1BLAwQUAAAACACHTuJAA+cr7tUAAAAF&#10;AQAADwAAAGRycy9kb3ducmV2LnhtbE2PwU7DMBBE70j9B2srcUHUSaFRFOL0UKlSD1xo+IBNvMSB&#10;eB3FThv4egwXuKw0mtHM23K/2EFcaPK9YwXpJgFB3Drdc6fgtT7e5yB8QNY4OCYFn+RhX61uSiy0&#10;u/ILXc6hE7GEfYEKTAhjIaVvDVn0GzcSR+/NTRZDlFMn9YTXWG4HuU2STFrsOS4YHOlgqP04z1bB&#10;0uKM89c71iZ75O6uPj039Ump23WaPIEItIS/MPzgR3SoIlPjZtZeDAriI+H3Ri9P8x2IRkH2sN2B&#10;rEr5n776BlBLAwQUAAAACACHTuJAUivskC8CAAAyBAAADgAAAGRycy9lMm9Eb2MueG1srVPLbhMx&#10;FN0j8Q+W92QmmSZKoky6SCgbBJV47B0/Zoz8ku1kkp/gB5DYwYpVl2z6Ny2fwbVnaKEIqQtmMbq2&#10;j8+959zr1flRK3TgPkhrajwelRhxQy2Tpqnxu7cXz+YYhUgMI8oaXuMTD/h8/fTJqnNLPrGtVYx7&#10;BCQmLDtX4zZGtyyKQFuuSRhZxw0cCus1ibD0TcE86YBdq2JSlrOis545bykPAXa3/SEeGP1jCK0Q&#10;kvKtpXvNTexZPVckgqTQShfwOlcrBKfxtRCBR6RqDEpj/kMSiHfpX6xXZNl44lpJhxLIY0p4oEkT&#10;aSDpHdWWRIL2Xv5FpSX1NlgRR9TqoheSHQEV4/KBN29a4njWAlYHd2d6+H+09NXh0iPJalydzTAy&#10;REPLbz5d3X6//nH9+ebjl9tvX1E6AqM6F5aA35hLP6yCu/RJ9VF4jYSS7j1MVPYBlKEjLOazajpZ&#10;YHSCBFVZLcppbzk/RkQBUM3mVQnNoAAYj89SDNxFT5monQ/xBbcapaDGdO8PnG2sMdBa66ucjBxe&#10;hpjdZ4MCwj6MMRJaQTMPRKFpWc6rgXlAQ45f3OmqMqir8WI6mUIxBOZawDxBqB14E0yTEwWrJLuQ&#10;SqUbwTe7jfII+GGS8jdk+AOWkmxJaHscg6h3oOWEPTcMxZMDyw28NZwq0JxhpDg8zRTl8YxEqntk&#10;9JKYRv0DDaqUAQNTr/rupGhn2Sk3Le/DKGWLh7FPs/r7Ot++f+rrn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APnK+7VAAAABQEAAA8AAAAAAAAAAQAgAAAAIgAAAGRycy9kb3ducmV2LnhtbFBLAQIU&#10;ABQAAAAIAIdO4kBSK+yQLwIAADIEAAAOAAAAAAAAAAEAIAAAACQBAABkcnMvZTJvRG9jLnhtbFBL&#10;BQYAAAAABgAGAFkBAADFBQAAAAA=&#10;" adj="10818">
                        <v:fill on="f" focussize="0,0"/>
                        <v:stroke color="#000000" joinstyle="round" dashstyle="dash" endarrow="block"/>
                        <v:imagedata o:title=""/>
                        <o:lock v:ext="edit" aspectratio="f"/>
                      </v:shape>
                      <v:rect id="_x0000_s1026" o:spid="_x0000_s1026" o:spt="1" style="position:absolute;left:2225479;top:3129915;height:245110;width:666750;"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BBh+mMsgEAAFADAAAOAAAAZHJzL2Uyb0RvYy54bWytU0tu&#10;2zAQ3RfoHQjua1pq5MSC5WyMdFOkAdIcgKZIi4D4wZC25NMUyK6H6HGKXqNDSknadJNFN9TM8OHN&#10;vDfU5no0PTlJCNrZhhaLJSXSCtdqe2jow9ebD1eUhMhty3tnZUPPMtDr7ft3m8HXsnSd61sJBEls&#10;qAff0C5GXzMWRCcNDwvnpcVL5cDwiCkcWAt8QHbTs3K5XLHBQevBCRkCVnfTJZ0Z4S2ETikt5M6J&#10;o5E2Tqwgex5RUui0D3Sbp1VKivhFqSAj6RuKSmM+sQnG+3Sy7YbXB+C+02Iegb9lhFeaDNcWmz5T&#10;7Xjk5Aj6HyqjBbjgVFwIZ9gkJDuCKorlK2/uO+5l1oJWB/9sevh/tOL2dAdEt/gSqoISyw2u/Ne3&#10;7z9/PJJUQX8GH2qE3fs7mLOAYRI7KjDpizLI2NCyLKuLyzUl54Z+LMr1uqgmf+UYiUDAarW6rNB5&#10;gYDyoiqK7D97IfIQ4ifpDElBQwHXl13lp88hYnOEPkFSX+tudN/nFfb2rwICU4Wl2adpUxTH/ThL&#10;2Lv2jMKPHvShw1ZZaYaj0bnR/CjSJv/MM+nLj7D9D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IOQ&#10;mQbXAAAABQEAAA8AAAAAAAAAAQAgAAAAIgAAAGRycy9kb3ducmV2LnhtbFBLAQIUABQAAAAIAIdO&#10;4kBBh+mMsgEAAFADAAAOAAAAAAAAAAEAIAAAACYBAABkcnMvZTJvRG9jLnhtbFBLBQYAAAAABgAG&#10;AFkBAABKBQAAAAA=&#10;">
                        <v:fill on="f" focussize="0,0"/>
                        <v:stroke on="f"/>
                        <v:imagedata o:title=""/>
                        <o:lock v:ext="edit" aspectratio="f"/>
                        <v:textbox>
                          <w:txbxContent>
                            <w:p>
                              <w:pPr>
                                <w:adjustRightInd w:val="0"/>
                                <w:snapToGrid w:val="0"/>
                              </w:pPr>
                              <w:r>
                                <w:rPr>
                                  <w:rFonts w:hint="eastAsia"/>
                                </w:rPr>
                                <w:t>0.1</w:t>
                              </w:r>
                            </w:p>
                          </w:txbxContent>
                        </v:textbox>
                      </v:rect>
                      <v:line id="_x0000_s1026" o:spid="_x0000_s1026" o:spt="20" style="position:absolute;left:2508689;top:2861945;flip:y;height:6985;width:1285240;" filled="f" stroked="t" coordsize="21600,21600" o:gfxdata="UEsDBAoAAAAAAIdO4kAAAAAAAAAAAAAAAAAEAAAAZHJzL1BLAwQUAAAACACHTuJAxoiRStcAAAAF&#10;AQAADwAAAGRycy9kb3ducmV2LnhtbE2PwU7DMBBE70j8g7VI3KiT0lQhxOkBgcQJQYuQuLnxNkkb&#10;r4O9bVq+HpcLXFYazWjmbbk42l4c0IfOkYJ0koBAqp3pqFHwvnq6yUEE1mR07wgVnDDAorq8KHVh&#10;3EhveFhyI2IJhUIraJmHQspQt2h1mLgBKXob563mKH0jjddjLLe9nCbJXFrdUVxo9YAPLda75d4q&#10;uFuNmXv1u49Z2n19fj9ueXh+YaWur9LkHgTjkf/CcMaP6FBFprXbkwmiVxAf4d8bvTzNMxBrBfPb&#10;aQayKuV/+uoHUEsDBBQAAAAIAIdO4kCIZs9TDwIAAPkDAAAOAAAAZHJzL2Uyb0RvYy54bWytUzuO&#10;2zAQ7QPkDgT7WLawNmTB8hbrbJogMZBPPyYpiQB/ILmWfYlcIEC6pEqZPrfZzTEypLyfbBBgi6gg&#10;hpzHN/Oehqvzg1ZkL3yQ1jR0NplSIgyzXJquoR/eX76oKAkRDAdljWjoUQR6vn7+bDW4WpS2t4oL&#10;T5DEhHpwDe1jdHVRBNYLDWFinTCYbK3XEHHru4J7GJBdq6KcThfFYD133jIRAp5uxiQ9MfqnENq2&#10;lUxsLLvSwsSR1QsFESWFXrpA17nbthUsvm3bICJRDUWlMa9YBONdWov1CurOg+slO7UAT2nhkSYN&#10;0mDRO6oNRCBXXv5FpSXzNtg2TpjVxSgkO4IqZtNH3rzrwYmsBa0O7s708P9o2Zv91hPJcRIWc0oM&#10;aPzlN59/XH/6+uvnF1xvvn8jKYVGDS7UiL8wW3/aBbf1SfWh9Zq0SrqPyJN9QGXk0NByPq0W1ZKS&#10;I8bVYrY8y0xQi0MkDAGzspqXZ/g3GCIWyyqni5ExMTsf4ithNUlBQ5U0yRCoYf86ROwCobeQdKwM&#10;GRq6nJeohQFOZ4tTgaF2qDCYLt8NVkl+KZVKN4LvdhfKkz2kCclf0oq8f8BSkQ2EfsTl1Dg7vQD+&#10;0nASjw6dM/hkaGpBC06JEvjCUoSEUEeQ6h4ZvQTTqX+gsbwy2EWyfDQ5RTvLj9n7fI4Tkfs8TW8a&#10;uYf7fPv+xa5/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H8EAABbQ29udGVudF9UeXBlc10ueG1sUEsBAhQACgAAAAAAh07iQAAAAAAAAAAAAAAA&#10;AAYAAAAAAAAAAAAQAAAAYQMAAF9yZWxzL1BLAQIUABQAAAAIAIdO4kCKFGY80QAAAJQBAAALAAAA&#10;AAAAAAEAIAAAAIUDAABfcmVscy8ucmVsc1BLAQIUAAoAAAAAAIdO4kAAAAAAAAAAAAAAAAAEAAAA&#10;AAAAAAAAEAAAAAAAAABkcnMvUEsBAhQAFAAAAAgAh07iQMaIkUrXAAAABQEAAA8AAAAAAAAAAQAg&#10;AAAAIgAAAGRycy9kb3ducmV2LnhtbFBLAQIUABQAAAAIAIdO4kCIZs9TDwIAAPkDAAAOAAAAAAAA&#10;AAEAIAAAACYBAABkcnMvZTJvRG9jLnhtbFBLBQYAAAAABgAGAFkBAACnBQAAAAA=&#10;">
                        <v:fill on="f" focussize="0,0"/>
                        <v:stroke color="#000000" joinstyle="round" endarrow="block"/>
                        <v:imagedata o:title=""/>
                        <o:lock v:ext="edit" aspectratio="f"/>
                      </v:line>
                      <v:rect id="_x0000_s1026" o:spid="_x0000_s1026" o:spt="1" style="position:absolute;left:3825679;top:2748915;height:271145;width:902970;" fillcolor="#FFFFFF" filled="t" stroked="t" coordsize="21600,21600" o:gfxdata="UEsDBAoAAAAAAIdO4kAAAAAAAAAAAAAAAAAEAAAAZHJzL1BLAwQUAAAACACHTuJARvCD09UAAAAF&#10;AQAADwAAAGRycy9kb3ducmV2LnhtbE2PwU7DMBBE70j8g7VI3KidVK1CiNMDqEgc2/TCbRMvSSBe&#10;R7HTBr4ewwUuK41mNPO22C12EGeafO9YQ7JSIIgbZ3puNZyq/V0Gwgdkg4Nj0vBJHnbl9VWBuXEX&#10;PtD5GFoRS9jnqKELYcyl9E1HFv3KjcTRe3OTxRDl1Eoz4SWW20GmSm2lxZ7jQocjPXbUfBxnq6Hu&#10;0xN+HapnZe/36/CyVO/z65PWtzeJegARaAl/YfjBj+hQRqbazWy8GDTER8LvjV6WZBsQtYbtOt2A&#10;LAv5n778BlBLAwQUAAAACACHTuJAYOQTsBACAAA4BAAADgAAAGRycy9lMm9Eb2MueG1srVNLktMw&#10;EN1TxR1U2hN/mGQSV5xZEMKGgqma4QCKLNuq0q/USuychip2HILjUFyDlhzmB4ss8MJuWa3X771u&#10;rW9GrchReJDW1LSY5ZQIw20jTVfTL/e7N0tKIDDTMGWNqOlJAL3ZvH61HlwlSttb1QhPEMRANbia&#10;9iG4KsuA90IzmFknDG621msWcOm7rPFsQHStsjLPF9lgfeO85QIA/26nTXpG9JcA2raVXGwtP2hh&#10;woTqhWIBJUEvHdBNYtu2gofPbQsiEFVTVBrSG4tgvI/vbLNmVeeZ6yU/U2CXUHihSTNpsOgD1JYF&#10;Rg5e/gWlJfcWbBtm3OpsEpIcQRVF/sKbu545kbSg1eAeTIf/B8s/HW89kQ1OwmJBiWEaW/7r6/ef&#10;P76R+Af9GRxUmHbnbv15BRhGsWPrdfyiDDLW9O2ynC+uV5ScalpeXy1XxXzyV4yBcExY5eXqGp3n&#10;KaEortJ+9gjkPIQPwmoSg5p6bF9ylR0/QsDimPonJdYFq2Szk0qlhe/275QnR4at3qUnVscjz9KU&#10;IQMymZdz5MFwflucGwy1Qw/AdKnesxPwFDhPz7+AI7Etg34ikBAm9VoG4ZEJq3rBmvemIeHk0GWD&#10;14tGMlo0lCiBtzFGKTMwqS7JRHXKoMjYo6krMQrjfkSYGO5tc8IGH5yXXY+WFol63MGBSu6chz9O&#10;7NN1An288J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RvCD09UAAAAFAQAADwAAAAAAAAABACAA&#10;AAAiAAAAZHJzL2Rvd25yZXYueG1sUEsBAhQAFAAAAAgAh07iQGDkE7AQAgAAOAQAAA4AAAAAAAAA&#10;AQAgAAAAJAEAAGRycy9lMm9Eb2MueG1sUEsFBgAAAAAGAAYAWQEAAKYFAAAAAA==&#10;">
                        <v:fill on="t" focussize="0,0"/>
                        <v:stroke color="#000000" joinstyle="miter"/>
                        <v:imagedata o:title=""/>
                        <o:lock v:ext="edit" aspectratio="f"/>
                        <v:textbox>
                          <w:txbxContent>
                            <w:p>
                              <w:pPr>
                                <w:adjustRightInd w:val="0"/>
                                <w:snapToGrid w:val="0"/>
                              </w:pPr>
                              <w:r>
                                <w:rPr>
                                  <w:rFonts w:hint="eastAsia"/>
                                </w:rPr>
                                <w:t>有资质单位</w:t>
                              </w:r>
                            </w:p>
                          </w:txbxContent>
                        </v:textbox>
                      </v:rect>
                      <v:rect id="_x0000_s1026" o:spid="_x0000_s1026" o:spt="1" style="position:absolute;left:3031294;top:2607310;height:273050;width:541655;" filled="f" stroked="f" coordsize="21600,21600" o:gfxdata="UEsDBAoAAAAAAIdO4kAAAAAAAAAAAAAAAAAEAAAAZHJzL1BLAwQUAAAACACHTuJAg5CZBtcAAAAF&#10;AQAADwAAAGRycy9kb3ducmV2LnhtbE2PQWvCQBCF7wX/wzKFXkrdRFFCmokHQSqlII2t5zU7TUKz&#10;szG7Jvrvu+3FXgYe7/HeN9nqYloxUO8aywjxNAJBXFrdcIXwsd88JSCcV6xVa5kQruRglU/uMpVq&#10;O/I7DYWvRChhlyqE2vsuldKVNRnlprYjDt6X7Y3yQfaV1L0aQ7lp5SyKltKohsNCrTpa11R+F2eD&#10;MJa74bB/e5G7x8PW8ml7Whefr4gP93H0DMLTxd/C8Isf0CEPTEd7Zu1EixAe8X83eEmcLEAcEZbz&#10;2QJknsn/9PkPUEsDBBQAAAAIAIdO4kC5ssHasQEAAFADAAAOAAAAZHJzL2Uyb0RvYy54bWytU0tu&#10;2zAQ3RfoHQjua0p2bDeC5WyMdFO0AdIcgKZIiwB/GNKWfJoC3fUQPU7Ra3RIq0mbbLLohpoZPryZ&#10;94ba3IzWkJOEqL1raT2rKJFO+E67Q0sfvty+e09JTNx13HgnW3qWkd5s377ZDKGRc99700kgSOJi&#10;M4SW9imFhrEoeml5nPkgHV4qD5YnTOHAOuADslvD5lW1YoOHLoAXMkas7i6XdGKE1xB6pbSQOy+O&#10;Vrp0YQVpeEJJsdch0m2ZVikp0melokzEtBSVpnJiE4z3+WTbDW8OwEOvxTQCf80IzzRZrh02faTa&#10;8cTJEfQLKqsF+OhVmglv2UVIcQRV1NUzb+57HmTRglbH8Gh6/H+04tPpDoju8CWs1pQ4bnHlv75+&#10;//njG8kV9GcIsUHYfbiDKYsYZrGjApu/KIOMLV1Ui3p+fUXJuaXzVbVe1JO/ckxEIGB5Va+WS0pE&#10;BqwX1bLcsyeiADF9kN6SHLQUcH3FVX76GBM2R+gfSO7r/K02pqzQuH8KCMwVlme/TJujNO7HScLe&#10;d2cUfgygDz22qrPSAkejS6PpUeRN/p0X1NOPsP0N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IQQAAFtDb250ZW50X1R5cGVzXS54bWxQSwECFAAK&#10;AAAAAACHTuJAAAAAAAAAAAAAAAAABgAAAAAAAAAAABAAAAADAwAAX3JlbHMvUEsBAhQAFAAAAAgA&#10;h07iQIoUZjzRAAAAlAEAAAsAAAAAAAAAAQAgAAAAJwMAAF9yZWxzLy5yZWxzUEsBAhQACgAAAAAA&#10;h07iQAAAAAAAAAAAAAAAAAQAAAAAAAAAAAAQAAAAAAAAAGRycy9QSwECFAAUAAAACACHTuJAg5CZ&#10;BtcAAAAFAQAADwAAAAAAAAABACAAAAAiAAAAZHJzL2Rvd25yZXYueG1sUEsBAhQAFAAAAAgAh07i&#10;QLmywdqxAQAAUAMAAA4AAAAAAAAAAQAgAAAAJgEAAGRycy9lMm9Eb2MueG1sUEsFBgAAAAAGAAYA&#10;WQEAAEkFAAAAAA==&#10;">
                        <v:fill on="f" focussize="0,0"/>
                        <v:stroke on="f"/>
                        <v:imagedata o:title=""/>
                        <o:lock v:ext="edit" aspectratio="f"/>
                        <v:textbox>
                          <w:txbxContent>
                            <w:p>
                              <w:pPr>
                                <w:adjustRightInd w:val="0"/>
                                <w:snapToGrid w:val="0"/>
                              </w:pPr>
                              <w:r>
                                <w:rPr>
                                  <w:rFonts w:hint="eastAsia"/>
                                </w:rPr>
                                <w:t>0.032</w:t>
                              </w:r>
                            </w:p>
                          </w:txbxContent>
                        </v:textbox>
                      </v:rect>
                      <w10:wrap type="none"/>
                      <w10:anchorlock/>
                    </v:group>
                  </w:pict>
                </mc:Fallback>
              </mc:AlternateContent>
            </w:r>
          </w:p>
          <w:p>
            <w:pPr>
              <w:widowControl/>
              <w:adjustRightInd w:val="0"/>
              <w:snapToGrid w:val="0"/>
              <w:spacing w:line="360" w:lineRule="auto"/>
              <w:jc w:val="center"/>
              <w:rPr>
                <w:b/>
              </w:rPr>
            </w:pPr>
            <w:r>
              <w:rPr>
                <w:b/>
              </w:rPr>
              <w:t>图2-1 项目水平衡示意图 单位m</w:t>
            </w:r>
            <w:r>
              <w:rPr>
                <w:b/>
                <w:vertAlign w:val="superscript"/>
              </w:rPr>
              <w:t>3</w:t>
            </w:r>
            <w:r>
              <w:rPr>
                <w:b/>
              </w:rPr>
              <w:t>/d</w:t>
            </w:r>
          </w:p>
          <w:p>
            <w:pPr>
              <w:widowControl/>
              <w:numPr>
                <w:ilvl w:val="0"/>
                <w:numId w:val="15"/>
              </w:numPr>
              <w:adjustRightInd w:val="0"/>
              <w:snapToGrid w:val="0"/>
              <w:spacing w:line="360" w:lineRule="auto"/>
              <w:ind w:firstLine="422" w:firstLineChars="200"/>
              <w:rPr>
                <w:b/>
              </w:rPr>
            </w:pPr>
            <w:r>
              <w:rPr>
                <w:b/>
              </w:rPr>
              <w:t>供电</w:t>
            </w:r>
          </w:p>
          <w:p>
            <w:pPr>
              <w:widowControl/>
              <w:adjustRightInd w:val="0"/>
              <w:snapToGrid w:val="0"/>
              <w:spacing w:line="360" w:lineRule="auto"/>
              <w:ind w:firstLine="420" w:firstLineChars="200"/>
            </w:pPr>
            <w:r>
              <w:t>项目不设备用发电机，用电由当地市政电网供应，年用电量约17万kw•h。</w:t>
            </w:r>
          </w:p>
          <w:p>
            <w:pPr>
              <w:widowControl/>
              <w:spacing w:line="360" w:lineRule="auto"/>
              <w:ind w:firstLine="422" w:firstLineChars="200"/>
              <w:rPr>
                <w:b/>
                <w:bCs/>
              </w:rPr>
            </w:pPr>
            <w:r>
              <w:rPr>
                <w:b/>
                <w:bCs/>
              </w:rPr>
              <w:t>7、劳动定员及工作制度</w:t>
            </w:r>
          </w:p>
          <w:p>
            <w:pPr>
              <w:adjustRightInd w:val="0"/>
              <w:snapToGrid w:val="0"/>
              <w:spacing w:line="360" w:lineRule="auto"/>
              <w:ind w:firstLine="420" w:firstLineChars="200"/>
            </w:pPr>
            <w:r>
              <w:t>项目员工20人，在</w:t>
            </w:r>
            <w:r>
              <w:rPr>
                <w:rFonts w:hint="eastAsia"/>
              </w:rPr>
              <w:t>厂内</w:t>
            </w:r>
            <w:r>
              <w:rPr>
                <w:rStyle w:val="112"/>
                <w:rFonts w:hint="eastAsia"/>
              </w:rPr>
              <w:t>住宿</w:t>
            </w:r>
            <w:r>
              <w:rPr>
                <w:rFonts w:hint="eastAsia"/>
              </w:rPr>
              <w:t>，不就餐</w:t>
            </w:r>
            <w:r>
              <w:t>，日工作8小时，年运行300天。</w:t>
            </w:r>
          </w:p>
          <w:p>
            <w:pPr>
              <w:spacing w:line="360" w:lineRule="auto"/>
              <w:ind w:firstLine="422" w:firstLineChars="200"/>
              <w:jc w:val="left"/>
            </w:pPr>
            <w:r>
              <w:rPr>
                <w:b/>
                <w:bCs/>
              </w:rPr>
              <w:t>8、四置情况及平面布局</w:t>
            </w:r>
          </w:p>
          <w:p>
            <w:pPr>
              <w:tabs>
                <w:tab w:val="left" w:pos="5109"/>
              </w:tabs>
              <w:adjustRightInd w:val="0"/>
              <w:snapToGrid w:val="0"/>
              <w:spacing w:line="360" w:lineRule="auto"/>
              <w:ind w:firstLine="420" w:firstLineChars="200"/>
            </w:pPr>
            <w:r>
              <w:t>本项目位于惠州市博罗县园洲镇九潭沥西村十二岭工业区126号。项目A、B两栋厂房北面5米为工业厂房；西面2米为其他工业厂房；东面23米为龙电安防科技公司；南面为空地。项目卫星影像及四至情况见附图2，现场勘查见附图3，项目总平面布置图见附图4，车间平面布局见附图5、附图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33" w:type="pct"/>
            <w:vAlign w:val="center"/>
          </w:tcPr>
          <w:p>
            <w:pPr>
              <w:pStyle w:val="93"/>
              <w:adjustRightInd w:val="0"/>
              <w:snapToGrid w:val="0"/>
              <w:spacing w:before="0" w:beforeAutospacing="0" w:after="0" w:afterAutospacing="0"/>
              <w:jc w:val="center"/>
              <w:rPr>
                <w:rFonts w:ascii="Times New Roman" w:hAnsi="Times New Roman"/>
                <w:sz w:val="21"/>
                <w:szCs w:val="21"/>
              </w:rPr>
            </w:pPr>
            <w:r>
              <w:rPr>
                <w:rFonts w:ascii="Times New Roman" w:hAnsi="Times New Roman"/>
                <w:sz w:val="21"/>
                <w:szCs w:val="21"/>
              </w:rPr>
              <w:t>工艺流程和产排污环节</w:t>
            </w:r>
          </w:p>
        </w:tc>
        <w:tc>
          <w:tcPr>
            <w:tcW w:w="4766" w:type="pct"/>
          </w:tcPr>
          <w:p>
            <w:pPr>
              <w:numPr>
                <w:ilvl w:val="0"/>
                <w:numId w:val="16"/>
              </w:numPr>
              <w:autoSpaceDE w:val="0"/>
              <w:autoSpaceDN w:val="0"/>
              <w:adjustRightInd w:val="0"/>
              <w:snapToGrid w:val="0"/>
              <w:spacing w:before="120" w:beforeLines="50" w:line="360" w:lineRule="auto"/>
              <w:ind w:firstLine="482"/>
              <w:jc w:val="left"/>
            </w:pPr>
            <w:r>
              <w:rPr>
                <w:b/>
              </w:rPr>
              <w:t>施工期</w:t>
            </w:r>
          </w:p>
          <w:p>
            <w:pPr>
              <w:tabs>
                <w:tab w:val="left" w:pos="5109"/>
              </w:tabs>
              <w:adjustRightInd w:val="0"/>
              <w:snapToGrid w:val="0"/>
              <w:spacing w:line="360" w:lineRule="auto"/>
              <w:ind w:firstLine="420" w:firstLineChars="200"/>
            </w:pPr>
            <w:r>
              <w:t>根据现场勘踏，项目租用厂房已建成，其他附属设施已经建成，施工期仅需进行设备安装及调试，施工期环境影响不明显。</w:t>
            </w:r>
          </w:p>
          <w:p>
            <w:pPr>
              <w:numPr>
                <w:ilvl w:val="0"/>
                <w:numId w:val="16"/>
              </w:numPr>
              <w:autoSpaceDE w:val="0"/>
              <w:autoSpaceDN w:val="0"/>
              <w:adjustRightInd w:val="0"/>
              <w:snapToGrid w:val="0"/>
              <w:spacing w:before="120" w:beforeLines="50" w:line="360" w:lineRule="auto"/>
              <w:ind w:firstLine="482"/>
              <w:jc w:val="left"/>
              <w:rPr>
                <w:b/>
              </w:rPr>
            </w:pPr>
            <w:r>
              <w:rPr>
                <w:b/>
              </w:rPr>
              <w:t>运营期</w:t>
            </w:r>
          </w:p>
          <w:p>
            <w:pPr>
              <w:autoSpaceDE w:val="0"/>
              <w:autoSpaceDN w:val="0"/>
              <w:adjustRightInd w:val="0"/>
              <w:snapToGrid w:val="0"/>
              <w:spacing w:before="120" w:beforeLines="50" w:line="360" w:lineRule="auto"/>
              <w:ind w:firstLine="482"/>
              <w:jc w:val="left"/>
              <w:rPr>
                <w:b/>
              </w:rPr>
            </w:pPr>
            <w:r>
              <w:rPr>
                <w:b/>
              </w:rPr>
              <w:t>1、项目生产工艺流程及产污环节如下：</w:t>
            </w:r>
          </w:p>
          <w:p>
            <w:pPr>
              <w:autoSpaceDE w:val="0"/>
              <w:autoSpaceDN w:val="0"/>
              <w:adjustRightInd w:val="0"/>
              <w:jc w:val="center"/>
            </w:pPr>
            <w:r>
              <mc:AlternateContent>
                <mc:Choice Requires="wpc">
                  <w:drawing>
                    <wp:inline distT="0" distB="0" distL="114300" distR="114300">
                      <wp:extent cx="5195570" cy="7580630"/>
                      <wp:effectExtent l="0" t="0" r="0" b="8890"/>
                      <wp:docPr id="137" name="画布 137"/>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w="9525" cap="flat" cmpd="sng">
                                <a:noFill/>
                                <a:prstDash val="solid"/>
                                <a:miter/>
                                <a:headEnd type="none" w="med" len="med"/>
                                <a:tailEnd type="none" w="med" len="med"/>
                              </a:ln>
                            </wpc:whole>
                            <wps:wsp>
                              <wps:cNvPr id="187" name="直接箭头连接符 117"/>
                              <wps:cNvCnPr>
                                <a:cxnSpLocks noChangeShapeType="1"/>
                              </wps:cNvCnPr>
                              <wps:spPr bwMode="auto">
                                <a:xfrm>
                                  <a:off x="2573142" y="207963"/>
                                  <a:ext cx="0" cy="484505"/>
                                </a:xfrm>
                                <a:prstGeom prst="straightConnector1">
                                  <a:avLst/>
                                </a:prstGeom>
                                <a:noFill/>
                                <a:ln w="6350">
                                  <a:solidFill>
                                    <a:srgbClr val="000000"/>
                                  </a:solidFill>
                                  <a:round/>
                                  <a:tailEnd type="triangle" w="med" len="med"/>
                                </a:ln>
                                <a:effectLst/>
                              </wps:spPr>
                              <wps:bodyPr/>
                            </wps:wsp>
                            <wps:wsp>
                              <wps:cNvPr id="188" name="文本框 118"/>
                              <wps:cNvSpPr txBox="1">
                                <a:spLocks noChangeArrowheads="1"/>
                              </wps:cNvSpPr>
                              <wps:spPr bwMode="auto">
                                <a:xfrm>
                                  <a:off x="1868805" y="40005"/>
                                  <a:ext cx="1348105" cy="254000"/>
                                </a:xfrm>
                                <a:prstGeom prst="rect">
                                  <a:avLst/>
                                </a:prstGeom>
                                <a:noFill/>
                                <a:ln>
                                  <a:noFill/>
                                </a:ln>
                                <a:effectLst/>
                              </wps:spPr>
                              <wps:txbx>
                                <w:txbxContent>
                                  <w:p>
                                    <w:pPr>
                                      <w:adjustRightInd w:val="0"/>
                                      <w:snapToGrid w:val="0"/>
                                      <w:jc w:val="center"/>
                                    </w:pPr>
                                    <w:r>
                                      <w:rPr>
                                        <w:rFonts w:hint="eastAsia"/>
                                      </w:rPr>
                                      <w:t>锌合金锭、铝合金锭</w:t>
                                    </w:r>
                                  </w:p>
                                </w:txbxContent>
                              </wps:txbx>
                              <wps:bodyPr rot="0" vert="horz" wrap="square" lIns="91440" tIns="45720" rIns="91440" bIns="45720" anchor="t" anchorCtr="0" upright="1">
                                <a:noAutofit/>
                              </wps:bodyPr>
                            </wps:wsp>
                            <wps:wsp>
                              <wps:cNvPr id="189" name="文本框 119"/>
                              <wps:cNvSpPr txBox="1">
                                <a:spLocks noChangeArrowheads="1"/>
                              </wps:cNvSpPr>
                              <wps:spPr bwMode="auto">
                                <a:xfrm>
                                  <a:off x="3418205" y="577215"/>
                                  <a:ext cx="1382395" cy="462915"/>
                                </a:xfrm>
                                <a:prstGeom prst="rect">
                                  <a:avLst/>
                                </a:prstGeom>
                                <a:noFill/>
                                <a:ln w="6350">
                                  <a:noFill/>
                                  <a:prstDash val="dash"/>
                                  <a:miter lim="800000"/>
                                </a:ln>
                                <a:effectLst/>
                              </wps:spPr>
                              <wps:txbx>
                                <w:txbxContent>
                                  <w:p>
                                    <w:pPr>
                                      <w:adjustRightInd w:val="0"/>
                                      <w:snapToGrid w:val="0"/>
                                      <w:jc w:val="left"/>
                                    </w:pPr>
                                    <w:r>
                                      <w:rPr>
                                        <w:rFonts w:hint="eastAsia"/>
                                      </w:rPr>
                                      <w:t>烟尘（颗粒物）、铝/锌合金渣、噪声</w:t>
                                    </w:r>
                                  </w:p>
                                </w:txbxContent>
                              </wps:txbx>
                              <wps:bodyPr rot="0" vert="horz" wrap="square" lIns="91440" tIns="45720" rIns="91440" bIns="45720" anchor="t" anchorCtr="0" upright="1">
                                <a:noAutofit/>
                              </wps:bodyPr>
                            </wps:wsp>
                            <wps:wsp>
                              <wps:cNvPr id="190" name="直接箭头连接符 120"/>
                              <wps:cNvCnPr>
                                <a:cxnSpLocks noChangeShapeType="1"/>
                              </wps:cNvCnPr>
                              <wps:spPr bwMode="auto">
                                <a:xfrm>
                                  <a:off x="3027484" y="814070"/>
                                  <a:ext cx="330200" cy="0"/>
                                </a:xfrm>
                                <a:prstGeom prst="straightConnector1">
                                  <a:avLst/>
                                </a:prstGeom>
                                <a:noFill/>
                                <a:ln w="6350">
                                  <a:solidFill>
                                    <a:srgbClr val="000000"/>
                                  </a:solidFill>
                                  <a:prstDash val="dash"/>
                                  <a:round/>
                                  <a:tailEnd type="triangle" w="med" len="med"/>
                                </a:ln>
                                <a:effectLst/>
                              </wps:spPr>
                              <wps:bodyPr/>
                            </wps:wsp>
                            <wps:wsp>
                              <wps:cNvPr id="191" name="文本框 121"/>
                              <wps:cNvSpPr txBox="1">
                                <a:spLocks noChangeArrowheads="1"/>
                              </wps:cNvSpPr>
                              <wps:spPr bwMode="auto">
                                <a:xfrm>
                                  <a:off x="2137849" y="1231900"/>
                                  <a:ext cx="896620" cy="248285"/>
                                </a:xfrm>
                                <a:prstGeom prst="rect">
                                  <a:avLst/>
                                </a:prstGeom>
                                <a:noFill/>
                                <a:ln w="6350">
                                  <a:solidFill>
                                    <a:srgbClr val="000000"/>
                                  </a:solidFill>
                                  <a:miter lim="800000"/>
                                </a:ln>
                                <a:effectLst/>
                              </wps:spPr>
                              <wps:txbx>
                                <w:txbxContent>
                                  <w:p>
                                    <w:pPr>
                                      <w:adjustRightInd w:val="0"/>
                                      <w:snapToGrid w:val="0"/>
                                      <w:jc w:val="center"/>
                                    </w:pPr>
                                    <w:r>
                                      <w:rPr>
                                        <w:rFonts w:hint="eastAsia"/>
                                      </w:rPr>
                                      <w:t>压铸成型</w:t>
                                    </w:r>
                                  </w:p>
                                </w:txbxContent>
                              </wps:txbx>
                              <wps:bodyPr rot="0" vert="horz" wrap="square" lIns="91440" tIns="45720" rIns="91440" bIns="45720" anchor="t" anchorCtr="0" upright="1">
                                <a:noAutofit/>
                              </wps:bodyPr>
                            </wps:wsp>
                            <wps:wsp>
                              <wps:cNvPr id="192" name="直接箭头连接符 122"/>
                              <wps:cNvCnPr>
                                <a:cxnSpLocks noChangeShapeType="1"/>
                              </wps:cNvCnPr>
                              <wps:spPr bwMode="auto">
                                <a:xfrm rot="5400000" flipV="1">
                                  <a:off x="2442649" y="1085215"/>
                                  <a:ext cx="280035" cy="0"/>
                                </a:xfrm>
                                <a:prstGeom prst="straightConnector1">
                                  <a:avLst/>
                                </a:prstGeom>
                                <a:noFill/>
                                <a:ln w="6350">
                                  <a:solidFill>
                                    <a:srgbClr val="000000"/>
                                  </a:solidFill>
                                  <a:round/>
                                  <a:tailEnd type="triangle" w="med" len="med"/>
                                </a:ln>
                                <a:effectLst/>
                              </wps:spPr>
                              <wps:bodyPr/>
                            </wps:wsp>
                            <wps:wsp>
                              <wps:cNvPr id="193" name="文本框 123"/>
                              <wps:cNvSpPr txBox="1">
                                <a:spLocks noChangeArrowheads="1"/>
                              </wps:cNvSpPr>
                              <wps:spPr bwMode="auto">
                                <a:xfrm>
                                  <a:off x="3420110" y="1047115"/>
                                  <a:ext cx="1320800" cy="612775"/>
                                </a:xfrm>
                                <a:prstGeom prst="rect">
                                  <a:avLst/>
                                </a:prstGeom>
                                <a:noFill/>
                                <a:ln w="6350">
                                  <a:noFill/>
                                  <a:prstDash val="dash"/>
                                  <a:miter lim="800000"/>
                                </a:ln>
                                <a:effectLst/>
                              </wps:spPr>
                              <wps:txbx>
                                <w:txbxContent>
                                  <w:p>
                                    <w:pPr>
                                      <w:adjustRightInd w:val="0"/>
                                      <w:snapToGrid w:val="0"/>
                                    </w:pPr>
                                    <w:r>
                                      <w:rPr>
                                        <w:rFonts w:hint="eastAsia"/>
                                      </w:rPr>
                                      <w:t>烟尘（颗粒物）、有机废气（非甲烷总烃）、噪声</w:t>
                                    </w:r>
                                  </w:p>
                                </w:txbxContent>
                              </wps:txbx>
                              <wps:bodyPr rot="0" vert="horz" wrap="square" lIns="91440" tIns="45720" rIns="91440" bIns="45720" anchor="t" anchorCtr="0" upright="1">
                                <a:noAutofit/>
                              </wps:bodyPr>
                            </wps:wsp>
                            <wps:wsp>
                              <wps:cNvPr id="194" name="直接箭头连接符 124"/>
                              <wps:cNvCnPr>
                                <a:cxnSpLocks noChangeShapeType="1"/>
                              </wps:cNvCnPr>
                              <wps:spPr bwMode="auto">
                                <a:xfrm>
                                  <a:off x="3042724" y="1363980"/>
                                  <a:ext cx="330200" cy="0"/>
                                </a:xfrm>
                                <a:prstGeom prst="straightConnector1">
                                  <a:avLst/>
                                </a:prstGeom>
                                <a:noFill/>
                                <a:ln w="6350">
                                  <a:solidFill>
                                    <a:srgbClr val="000000"/>
                                  </a:solidFill>
                                  <a:prstDash val="dash"/>
                                  <a:round/>
                                  <a:tailEnd type="triangle" w="med" len="med"/>
                                </a:ln>
                                <a:effectLst/>
                              </wps:spPr>
                              <wps:bodyPr/>
                            </wps:wsp>
                            <wps:wsp>
                              <wps:cNvPr id="196" name="直接箭头连接符 126"/>
                              <wps:cNvCnPr>
                                <a:cxnSpLocks noChangeShapeType="1"/>
                              </wps:cNvCnPr>
                              <wps:spPr bwMode="auto">
                                <a:xfrm rot="5400000" flipV="1">
                                  <a:off x="2471224" y="2176780"/>
                                  <a:ext cx="267335" cy="0"/>
                                </a:xfrm>
                                <a:prstGeom prst="straightConnector1">
                                  <a:avLst/>
                                </a:prstGeom>
                                <a:noFill/>
                                <a:ln w="6350">
                                  <a:solidFill>
                                    <a:srgbClr val="000000"/>
                                  </a:solidFill>
                                  <a:round/>
                                  <a:tailEnd type="triangle" w="med" len="med"/>
                                </a:ln>
                                <a:effectLst/>
                              </wps:spPr>
                              <wps:bodyPr/>
                            </wps:wsp>
                            <wps:wsp>
                              <wps:cNvPr id="197" name="文本框 129"/>
                              <wps:cNvSpPr txBox="1">
                                <a:spLocks noChangeArrowheads="1"/>
                              </wps:cNvSpPr>
                              <wps:spPr bwMode="auto">
                                <a:xfrm>
                                  <a:off x="2175314" y="3383280"/>
                                  <a:ext cx="896620" cy="248920"/>
                                </a:xfrm>
                                <a:prstGeom prst="rect">
                                  <a:avLst/>
                                </a:prstGeom>
                                <a:noFill/>
                                <a:ln w="6350">
                                  <a:solidFill>
                                    <a:srgbClr val="000000"/>
                                  </a:solidFill>
                                  <a:miter lim="800000"/>
                                </a:ln>
                                <a:effectLst/>
                              </wps:spPr>
                              <wps:txbx>
                                <w:txbxContent>
                                  <w:p>
                                    <w:pPr>
                                      <w:jc w:val="center"/>
                                    </w:pPr>
                                    <w:r>
                                      <w:rPr>
                                        <w:rFonts w:hint="eastAsia"/>
                                      </w:rPr>
                                      <w:t>钻孔</w:t>
                                    </w:r>
                                  </w:p>
                                </w:txbxContent>
                              </wps:txbx>
                              <wps:bodyPr rot="0" vert="horz" wrap="square" lIns="91440" tIns="45720" rIns="91440" bIns="45720" anchor="t" anchorCtr="0" upright="1">
                                <a:noAutofit/>
                              </wps:bodyPr>
                            </wps:wsp>
                            <wps:wsp>
                              <wps:cNvPr id="198" name="直接箭头连接符 130"/>
                              <wps:cNvCnPr>
                                <a:cxnSpLocks noChangeShapeType="1"/>
                              </wps:cNvCnPr>
                              <wps:spPr bwMode="auto">
                                <a:xfrm rot="5400000" flipV="1">
                                  <a:off x="2492814" y="2720975"/>
                                  <a:ext cx="267335" cy="0"/>
                                </a:xfrm>
                                <a:prstGeom prst="straightConnector1">
                                  <a:avLst/>
                                </a:prstGeom>
                                <a:noFill/>
                                <a:ln w="6350">
                                  <a:solidFill>
                                    <a:srgbClr val="000000"/>
                                  </a:solidFill>
                                  <a:round/>
                                  <a:tailEnd type="triangle" w="med" len="med"/>
                                </a:ln>
                                <a:effectLst/>
                              </wps:spPr>
                              <wps:bodyPr/>
                            </wps:wsp>
                            <wps:wsp>
                              <wps:cNvPr id="199" name="直接箭头连接符 131"/>
                              <wps:cNvCnPr>
                                <a:cxnSpLocks noChangeShapeType="1"/>
                              </wps:cNvCnPr>
                              <wps:spPr bwMode="auto">
                                <a:xfrm rot="5400000" flipV="1">
                                  <a:off x="2502339" y="3777615"/>
                                  <a:ext cx="267335" cy="0"/>
                                </a:xfrm>
                                <a:prstGeom prst="straightConnector1">
                                  <a:avLst/>
                                </a:prstGeom>
                                <a:noFill/>
                                <a:ln w="6350">
                                  <a:solidFill>
                                    <a:srgbClr val="000000"/>
                                  </a:solidFill>
                                  <a:round/>
                                  <a:tailEnd type="triangle" w="med" len="med"/>
                                </a:ln>
                                <a:effectLst/>
                              </wps:spPr>
                              <wps:bodyPr/>
                            </wps:wsp>
                            <wps:wsp>
                              <wps:cNvPr id="201" name="文本框 133"/>
                              <wps:cNvSpPr txBox="1">
                                <a:spLocks noChangeArrowheads="1"/>
                              </wps:cNvSpPr>
                              <wps:spPr bwMode="auto">
                                <a:xfrm>
                                  <a:off x="3496310" y="3903980"/>
                                  <a:ext cx="1188720" cy="254000"/>
                                </a:xfrm>
                                <a:prstGeom prst="rect">
                                  <a:avLst/>
                                </a:prstGeom>
                                <a:noFill/>
                                <a:ln w="6350">
                                  <a:noFill/>
                                  <a:prstDash val="dash"/>
                                  <a:miter lim="800000"/>
                                </a:ln>
                                <a:effectLst/>
                              </wps:spPr>
                              <wps:txbx>
                                <w:txbxContent>
                                  <w:p>
                                    <w:pPr>
                                      <w:adjustRightInd w:val="0"/>
                                      <w:snapToGrid w:val="0"/>
                                      <w:jc w:val="left"/>
                                    </w:pPr>
                                    <w:r>
                                      <w:rPr>
                                        <w:rFonts w:hint="eastAsia"/>
                                      </w:rPr>
                                      <w:t>攻牙碎屑、噪声</w:t>
                                    </w:r>
                                  </w:p>
                                </w:txbxContent>
                              </wps:txbx>
                              <wps:bodyPr rot="0" vert="horz" wrap="square" lIns="91440" tIns="45720" rIns="91440" bIns="45720" anchor="t" anchorCtr="0" upright="1">
                                <a:noAutofit/>
                              </wps:bodyPr>
                            </wps:wsp>
                            <wps:wsp>
                              <wps:cNvPr id="202" name="直接箭头连接符 134"/>
                              <wps:cNvCnPr>
                                <a:cxnSpLocks noChangeShapeType="1"/>
                              </wps:cNvCnPr>
                              <wps:spPr bwMode="auto">
                                <a:xfrm>
                                  <a:off x="3096064" y="4018280"/>
                                  <a:ext cx="330200" cy="0"/>
                                </a:xfrm>
                                <a:prstGeom prst="straightConnector1">
                                  <a:avLst/>
                                </a:prstGeom>
                                <a:noFill/>
                                <a:ln w="6350">
                                  <a:solidFill>
                                    <a:srgbClr val="000000"/>
                                  </a:solidFill>
                                  <a:prstDash val="dash"/>
                                  <a:round/>
                                  <a:tailEnd type="triangle" w="med" len="med"/>
                                </a:ln>
                                <a:effectLst/>
                              </wps:spPr>
                              <wps:bodyPr/>
                            </wps:wsp>
                            <wps:wsp>
                              <wps:cNvPr id="203" name="文本框 142"/>
                              <wps:cNvSpPr txBox="1">
                                <a:spLocks noChangeArrowheads="1"/>
                              </wps:cNvSpPr>
                              <wps:spPr bwMode="auto">
                                <a:xfrm>
                                  <a:off x="3522149" y="2284730"/>
                                  <a:ext cx="1086485" cy="254000"/>
                                </a:xfrm>
                                <a:prstGeom prst="rect">
                                  <a:avLst/>
                                </a:prstGeom>
                                <a:noFill/>
                                <a:ln w="6350">
                                  <a:noFill/>
                                  <a:prstDash val="dash"/>
                                  <a:miter lim="800000"/>
                                </a:ln>
                                <a:effectLst/>
                              </wps:spPr>
                              <wps:txbx>
                                <w:txbxContent>
                                  <w:p>
                                    <w:pPr>
                                      <w:jc w:val="left"/>
                                    </w:pPr>
                                    <w:r>
                                      <w:rPr>
                                        <w:rFonts w:hint="eastAsia"/>
                                      </w:rPr>
                                      <w:t>边角料、噪声</w:t>
                                    </w:r>
                                  </w:p>
                                </w:txbxContent>
                              </wps:txbx>
                              <wps:bodyPr rot="0" vert="horz" wrap="square" lIns="91440" tIns="45720" rIns="91440" bIns="45720" anchor="t" anchorCtr="0" upright="1">
                                <a:noAutofit/>
                              </wps:bodyPr>
                            </wps:wsp>
                            <wps:wsp>
                              <wps:cNvPr id="204" name="直接箭头连接符 143"/>
                              <wps:cNvCnPr>
                                <a:cxnSpLocks noChangeShapeType="1"/>
                              </wps:cNvCnPr>
                              <wps:spPr bwMode="auto">
                                <a:xfrm>
                                  <a:off x="3061774" y="2418080"/>
                                  <a:ext cx="330200" cy="0"/>
                                </a:xfrm>
                                <a:prstGeom prst="straightConnector1">
                                  <a:avLst/>
                                </a:prstGeom>
                                <a:noFill/>
                                <a:ln w="6350">
                                  <a:solidFill>
                                    <a:srgbClr val="000000"/>
                                  </a:solidFill>
                                  <a:prstDash val="dash"/>
                                  <a:round/>
                                  <a:tailEnd type="triangle" w="med" len="med"/>
                                </a:ln>
                                <a:effectLst/>
                              </wps:spPr>
                              <wps:bodyPr/>
                            </wps:wsp>
                            <wps:wsp>
                              <wps:cNvPr id="205" name="文本框 136"/>
                              <wps:cNvSpPr txBox="1">
                                <a:spLocks noChangeArrowheads="1"/>
                              </wps:cNvSpPr>
                              <wps:spPr bwMode="auto">
                                <a:xfrm>
                                  <a:off x="3483414" y="6758305"/>
                                  <a:ext cx="494665" cy="254635"/>
                                </a:xfrm>
                                <a:prstGeom prst="rect">
                                  <a:avLst/>
                                </a:prstGeom>
                                <a:noFill/>
                                <a:ln w="6350">
                                  <a:noFill/>
                                  <a:prstDash val="dash"/>
                                  <a:miter lim="800000"/>
                                </a:ln>
                                <a:effectLst/>
                              </wps:spPr>
                              <wps:txbx>
                                <w:txbxContent>
                                  <w:p>
                                    <w:pPr>
                                      <w:adjustRightInd w:val="0"/>
                                      <w:snapToGrid w:val="0"/>
                                      <w:jc w:val="left"/>
                                    </w:pPr>
                                    <w:r>
                                      <w:rPr>
                                        <w:rFonts w:hint="eastAsia"/>
                                      </w:rPr>
                                      <w:t>次品</w:t>
                                    </w:r>
                                  </w:p>
                                </w:txbxContent>
                              </wps:txbx>
                              <wps:bodyPr rot="0" vert="horz" wrap="square" lIns="91440" tIns="45720" rIns="91440" bIns="45720" anchor="t" anchorCtr="0" upright="1">
                                <a:noAutofit/>
                              </wps:bodyPr>
                            </wps:wsp>
                            <wps:wsp>
                              <wps:cNvPr id="206" name="直接箭头连接符 138"/>
                              <wps:cNvCnPr>
                                <a:cxnSpLocks noChangeShapeType="1"/>
                              </wps:cNvCnPr>
                              <wps:spPr bwMode="auto">
                                <a:xfrm>
                                  <a:off x="3106224" y="5840730"/>
                                  <a:ext cx="330200" cy="0"/>
                                </a:xfrm>
                                <a:prstGeom prst="straightConnector1">
                                  <a:avLst/>
                                </a:prstGeom>
                                <a:noFill/>
                                <a:ln w="6350">
                                  <a:solidFill>
                                    <a:srgbClr val="000000"/>
                                  </a:solidFill>
                                  <a:prstDash val="dash"/>
                                  <a:round/>
                                  <a:tailEnd type="triangle" w="med" len="med"/>
                                </a:ln>
                                <a:effectLst/>
                              </wps:spPr>
                              <wps:bodyPr/>
                            </wps:wsp>
                            <wps:wsp>
                              <wps:cNvPr id="207" name="文本框 139"/>
                              <wps:cNvSpPr txBox="1">
                                <a:spLocks noChangeArrowheads="1"/>
                              </wps:cNvSpPr>
                              <wps:spPr bwMode="auto">
                                <a:xfrm>
                                  <a:off x="2175949" y="3910330"/>
                                  <a:ext cx="896620" cy="248920"/>
                                </a:xfrm>
                                <a:prstGeom prst="rect">
                                  <a:avLst/>
                                </a:prstGeom>
                                <a:noFill/>
                                <a:ln w="6350">
                                  <a:solidFill>
                                    <a:srgbClr val="000000"/>
                                  </a:solidFill>
                                  <a:miter lim="800000"/>
                                </a:ln>
                                <a:effectLst/>
                              </wps:spPr>
                              <wps:txbx>
                                <w:txbxContent>
                                  <w:p>
                                    <w:pPr>
                                      <w:jc w:val="center"/>
                                    </w:pPr>
                                    <w:r>
                                      <w:rPr>
                                        <w:rFonts w:hint="eastAsia"/>
                                      </w:rPr>
                                      <w:t>攻牙</w:t>
                                    </w:r>
                                  </w:p>
                                </w:txbxContent>
                              </wps:txbx>
                              <wps:bodyPr rot="0" vert="horz" wrap="square" lIns="91440" tIns="45720" rIns="91440" bIns="45720" anchor="t" anchorCtr="0" upright="1">
                                <a:noAutofit/>
                              </wps:bodyPr>
                            </wps:wsp>
                            <wps:wsp>
                              <wps:cNvPr id="208" name="直接箭头连接符 146"/>
                              <wps:cNvCnPr>
                                <a:cxnSpLocks noChangeShapeType="1"/>
                              </wps:cNvCnPr>
                              <wps:spPr bwMode="auto">
                                <a:xfrm rot="5400000" flipV="1">
                                  <a:off x="2509324" y="4291330"/>
                                  <a:ext cx="267335" cy="0"/>
                                </a:xfrm>
                                <a:prstGeom prst="straightConnector1">
                                  <a:avLst/>
                                </a:prstGeom>
                                <a:noFill/>
                                <a:ln w="6350">
                                  <a:solidFill>
                                    <a:srgbClr val="000000"/>
                                  </a:solidFill>
                                  <a:round/>
                                  <a:tailEnd type="triangle" w="med" len="med"/>
                                </a:ln>
                                <a:effectLst/>
                              </wps:spPr>
                              <wps:bodyPr/>
                            </wps:wsp>
                            <wps:wsp>
                              <wps:cNvPr id="140" name="文本框 140"/>
                              <wps:cNvSpPr txBox="1">
                                <a:spLocks noChangeArrowheads="1"/>
                              </wps:cNvSpPr>
                              <wps:spPr bwMode="auto">
                                <a:xfrm>
                                  <a:off x="2169599" y="2853055"/>
                                  <a:ext cx="896620" cy="248920"/>
                                </a:xfrm>
                                <a:prstGeom prst="rect">
                                  <a:avLst/>
                                </a:prstGeom>
                                <a:noFill/>
                                <a:ln w="6350">
                                  <a:solidFill>
                                    <a:srgbClr val="000000"/>
                                  </a:solidFill>
                                  <a:miter lim="800000"/>
                                </a:ln>
                                <a:effectLst/>
                              </wps:spPr>
                              <wps:txbx>
                                <w:txbxContent>
                                  <w:p>
                                    <w:pPr>
                                      <w:jc w:val="center"/>
                                    </w:pPr>
                                    <w:r>
                                      <w:rPr>
                                        <w:rFonts w:hint="eastAsia"/>
                                      </w:rPr>
                                      <w:t>CNC加工</w:t>
                                    </w:r>
                                  </w:p>
                                </w:txbxContent>
                              </wps:txbx>
                              <wps:bodyPr rot="0" vert="horz" wrap="square" lIns="91440" tIns="45720" rIns="91440" bIns="45720" anchor="t" anchorCtr="0" upright="1">
                                <a:noAutofit/>
                              </wps:bodyPr>
                            </wps:wsp>
                            <wps:wsp>
                              <wps:cNvPr id="141" name="直接箭头连接符 141"/>
                              <wps:cNvCnPr>
                                <a:cxnSpLocks noChangeShapeType="1"/>
                              </wps:cNvCnPr>
                              <wps:spPr bwMode="auto">
                                <a:xfrm rot="5400000" flipV="1">
                                  <a:off x="2496624" y="3249930"/>
                                  <a:ext cx="267335" cy="0"/>
                                </a:xfrm>
                                <a:prstGeom prst="straightConnector1">
                                  <a:avLst/>
                                </a:prstGeom>
                                <a:noFill/>
                                <a:ln w="6350">
                                  <a:solidFill>
                                    <a:srgbClr val="000000"/>
                                  </a:solidFill>
                                  <a:round/>
                                  <a:tailEnd type="triangle" w="med" len="med"/>
                                </a:ln>
                                <a:effectLst/>
                              </wps:spPr>
                              <wps:bodyPr/>
                            </wps:wsp>
                            <wps:wsp>
                              <wps:cNvPr id="145" name="文本框 145"/>
                              <wps:cNvSpPr txBox="1">
                                <a:spLocks noChangeArrowheads="1"/>
                              </wps:cNvSpPr>
                              <wps:spPr bwMode="auto">
                                <a:xfrm>
                                  <a:off x="3471349" y="2679700"/>
                                  <a:ext cx="1382395" cy="650875"/>
                                </a:xfrm>
                                <a:prstGeom prst="rect">
                                  <a:avLst/>
                                </a:prstGeom>
                                <a:noFill/>
                                <a:ln w="6350">
                                  <a:noFill/>
                                  <a:prstDash val="dash"/>
                                  <a:miter lim="800000"/>
                                </a:ln>
                                <a:effectLst/>
                              </wps:spPr>
                              <wps:txbx>
                                <w:txbxContent>
                                  <w:p>
                                    <w:pPr>
                                      <w:adjustRightInd w:val="0"/>
                                      <w:snapToGrid w:val="0"/>
                                      <w:jc w:val="left"/>
                                    </w:pPr>
                                    <w:r>
                                      <w:rPr>
                                        <w:rFonts w:hint="eastAsia"/>
                                      </w:rPr>
                                      <w:t>含切削油碎屑、废切削油、废抹布和废手套、噪声</w:t>
                                    </w:r>
                                  </w:p>
                                </w:txbxContent>
                              </wps:txbx>
                              <wps:bodyPr rot="0" vert="horz" wrap="square" lIns="91440" tIns="45720" rIns="91440" bIns="45720" anchor="t" anchorCtr="0" upright="1">
                                <a:noAutofit/>
                              </wps:bodyPr>
                            </wps:wsp>
                            <wps:wsp>
                              <wps:cNvPr id="147" name="直接箭头连接符 147"/>
                              <wps:cNvCnPr>
                                <a:cxnSpLocks noChangeShapeType="1"/>
                              </wps:cNvCnPr>
                              <wps:spPr bwMode="auto">
                                <a:xfrm>
                                  <a:off x="3077649" y="2973705"/>
                                  <a:ext cx="330200" cy="0"/>
                                </a:xfrm>
                                <a:prstGeom prst="straightConnector1">
                                  <a:avLst/>
                                </a:prstGeom>
                                <a:noFill/>
                                <a:ln w="6350">
                                  <a:solidFill>
                                    <a:srgbClr val="000000"/>
                                  </a:solidFill>
                                  <a:prstDash val="dash"/>
                                  <a:round/>
                                  <a:tailEnd type="triangle" w="med" len="med"/>
                                </a:ln>
                                <a:effectLst/>
                              </wps:spPr>
                              <wps:bodyPr/>
                            </wps:wsp>
                            <wps:wsp>
                              <wps:cNvPr id="128" name="文本框 125"/>
                              <wps:cNvSpPr txBox="1">
                                <a:spLocks noChangeArrowheads="1"/>
                              </wps:cNvSpPr>
                              <wps:spPr bwMode="auto">
                                <a:xfrm>
                                  <a:off x="2140389" y="1779905"/>
                                  <a:ext cx="906780" cy="280670"/>
                                </a:xfrm>
                                <a:prstGeom prst="rect">
                                  <a:avLst/>
                                </a:prstGeom>
                                <a:noFill/>
                                <a:ln w="6350">
                                  <a:solidFill>
                                    <a:srgbClr val="000000"/>
                                  </a:solidFill>
                                  <a:miter lim="800000"/>
                                </a:ln>
                                <a:effectLst/>
                              </wps:spPr>
                              <wps:txbx>
                                <w:txbxContent>
                                  <w:p>
                                    <w:pPr>
                                      <w:jc w:val="center"/>
                                    </w:pPr>
                                    <w:r>
                                      <w:rPr>
                                        <w:rFonts w:hint="eastAsia"/>
                                      </w:rPr>
                                      <w:t>打磨批锋</w:t>
                                    </w:r>
                                  </w:p>
                                </w:txbxContent>
                              </wps:txbx>
                              <wps:bodyPr rot="0" vert="horz" wrap="square" lIns="91440" tIns="45720" rIns="91440" bIns="45720" anchor="t" anchorCtr="0" upright="1">
                                <a:noAutofit/>
                              </wps:bodyPr>
                            </wps:wsp>
                            <wps:wsp>
                              <wps:cNvPr id="135" name="直接箭头连接符 126"/>
                              <wps:cNvCnPr>
                                <a:cxnSpLocks noChangeShapeType="1"/>
                              </wps:cNvCnPr>
                              <wps:spPr bwMode="auto">
                                <a:xfrm rot="5400000" flipV="1">
                                  <a:off x="2454079" y="1633855"/>
                                  <a:ext cx="267335" cy="0"/>
                                </a:xfrm>
                                <a:prstGeom prst="straightConnector1">
                                  <a:avLst/>
                                </a:prstGeom>
                                <a:noFill/>
                                <a:ln w="6350">
                                  <a:solidFill>
                                    <a:srgbClr val="000000"/>
                                  </a:solidFill>
                                  <a:round/>
                                  <a:tailEnd type="triangle" w="med" len="med"/>
                                </a:ln>
                                <a:effectLst/>
                              </wps:spPr>
                              <wps:bodyPr/>
                            </wps:wsp>
                            <wps:wsp>
                              <wps:cNvPr id="220" name="文本框 142"/>
                              <wps:cNvSpPr txBox="1">
                                <a:spLocks noChangeArrowheads="1"/>
                              </wps:cNvSpPr>
                              <wps:spPr bwMode="auto">
                                <a:xfrm>
                                  <a:off x="3370580" y="1719580"/>
                                  <a:ext cx="1068070" cy="504825"/>
                                </a:xfrm>
                                <a:prstGeom prst="rect">
                                  <a:avLst/>
                                </a:prstGeom>
                                <a:noFill/>
                                <a:ln w="6350">
                                  <a:noFill/>
                                  <a:prstDash val="dash"/>
                                  <a:miter lim="800000"/>
                                </a:ln>
                                <a:effectLst/>
                              </wps:spPr>
                              <wps:txbx>
                                <w:txbxContent>
                                  <w:p>
                                    <w:pPr>
                                      <w:jc w:val="left"/>
                                    </w:pPr>
                                    <w:r>
                                      <w:rPr>
                                        <w:rFonts w:hint="eastAsia"/>
                                      </w:rPr>
                                      <w:t>粉尘（颗粒物）、噪声</w:t>
                                    </w:r>
                                  </w:p>
                                </w:txbxContent>
                              </wps:txbx>
                              <wps:bodyPr rot="0" vert="horz" wrap="square" lIns="91440" tIns="45720" rIns="91440" bIns="45720" anchor="t" anchorCtr="0" upright="1">
                                <a:noAutofit/>
                              </wps:bodyPr>
                            </wps:wsp>
                            <wps:wsp>
                              <wps:cNvPr id="235" name="直接箭头连接符 143"/>
                              <wps:cNvCnPr>
                                <a:cxnSpLocks noChangeShapeType="1"/>
                              </wps:cNvCnPr>
                              <wps:spPr bwMode="auto">
                                <a:xfrm>
                                  <a:off x="3063679" y="1900555"/>
                                  <a:ext cx="330200" cy="0"/>
                                </a:xfrm>
                                <a:prstGeom prst="straightConnector1">
                                  <a:avLst/>
                                </a:prstGeom>
                                <a:noFill/>
                                <a:ln w="6350">
                                  <a:solidFill>
                                    <a:srgbClr val="000000"/>
                                  </a:solidFill>
                                  <a:prstDash val="dash"/>
                                  <a:round/>
                                  <a:tailEnd type="triangle" w="med" len="med"/>
                                </a:ln>
                                <a:effectLst/>
                              </wps:spPr>
                              <wps:bodyPr/>
                            </wps:wsp>
                            <wps:wsp>
                              <wps:cNvPr id="255" name="直接箭头连接符 134"/>
                              <wps:cNvCnPr>
                                <a:cxnSpLocks noChangeShapeType="1"/>
                              </wps:cNvCnPr>
                              <wps:spPr bwMode="auto">
                                <a:xfrm>
                                  <a:off x="3515799" y="4726305"/>
                                  <a:ext cx="330200" cy="0"/>
                                </a:xfrm>
                                <a:prstGeom prst="straightConnector1">
                                  <a:avLst/>
                                </a:prstGeom>
                                <a:noFill/>
                                <a:ln w="6350">
                                  <a:solidFill>
                                    <a:srgbClr val="000000"/>
                                  </a:solidFill>
                                  <a:prstDash val="dash"/>
                                  <a:round/>
                                  <a:tailEnd type="triangle" w="med" len="med"/>
                                </a:ln>
                                <a:effectLst/>
                              </wps:spPr>
                              <wps:bodyPr/>
                            </wps:wsp>
                            <wps:wsp>
                              <wps:cNvPr id="131" name="文本框 121"/>
                              <wps:cNvSpPr txBox="1">
                                <a:spLocks noChangeArrowheads="1"/>
                              </wps:cNvSpPr>
                              <wps:spPr bwMode="auto">
                                <a:xfrm>
                                  <a:off x="2121974" y="694055"/>
                                  <a:ext cx="896620" cy="248285"/>
                                </a:xfrm>
                                <a:prstGeom prst="rect">
                                  <a:avLst/>
                                </a:prstGeom>
                                <a:noFill/>
                                <a:ln w="6350">
                                  <a:solidFill>
                                    <a:srgbClr val="000000"/>
                                  </a:solidFill>
                                  <a:miter lim="800000"/>
                                </a:ln>
                                <a:effectLst/>
                              </wps:spPr>
                              <wps:txbx>
                                <w:txbxContent>
                                  <w:p>
                                    <w:pPr>
                                      <w:adjustRightInd w:val="0"/>
                                      <w:snapToGrid w:val="0"/>
                                      <w:ind w:firstLine="420" w:firstLineChars="200"/>
                                    </w:pPr>
                                    <w:r>
                                      <w:rPr>
                                        <w:rFonts w:hint="eastAsia"/>
                                      </w:rPr>
                                      <w:t>电熔</w:t>
                                    </w:r>
                                  </w:p>
                                </w:txbxContent>
                              </wps:txbx>
                              <wps:bodyPr rot="0" vert="horz" wrap="square" lIns="91440" tIns="45720" rIns="91440" bIns="45720" anchor="t" anchorCtr="0" upright="1">
                                <a:noAutofit/>
                              </wps:bodyPr>
                            </wps:wsp>
                            <wps:wsp>
                              <wps:cNvPr id="186" name="文本框 121"/>
                              <wps:cNvSpPr txBox="1">
                                <a:spLocks noChangeArrowheads="1"/>
                              </wps:cNvSpPr>
                              <wps:spPr bwMode="auto">
                                <a:xfrm>
                                  <a:off x="2150549" y="2313305"/>
                                  <a:ext cx="896620" cy="280035"/>
                                </a:xfrm>
                                <a:prstGeom prst="rect">
                                  <a:avLst/>
                                </a:prstGeom>
                                <a:noFill/>
                                <a:ln w="6350">
                                  <a:solidFill>
                                    <a:srgbClr val="000000"/>
                                  </a:solidFill>
                                  <a:miter lim="800000"/>
                                </a:ln>
                                <a:effectLst/>
                              </wps:spPr>
                              <wps:txbx>
                                <w:txbxContent>
                                  <w:p>
                                    <w:pPr>
                                      <w:adjustRightInd w:val="0"/>
                                      <w:snapToGrid w:val="0"/>
                                      <w:ind w:firstLine="420" w:firstLineChars="200"/>
                                    </w:pPr>
                                    <w:r>
                                      <w:rPr>
                                        <w:rFonts w:hint="eastAsia"/>
                                      </w:rPr>
                                      <w:t>冲压</w:t>
                                    </w:r>
                                  </w:p>
                                </w:txbxContent>
                              </wps:txbx>
                              <wps:bodyPr rot="0" vert="horz" wrap="square" lIns="91440" tIns="45720" rIns="91440" bIns="45720" anchor="t" anchorCtr="0" upright="1">
                                <a:noAutofit/>
                              </wps:bodyPr>
                            </wps:wsp>
                            <wps:wsp>
                              <wps:cNvPr id="195" name="直接箭头连接符 146"/>
                              <wps:cNvCnPr>
                                <a:cxnSpLocks noChangeShapeType="1"/>
                              </wps:cNvCnPr>
                              <wps:spPr bwMode="auto">
                                <a:xfrm>
                                  <a:off x="2636007" y="5509578"/>
                                  <a:ext cx="1270" cy="214630"/>
                                </a:xfrm>
                                <a:prstGeom prst="straightConnector1">
                                  <a:avLst/>
                                </a:prstGeom>
                                <a:noFill/>
                                <a:ln w="6350">
                                  <a:solidFill>
                                    <a:srgbClr val="000000"/>
                                  </a:solidFill>
                                  <a:round/>
                                  <a:tailEnd type="triangle" w="med" len="med"/>
                                </a:ln>
                                <a:effectLst/>
                              </wps:spPr>
                              <wps:bodyPr/>
                            </wps:wsp>
                            <wps:wsp>
                              <wps:cNvPr id="272" name="文本框 132"/>
                              <wps:cNvSpPr txBox="1">
                                <a:spLocks noChangeArrowheads="1"/>
                              </wps:cNvSpPr>
                              <wps:spPr bwMode="auto">
                                <a:xfrm>
                                  <a:off x="2198174" y="5723255"/>
                                  <a:ext cx="896620" cy="248285"/>
                                </a:xfrm>
                                <a:prstGeom prst="rect">
                                  <a:avLst/>
                                </a:prstGeom>
                                <a:noFill/>
                                <a:ln w="6350">
                                  <a:solidFill>
                                    <a:srgbClr val="000000"/>
                                  </a:solidFill>
                                  <a:miter lim="800000"/>
                                </a:ln>
                                <a:effectLst/>
                              </wps:spPr>
                              <wps:txbx>
                                <w:txbxContent>
                                  <w:p>
                                    <w:pPr>
                                      <w:adjustRightInd w:val="0"/>
                                      <w:snapToGrid w:val="0"/>
                                      <w:jc w:val="center"/>
                                    </w:pPr>
                                    <w:r>
                                      <w:rPr>
                                        <w:rFonts w:hint="eastAsia"/>
                                      </w:rPr>
                                      <w:t>喷粉</w:t>
                                    </w:r>
                                  </w:p>
                                </w:txbxContent>
                              </wps:txbx>
                              <wps:bodyPr rot="0" vert="horz" wrap="square" lIns="91440" tIns="45720" rIns="91440" bIns="45720" anchor="t" anchorCtr="0" upright="1">
                                <a:noAutofit/>
                              </wps:bodyPr>
                            </wps:wsp>
                            <wps:wsp>
                              <wps:cNvPr id="273" name="直接箭头连接符 146"/>
                              <wps:cNvCnPr>
                                <a:cxnSpLocks noChangeShapeType="1"/>
                              </wps:cNvCnPr>
                              <wps:spPr bwMode="auto">
                                <a:xfrm rot="5400000" flipV="1">
                                  <a:off x="2531549" y="6104255"/>
                                  <a:ext cx="267335" cy="0"/>
                                </a:xfrm>
                                <a:prstGeom prst="straightConnector1">
                                  <a:avLst/>
                                </a:prstGeom>
                                <a:noFill/>
                                <a:ln w="6350">
                                  <a:solidFill>
                                    <a:srgbClr val="000000"/>
                                  </a:solidFill>
                                  <a:round/>
                                  <a:tailEnd type="triangle" w="med" len="med"/>
                                </a:ln>
                                <a:effectLst/>
                              </wps:spPr>
                              <wps:bodyPr/>
                            </wps:wsp>
                            <wps:wsp>
                              <wps:cNvPr id="274" name="文本框 132"/>
                              <wps:cNvSpPr txBox="1">
                                <a:spLocks noChangeArrowheads="1"/>
                              </wps:cNvSpPr>
                              <wps:spPr bwMode="auto">
                                <a:xfrm>
                                  <a:off x="2188649" y="6247130"/>
                                  <a:ext cx="896620" cy="248285"/>
                                </a:xfrm>
                                <a:prstGeom prst="rect">
                                  <a:avLst/>
                                </a:prstGeom>
                                <a:noFill/>
                                <a:ln w="6350">
                                  <a:solidFill>
                                    <a:srgbClr val="000000"/>
                                  </a:solidFill>
                                  <a:miter lim="800000"/>
                                </a:ln>
                                <a:effectLst/>
                              </wps:spPr>
                              <wps:txbx>
                                <w:txbxContent>
                                  <w:p>
                                    <w:pPr>
                                      <w:adjustRightInd w:val="0"/>
                                      <w:snapToGrid w:val="0"/>
                                      <w:jc w:val="center"/>
                                    </w:pPr>
                                    <w:r>
                                      <w:rPr>
                                        <w:rFonts w:hint="eastAsia"/>
                                      </w:rPr>
                                      <w:t>烘烤固化</w:t>
                                    </w:r>
                                  </w:p>
                                </w:txbxContent>
                              </wps:txbx>
                              <wps:bodyPr rot="0" vert="horz" wrap="square" lIns="91440" tIns="45720" rIns="91440" bIns="45720" anchor="t" anchorCtr="0" upright="1">
                                <a:noAutofit/>
                              </wps:bodyPr>
                            </wps:wsp>
                            <wps:wsp>
                              <wps:cNvPr id="278" name="直接箭头连接符 146"/>
                              <wps:cNvCnPr>
                                <a:cxnSpLocks noChangeShapeType="1"/>
                              </wps:cNvCnPr>
                              <wps:spPr bwMode="auto">
                                <a:xfrm rot="5400000" flipV="1">
                                  <a:off x="2522024" y="6637655"/>
                                  <a:ext cx="267335" cy="0"/>
                                </a:xfrm>
                                <a:prstGeom prst="straightConnector1">
                                  <a:avLst/>
                                </a:prstGeom>
                                <a:noFill/>
                                <a:ln w="6350">
                                  <a:solidFill>
                                    <a:srgbClr val="000000"/>
                                  </a:solidFill>
                                  <a:round/>
                                  <a:tailEnd type="triangle" w="med" len="med"/>
                                </a:ln>
                                <a:effectLst/>
                              </wps:spPr>
                              <wps:bodyPr/>
                            </wps:wsp>
                            <wps:wsp>
                              <wps:cNvPr id="282" name="文本框 132"/>
                              <wps:cNvSpPr txBox="1">
                                <a:spLocks noChangeArrowheads="1"/>
                              </wps:cNvSpPr>
                              <wps:spPr bwMode="auto">
                                <a:xfrm>
                                  <a:off x="2207699" y="6771005"/>
                                  <a:ext cx="896620" cy="248285"/>
                                </a:xfrm>
                                <a:prstGeom prst="rect">
                                  <a:avLst/>
                                </a:prstGeom>
                                <a:noFill/>
                                <a:ln w="6350">
                                  <a:solidFill>
                                    <a:srgbClr val="000000"/>
                                  </a:solidFill>
                                  <a:miter lim="800000"/>
                                </a:ln>
                                <a:effectLst/>
                              </wps:spPr>
                              <wps:txbx>
                                <w:txbxContent>
                                  <w:p>
                                    <w:pPr>
                                      <w:adjustRightInd w:val="0"/>
                                      <w:snapToGrid w:val="0"/>
                                      <w:jc w:val="center"/>
                                    </w:pPr>
                                    <w:r>
                                      <w:rPr>
                                        <w:rFonts w:hint="eastAsia"/>
                                      </w:rPr>
                                      <w:t>质检</w:t>
                                    </w:r>
                                  </w:p>
                                </w:txbxContent>
                              </wps:txbx>
                              <wps:bodyPr rot="0" vert="horz" wrap="square" lIns="91440" tIns="45720" rIns="91440" bIns="45720" anchor="t" anchorCtr="0" upright="1">
                                <a:noAutofit/>
                              </wps:bodyPr>
                            </wps:wsp>
                            <wps:wsp>
                              <wps:cNvPr id="300" name="文本框 142"/>
                              <wps:cNvSpPr txBox="1">
                                <a:spLocks noChangeArrowheads="1"/>
                              </wps:cNvSpPr>
                              <wps:spPr bwMode="auto">
                                <a:xfrm>
                                  <a:off x="3893185" y="4551680"/>
                                  <a:ext cx="964565" cy="458470"/>
                                </a:xfrm>
                                <a:prstGeom prst="rect">
                                  <a:avLst/>
                                </a:prstGeom>
                                <a:noFill/>
                                <a:ln w="6350">
                                  <a:noFill/>
                                  <a:prstDash val="dash"/>
                                  <a:miter lim="800000"/>
                                </a:ln>
                                <a:effectLst/>
                              </wps:spPr>
                              <wps:txbx>
                                <w:txbxContent>
                                  <w:p>
                                    <w:pPr>
                                      <w:jc w:val="left"/>
                                    </w:pPr>
                                    <w:r>
                                      <w:rPr>
                                        <w:rFonts w:hint="eastAsia"/>
                                      </w:rPr>
                                      <w:t>粉尘（颗粒物）、噪声</w:t>
                                    </w:r>
                                  </w:p>
                                </w:txbxContent>
                              </wps:txbx>
                              <wps:bodyPr rot="0" vert="horz" wrap="square" lIns="91440" tIns="45720" rIns="91440" bIns="45720" anchor="t" anchorCtr="0" upright="1">
                                <a:noAutofit/>
                              </wps:bodyPr>
                            </wps:wsp>
                            <wps:wsp>
                              <wps:cNvPr id="301" name="直接箭头连接符 138"/>
                              <wps:cNvCnPr>
                                <a:cxnSpLocks noChangeShapeType="1"/>
                              </wps:cNvCnPr>
                              <wps:spPr bwMode="auto">
                                <a:xfrm>
                                  <a:off x="3122099" y="6361430"/>
                                  <a:ext cx="330200" cy="0"/>
                                </a:xfrm>
                                <a:prstGeom prst="straightConnector1">
                                  <a:avLst/>
                                </a:prstGeom>
                                <a:noFill/>
                                <a:ln w="6350">
                                  <a:solidFill>
                                    <a:srgbClr val="000000"/>
                                  </a:solidFill>
                                  <a:prstDash val="dash"/>
                                  <a:round/>
                                  <a:tailEnd type="triangle" w="med" len="med"/>
                                </a:ln>
                                <a:effectLst/>
                              </wps:spPr>
                              <wps:bodyPr/>
                            </wps:wsp>
                            <wps:wsp>
                              <wps:cNvPr id="303" name="文本框 142"/>
                              <wps:cNvSpPr txBox="1">
                                <a:spLocks noChangeArrowheads="1"/>
                              </wps:cNvSpPr>
                              <wps:spPr bwMode="auto">
                                <a:xfrm>
                                  <a:off x="3446145" y="5647690"/>
                                  <a:ext cx="1059180" cy="471805"/>
                                </a:xfrm>
                                <a:prstGeom prst="rect">
                                  <a:avLst/>
                                </a:prstGeom>
                                <a:noFill/>
                                <a:ln w="6350">
                                  <a:noFill/>
                                  <a:prstDash val="dash"/>
                                  <a:miter lim="800000"/>
                                </a:ln>
                                <a:effectLst/>
                              </wps:spPr>
                              <wps:txbx>
                                <w:txbxContent>
                                  <w:p>
                                    <w:pPr>
                                      <w:jc w:val="left"/>
                                    </w:pPr>
                                    <w:r>
                                      <w:rPr>
                                        <w:rFonts w:hint="eastAsia"/>
                                      </w:rPr>
                                      <w:t>粉尘（颗粒物）、噪声</w:t>
                                    </w:r>
                                  </w:p>
                                </w:txbxContent>
                              </wps:txbx>
                              <wps:bodyPr rot="0" vert="horz" wrap="square" lIns="91440" tIns="45720" rIns="91440" bIns="45720" anchor="t" anchorCtr="0" upright="1">
                                <a:noAutofit/>
                              </wps:bodyPr>
                            </wps:wsp>
                            <wps:wsp>
                              <wps:cNvPr id="304" name="文本框 142"/>
                              <wps:cNvSpPr txBox="1">
                                <a:spLocks noChangeArrowheads="1"/>
                              </wps:cNvSpPr>
                              <wps:spPr bwMode="auto">
                                <a:xfrm>
                                  <a:off x="3433445" y="6163310"/>
                                  <a:ext cx="1327785" cy="504825"/>
                                </a:xfrm>
                                <a:prstGeom prst="rect">
                                  <a:avLst/>
                                </a:prstGeom>
                                <a:noFill/>
                                <a:ln w="6350">
                                  <a:noFill/>
                                  <a:prstDash val="dash"/>
                                  <a:miter lim="800000"/>
                                </a:ln>
                                <a:effectLst/>
                              </wps:spPr>
                              <wps:txbx>
                                <w:txbxContent>
                                  <w:p>
                                    <w:pPr>
                                      <w:jc w:val="left"/>
                                    </w:pPr>
                                    <w:r>
                                      <w:rPr>
                                        <w:rFonts w:hint="eastAsia"/>
                                      </w:rPr>
                                      <w:t>有机废气（VOCs）</w:t>
                                    </w:r>
                                    <w:r>
                                      <w:rPr>
                                        <w:rFonts w:hint="eastAsia"/>
                                        <w:color w:val="0000FF"/>
                                      </w:rPr>
                                      <w:t>、</w:t>
                                    </w:r>
                                    <w:r>
                                      <w:rPr>
                                        <w:rFonts w:hint="eastAsia"/>
                                      </w:rPr>
                                      <w:t>噪声</w:t>
                                    </w:r>
                                  </w:p>
                                </w:txbxContent>
                              </wps:txbx>
                              <wps:bodyPr rot="0" vert="horz" wrap="square" lIns="91440" tIns="45720" rIns="91440" bIns="45720" anchor="t" anchorCtr="0" upright="1">
                                <a:noAutofit/>
                              </wps:bodyPr>
                            </wps:wsp>
                            <wps:wsp>
                              <wps:cNvPr id="305" name="直接箭头连接符 146"/>
                              <wps:cNvCnPr>
                                <a:cxnSpLocks noChangeShapeType="1"/>
                              </wps:cNvCnPr>
                              <wps:spPr bwMode="auto">
                                <a:xfrm rot="5400000" flipV="1">
                                  <a:off x="2522024" y="7171055"/>
                                  <a:ext cx="267335" cy="0"/>
                                </a:xfrm>
                                <a:prstGeom prst="straightConnector1">
                                  <a:avLst/>
                                </a:prstGeom>
                                <a:noFill/>
                                <a:ln w="6350">
                                  <a:solidFill>
                                    <a:srgbClr val="000000"/>
                                  </a:solidFill>
                                  <a:round/>
                                  <a:tailEnd type="triangle" w="med" len="med"/>
                                </a:ln>
                                <a:effectLst/>
                              </wps:spPr>
                              <wps:bodyPr/>
                            </wps:wsp>
                            <wps:wsp>
                              <wps:cNvPr id="306" name="文本框 132"/>
                              <wps:cNvSpPr txBox="1">
                                <a:spLocks noChangeArrowheads="1"/>
                              </wps:cNvSpPr>
                              <wps:spPr bwMode="auto">
                                <a:xfrm>
                                  <a:off x="2217224" y="7294880"/>
                                  <a:ext cx="896620" cy="248285"/>
                                </a:xfrm>
                                <a:prstGeom prst="rect">
                                  <a:avLst/>
                                </a:prstGeom>
                                <a:noFill/>
                                <a:ln w="6350">
                                  <a:solidFill>
                                    <a:srgbClr val="000000"/>
                                  </a:solidFill>
                                  <a:miter lim="800000"/>
                                </a:ln>
                                <a:effectLst/>
                              </wps:spPr>
                              <wps:txbx>
                                <w:txbxContent>
                                  <w:p>
                                    <w:pPr>
                                      <w:adjustRightInd w:val="0"/>
                                      <w:snapToGrid w:val="0"/>
                                      <w:jc w:val="center"/>
                                    </w:pPr>
                                    <w:r>
                                      <w:rPr>
                                        <w:rFonts w:hint="eastAsia"/>
                                      </w:rPr>
                                      <w:t>包装出货</w:t>
                                    </w:r>
                                  </w:p>
                                </w:txbxContent>
                              </wps:txbx>
                              <wps:bodyPr rot="0" vert="horz" wrap="square" lIns="91440" tIns="45720" rIns="91440" bIns="45720" anchor="t" anchorCtr="0" upright="1">
                                <a:noAutofit/>
                              </wps:bodyPr>
                            </wps:wsp>
                            <wps:wsp>
                              <wps:cNvPr id="307" name="直接箭头连接符 307"/>
                              <wps:cNvCnPr>
                                <a:cxnSpLocks noChangeShapeType="1"/>
                              </wps:cNvCnPr>
                              <wps:spPr bwMode="auto">
                                <a:xfrm>
                                  <a:off x="3093524" y="3494405"/>
                                  <a:ext cx="330200" cy="0"/>
                                </a:xfrm>
                                <a:prstGeom prst="straightConnector1">
                                  <a:avLst/>
                                </a:prstGeom>
                                <a:noFill/>
                                <a:ln w="6350">
                                  <a:solidFill>
                                    <a:srgbClr val="000000"/>
                                  </a:solidFill>
                                  <a:prstDash val="dash"/>
                                  <a:round/>
                                  <a:tailEnd type="triangle" w="med" len="med"/>
                                </a:ln>
                                <a:effectLst/>
                              </wps:spPr>
                              <wps:bodyPr/>
                            </wps:wsp>
                            <wps:wsp>
                              <wps:cNvPr id="308" name="文本框 133"/>
                              <wps:cNvSpPr txBox="1">
                                <a:spLocks noChangeArrowheads="1"/>
                              </wps:cNvSpPr>
                              <wps:spPr bwMode="auto">
                                <a:xfrm>
                                  <a:off x="3503295" y="3389630"/>
                                  <a:ext cx="1286420" cy="254000"/>
                                </a:xfrm>
                                <a:prstGeom prst="rect">
                                  <a:avLst/>
                                </a:prstGeom>
                                <a:noFill/>
                                <a:ln w="6350">
                                  <a:noFill/>
                                  <a:prstDash val="dash"/>
                                  <a:miter lim="800000"/>
                                </a:ln>
                                <a:effectLst/>
                              </wps:spPr>
                              <wps:txbx>
                                <w:txbxContent>
                                  <w:p>
                                    <w:pPr>
                                      <w:adjustRightInd w:val="0"/>
                                      <w:snapToGrid w:val="0"/>
                                      <w:jc w:val="left"/>
                                    </w:pPr>
                                    <w:r>
                                      <w:rPr>
                                        <w:rFonts w:hint="eastAsia"/>
                                      </w:rPr>
                                      <w:t>钻孔碎屑、噪声</w:t>
                                    </w:r>
                                  </w:p>
                                </w:txbxContent>
                              </wps:txbx>
                              <wps:bodyPr rot="0" vert="horz" wrap="square" lIns="91440" tIns="45720" rIns="91440" bIns="45720" anchor="t" anchorCtr="0" upright="1">
                                <a:noAutofit/>
                              </wps:bodyPr>
                            </wps:wsp>
                            <wps:wsp>
                              <wps:cNvPr id="254" name="文本框 121"/>
                              <wps:cNvSpPr txBox="1">
                                <a:spLocks noChangeArrowheads="1"/>
                              </wps:cNvSpPr>
                              <wps:spPr bwMode="auto">
                                <a:xfrm>
                                  <a:off x="1169474" y="1236980"/>
                                  <a:ext cx="725170" cy="285750"/>
                                </a:xfrm>
                                <a:prstGeom prst="rect">
                                  <a:avLst/>
                                </a:prstGeom>
                                <a:noFill/>
                                <a:ln w="12700" cmpd="sng">
                                  <a:solidFill>
                                    <a:schemeClr val="accent1">
                                      <a:shade val="50000"/>
                                    </a:schemeClr>
                                  </a:solidFill>
                                  <a:prstDash val="dash"/>
                                  <a:miter lim="800000"/>
                                </a:ln>
                                <a:effectLst/>
                              </wps:spPr>
                              <wps:txbx>
                                <w:txbxContent>
                                  <w:p>
                                    <w:pPr>
                                      <w:adjustRightInd w:val="0"/>
                                      <w:snapToGrid w:val="0"/>
                                      <w:jc w:val="center"/>
                                    </w:pPr>
                                    <w:r>
                                      <w:rPr>
                                        <w:rFonts w:hint="eastAsia"/>
                                      </w:rPr>
                                      <w:t>脱模剂</w:t>
                                    </w:r>
                                  </w:p>
                                </w:txbxContent>
                              </wps:txbx>
                              <wps:bodyPr rot="0" vert="horz" wrap="square" lIns="91440" tIns="45720" rIns="91440" bIns="45720" anchor="t" anchorCtr="0" upright="1">
                                <a:noAutofit/>
                              </wps:bodyPr>
                            </wps:wsp>
                            <wps:wsp>
                              <wps:cNvPr id="310" name="文本框 121"/>
                              <wps:cNvSpPr txBox="1">
                                <a:spLocks noChangeArrowheads="1"/>
                              </wps:cNvSpPr>
                              <wps:spPr bwMode="auto">
                                <a:xfrm>
                                  <a:off x="1178999" y="2884805"/>
                                  <a:ext cx="725170" cy="276225"/>
                                </a:xfrm>
                                <a:prstGeom prst="rect">
                                  <a:avLst/>
                                </a:prstGeom>
                                <a:noFill/>
                                <a:ln w="12700" cmpd="sng">
                                  <a:solidFill>
                                    <a:schemeClr val="accent1">
                                      <a:shade val="50000"/>
                                    </a:schemeClr>
                                  </a:solidFill>
                                  <a:prstDash val="dash"/>
                                  <a:miter lim="800000"/>
                                </a:ln>
                                <a:effectLst/>
                              </wps:spPr>
                              <wps:txbx>
                                <w:txbxContent>
                                  <w:p>
                                    <w:pPr>
                                      <w:adjustRightInd w:val="0"/>
                                      <w:snapToGrid w:val="0"/>
                                      <w:jc w:val="center"/>
                                    </w:pPr>
                                    <w:r>
                                      <w:rPr>
                                        <w:rFonts w:hint="eastAsia"/>
                                      </w:rPr>
                                      <w:t>切削液</w:t>
                                    </w:r>
                                  </w:p>
                                </w:txbxContent>
                              </wps:txbx>
                              <wps:bodyPr rot="0" vert="horz" wrap="square" lIns="91440" tIns="45720" rIns="91440" bIns="45720" anchor="t" anchorCtr="0" upright="1">
                                <a:noAutofit/>
                              </wps:bodyPr>
                            </wps:wsp>
                            <wps:wsp>
                              <wps:cNvPr id="311" name="直接箭头连接符 124"/>
                              <wps:cNvCnPr>
                                <a:cxnSpLocks noChangeShapeType="1"/>
                              </wps:cNvCnPr>
                              <wps:spPr bwMode="auto">
                                <a:xfrm flipV="1">
                                  <a:off x="1940999" y="3006725"/>
                                  <a:ext cx="222885" cy="1905"/>
                                </a:xfrm>
                                <a:prstGeom prst="straightConnector1">
                                  <a:avLst/>
                                </a:prstGeom>
                                <a:noFill/>
                                <a:ln w="6350">
                                  <a:solidFill>
                                    <a:srgbClr val="000000"/>
                                  </a:solidFill>
                                  <a:prstDash val="dash"/>
                                  <a:round/>
                                  <a:tailEnd type="triangle" w="med" len="med"/>
                                </a:ln>
                                <a:effectLst/>
                              </wps:spPr>
                              <wps:bodyPr/>
                            </wps:wsp>
                            <wps:wsp>
                              <wps:cNvPr id="312" name="文本框 121"/>
                              <wps:cNvSpPr txBox="1">
                                <a:spLocks noChangeArrowheads="1"/>
                              </wps:cNvSpPr>
                              <wps:spPr bwMode="auto">
                                <a:xfrm>
                                  <a:off x="1140899" y="5723255"/>
                                  <a:ext cx="762635" cy="276225"/>
                                </a:xfrm>
                                <a:prstGeom prst="rect">
                                  <a:avLst/>
                                </a:prstGeom>
                                <a:noFill/>
                                <a:ln w="12700" cmpd="sng">
                                  <a:solidFill>
                                    <a:schemeClr val="accent1">
                                      <a:shade val="50000"/>
                                    </a:schemeClr>
                                  </a:solidFill>
                                  <a:prstDash val="dash"/>
                                  <a:miter lim="800000"/>
                                </a:ln>
                                <a:effectLst/>
                              </wps:spPr>
                              <wps:txbx>
                                <w:txbxContent>
                                  <w:p>
                                    <w:pPr>
                                      <w:adjustRightInd w:val="0"/>
                                      <w:snapToGrid w:val="0"/>
                                      <w:jc w:val="center"/>
                                    </w:pPr>
                                    <w:r>
                                      <w:rPr>
                                        <w:rFonts w:hint="eastAsia"/>
                                      </w:rPr>
                                      <w:t>粉末涂料</w:t>
                                    </w:r>
                                  </w:p>
                                </w:txbxContent>
                              </wps:txbx>
                              <wps:bodyPr rot="0" vert="horz" wrap="square" lIns="91440" tIns="45720" rIns="91440" bIns="45720" anchor="t" anchorCtr="0" upright="1">
                                <a:noAutofit/>
                              </wps:bodyPr>
                            </wps:wsp>
                            <wps:wsp>
                              <wps:cNvPr id="313" name="直接箭头连接符 124"/>
                              <wps:cNvCnPr>
                                <a:cxnSpLocks noChangeShapeType="1"/>
                              </wps:cNvCnPr>
                              <wps:spPr bwMode="auto">
                                <a:xfrm>
                                  <a:off x="1931474" y="5866130"/>
                                  <a:ext cx="260985" cy="7620"/>
                                </a:xfrm>
                                <a:prstGeom prst="straightConnector1">
                                  <a:avLst/>
                                </a:prstGeom>
                                <a:noFill/>
                                <a:ln w="6350">
                                  <a:solidFill>
                                    <a:srgbClr val="000000"/>
                                  </a:solidFill>
                                  <a:prstDash val="dash"/>
                                  <a:round/>
                                  <a:tailEnd type="triangle" w="med" len="med"/>
                                </a:ln>
                                <a:effectLst/>
                              </wps:spPr>
                              <wps:bodyPr/>
                            </wps:wsp>
                            <wps:wsp>
                              <wps:cNvPr id="314" name="直接箭头连接符 124"/>
                              <wps:cNvCnPr>
                                <a:cxnSpLocks noChangeShapeType="1"/>
                              </wps:cNvCnPr>
                              <wps:spPr bwMode="auto">
                                <a:xfrm flipV="1">
                                  <a:off x="1902899" y="1360805"/>
                                  <a:ext cx="222885" cy="1905"/>
                                </a:xfrm>
                                <a:prstGeom prst="straightConnector1">
                                  <a:avLst/>
                                </a:prstGeom>
                                <a:noFill/>
                                <a:ln w="6350">
                                  <a:solidFill>
                                    <a:srgbClr val="000000"/>
                                  </a:solidFill>
                                  <a:prstDash val="dash"/>
                                  <a:round/>
                                  <a:tailEnd type="triangle" w="med" len="med"/>
                                </a:ln>
                                <a:effectLst/>
                              </wps:spPr>
                              <wps:bodyPr/>
                            </wps:wsp>
                            <wps:wsp>
                              <wps:cNvPr id="315" name="文本框 119"/>
                              <wps:cNvSpPr txBox="1">
                                <a:spLocks noChangeArrowheads="1"/>
                              </wps:cNvSpPr>
                              <wps:spPr bwMode="auto">
                                <a:xfrm>
                                  <a:off x="150495" y="732155"/>
                                  <a:ext cx="908685" cy="538480"/>
                                </a:xfrm>
                                <a:prstGeom prst="rect">
                                  <a:avLst/>
                                </a:prstGeom>
                                <a:noFill/>
                                <a:ln w="6350">
                                  <a:noFill/>
                                  <a:prstDash val="dash"/>
                                  <a:miter lim="800000"/>
                                </a:ln>
                                <a:effectLst/>
                              </wps:spPr>
                              <wps:txbx>
                                <w:txbxContent>
                                  <w:p>
                                    <w:pPr>
                                      <w:adjustRightInd w:val="0"/>
                                      <w:snapToGrid w:val="0"/>
                                      <w:jc w:val="left"/>
                                    </w:pPr>
                                    <w:r>
                                      <w:rPr>
                                        <w:rFonts w:hint="eastAsia"/>
                                      </w:rPr>
                                      <w:t>压铸机</w:t>
                                    </w:r>
                                  </w:p>
                                  <w:p>
                                    <w:pPr>
                                      <w:pStyle w:val="2"/>
                                      <w:rPr>
                                        <w:color w:val="auto"/>
                                        <w:sz w:val="21"/>
                                        <w:szCs w:val="21"/>
                                      </w:rPr>
                                    </w:pPr>
                                    <w:r>
                                      <w:rPr>
                                        <w:rFonts w:hint="eastAsia"/>
                                        <w:color w:val="auto"/>
                                        <w:sz w:val="21"/>
                                        <w:szCs w:val="21"/>
                                      </w:rPr>
                                      <w:t>感应电炉</w:t>
                                    </w:r>
                                  </w:p>
                                </w:txbxContent>
                              </wps:txbx>
                              <wps:bodyPr rot="0" vert="horz" wrap="square" lIns="91440" tIns="45720" rIns="91440" bIns="45720" anchor="t" anchorCtr="0" upright="1">
                                <a:noAutofit/>
                              </wps:bodyPr>
                            </wps:wsp>
                            <wps:wsp>
                              <wps:cNvPr id="316" name="文本框 119"/>
                              <wps:cNvSpPr txBox="1">
                                <a:spLocks noChangeArrowheads="1"/>
                              </wps:cNvSpPr>
                              <wps:spPr bwMode="auto">
                                <a:xfrm>
                                  <a:off x="179070" y="1722755"/>
                                  <a:ext cx="748665" cy="445770"/>
                                </a:xfrm>
                                <a:prstGeom prst="rect">
                                  <a:avLst/>
                                </a:prstGeom>
                                <a:noFill/>
                                <a:ln w="6350">
                                  <a:noFill/>
                                  <a:prstDash val="dash"/>
                                  <a:miter lim="800000"/>
                                </a:ln>
                                <a:effectLst/>
                              </wps:spPr>
                              <wps:txbx>
                                <w:txbxContent>
                                  <w:p>
                                    <w:pPr>
                                      <w:adjustRightInd w:val="0"/>
                                      <w:snapToGrid w:val="0"/>
                                      <w:jc w:val="left"/>
                                    </w:pPr>
                                    <w:r>
                                      <w:rPr>
                                        <w:rFonts w:hint="eastAsia"/>
                                      </w:rPr>
                                      <w:t>打磨机</w:t>
                                    </w:r>
                                  </w:p>
                                  <w:p>
                                    <w:pPr>
                                      <w:adjustRightInd w:val="0"/>
                                      <w:snapToGrid w:val="0"/>
                                      <w:jc w:val="left"/>
                                    </w:pPr>
                                    <w:r>
                                      <w:rPr>
                                        <w:rFonts w:hint="eastAsia"/>
                                      </w:rPr>
                                      <w:t>气动锉刀</w:t>
                                    </w:r>
                                  </w:p>
                                </w:txbxContent>
                              </wps:txbx>
                              <wps:bodyPr rot="0" vert="horz" wrap="square" lIns="91440" tIns="45720" rIns="91440" bIns="45720" anchor="t" anchorCtr="0" upright="1">
                                <a:noAutofit/>
                              </wps:bodyPr>
                            </wps:wsp>
                            <wps:wsp>
                              <wps:cNvPr id="317" name="文本框 119"/>
                              <wps:cNvSpPr txBox="1">
                                <a:spLocks noChangeArrowheads="1"/>
                              </wps:cNvSpPr>
                              <wps:spPr bwMode="auto">
                                <a:xfrm>
                                  <a:off x="245549" y="2294255"/>
                                  <a:ext cx="595630" cy="254000"/>
                                </a:xfrm>
                                <a:prstGeom prst="rect">
                                  <a:avLst/>
                                </a:prstGeom>
                                <a:noFill/>
                                <a:ln w="6350">
                                  <a:noFill/>
                                  <a:prstDash val="dash"/>
                                  <a:miter lim="800000"/>
                                </a:ln>
                                <a:effectLst/>
                              </wps:spPr>
                              <wps:txbx>
                                <w:txbxContent>
                                  <w:p>
                                    <w:pPr>
                                      <w:adjustRightInd w:val="0"/>
                                      <w:snapToGrid w:val="0"/>
                                      <w:jc w:val="left"/>
                                    </w:pPr>
                                    <w:r>
                                      <w:rPr>
                                        <w:rFonts w:hint="eastAsia"/>
                                      </w:rPr>
                                      <w:t>冲床</w:t>
                                    </w:r>
                                  </w:p>
                                </w:txbxContent>
                              </wps:txbx>
                              <wps:bodyPr rot="0" vert="horz" wrap="square" lIns="91440" tIns="45720" rIns="91440" bIns="45720" anchor="t" anchorCtr="0" upright="1">
                                <a:noAutofit/>
                              </wps:bodyPr>
                            </wps:wsp>
                            <wps:wsp>
                              <wps:cNvPr id="318" name="文本框 119"/>
                              <wps:cNvSpPr txBox="1">
                                <a:spLocks noChangeArrowheads="1"/>
                              </wps:cNvSpPr>
                              <wps:spPr bwMode="auto">
                                <a:xfrm>
                                  <a:off x="245549" y="2856230"/>
                                  <a:ext cx="595630" cy="254000"/>
                                </a:xfrm>
                                <a:prstGeom prst="rect">
                                  <a:avLst/>
                                </a:prstGeom>
                                <a:noFill/>
                                <a:ln w="6350">
                                  <a:noFill/>
                                  <a:prstDash val="dash"/>
                                  <a:miter lim="800000"/>
                                </a:ln>
                                <a:effectLst/>
                              </wps:spPr>
                              <wps:txbx>
                                <w:txbxContent>
                                  <w:p>
                                    <w:pPr>
                                      <w:adjustRightInd w:val="0"/>
                                      <w:snapToGrid w:val="0"/>
                                      <w:jc w:val="left"/>
                                    </w:pPr>
                                    <w:r>
                                      <w:rPr>
                                        <w:rFonts w:hint="eastAsia"/>
                                      </w:rPr>
                                      <w:t>CNC</w:t>
                                    </w:r>
                                  </w:p>
                                </w:txbxContent>
                              </wps:txbx>
                              <wps:bodyPr rot="0" vert="horz" wrap="square" lIns="91440" tIns="45720" rIns="91440" bIns="45720" anchor="t" anchorCtr="0" upright="1">
                                <a:noAutofit/>
                              </wps:bodyPr>
                            </wps:wsp>
                            <wps:wsp>
                              <wps:cNvPr id="319" name="文本框 119"/>
                              <wps:cNvSpPr txBox="1">
                                <a:spLocks noChangeArrowheads="1"/>
                              </wps:cNvSpPr>
                              <wps:spPr bwMode="auto">
                                <a:xfrm>
                                  <a:off x="207449" y="3370580"/>
                                  <a:ext cx="595630" cy="254000"/>
                                </a:xfrm>
                                <a:prstGeom prst="rect">
                                  <a:avLst/>
                                </a:prstGeom>
                                <a:noFill/>
                                <a:ln w="6350">
                                  <a:noFill/>
                                  <a:prstDash val="dash"/>
                                  <a:miter lim="800000"/>
                                </a:ln>
                                <a:effectLst/>
                              </wps:spPr>
                              <wps:txbx>
                                <w:txbxContent>
                                  <w:p>
                                    <w:pPr>
                                      <w:adjustRightInd w:val="0"/>
                                      <w:snapToGrid w:val="0"/>
                                      <w:jc w:val="left"/>
                                    </w:pPr>
                                    <w:r>
                                      <w:rPr>
                                        <w:rFonts w:hint="eastAsia"/>
                                      </w:rPr>
                                      <w:t>钻孔机</w:t>
                                    </w:r>
                                  </w:p>
                                </w:txbxContent>
                              </wps:txbx>
                              <wps:bodyPr rot="0" vert="horz" wrap="square" lIns="91440" tIns="45720" rIns="91440" bIns="45720" anchor="t" anchorCtr="0" upright="1">
                                <a:noAutofit/>
                              </wps:bodyPr>
                            </wps:wsp>
                            <wps:wsp>
                              <wps:cNvPr id="320" name="文本框 119"/>
                              <wps:cNvSpPr txBox="1">
                                <a:spLocks noChangeArrowheads="1"/>
                              </wps:cNvSpPr>
                              <wps:spPr bwMode="auto">
                                <a:xfrm>
                                  <a:off x="216974" y="3913505"/>
                                  <a:ext cx="595630" cy="254000"/>
                                </a:xfrm>
                                <a:prstGeom prst="rect">
                                  <a:avLst/>
                                </a:prstGeom>
                                <a:noFill/>
                                <a:ln w="6350">
                                  <a:noFill/>
                                  <a:prstDash val="dash"/>
                                  <a:miter lim="800000"/>
                                </a:ln>
                                <a:effectLst/>
                              </wps:spPr>
                              <wps:txbx>
                                <w:txbxContent>
                                  <w:p>
                                    <w:pPr>
                                      <w:adjustRightInd w:val="0"/>
                                      <w:snapToGrid w:val="0"/>
                                      <w:jc w:val="left"/>
                                    </w:pPr>
                                    <w:r>
                                      <w:rPr>
                                        <w:rFonts w:hint="eastAsia"/>
                                      </w:rPr>
                                      <w:t>攻牙机</w:t>
                                    </w:r>
                                  </w:p>
                                </w:txbxContent>
                              </wps:txbx>
                              <wps:bodyPr rot="0" vert="horz" wrap="square" lIns="91440" tIns="45720" rIns="91440" bIns="45720" anchor="t" anchorCtr="0" upright="1">
                                <a:noAutofit/>
                              </wps:bodyPr>
                            </wps:wsp>
                            <wps:wsp>
                              <wps:cNvPr id="321" name="文本框 119"/>
                              <wps:cNvSpPr txBox="1">
                                <a:spLocks noChangeArrowheads="1"/>
                              </wps:cNvSpPr>
                              <wps:spPr bwMode="auto">
                                <a:xfrm>
                                  <a:off x="179070" y="4427855"/>
                                  <a:ext cx="594995" cy="600075"/>
                                </a:xfrm>
                                <a:prstGeom prst="rect">
                                  <a:avLst/>
                                </a:prstGeom>
                                <a:noFill/>
                                <a:ln w="6350">
                                  <a:noFill/>
                                  <a:prstDash val="dash"/>
                                  <a:miter lim="800000"/>
                                </a:ln>
                                <a:effectLst/>
                              </wps:spPr>
                              <wps:txbx>
                                <w:txbxContent>
                                  <w:p>
                                    <w:pPr>
                                      <w:adjustRightInd w:val="0"/>
                                      <w:snapToGrid w:val="0"/>
                                      <w:jc w:val="left"/>
                                    </w:pPr>
                                    <w:r>
                                      <w:rPr>
                                        <w:rFonts w:hint="eastAsia"/>
                                      </w:rPr>
                                      <w:t>喷砂机研磨机抛光机</w:t>
                                    </w:r>
                                  </w:p>
                                </w:txbxContent>
                              </wps:txbx>
                              <wps:bodyPr rot="0" vert="horz" wrap="square" lIns="91440" tIns="45720" rIns="91440" bIns="45720" anchor="t" anchorCtr="0" upright="1">
                                <a:noAutofit/>
                              </wps:bodyPr>
                            </wps:wsp>
                            <wps:wsp>
                              <wps:cNvPr id="322" name="文本框 119"/>
                              <wps:cNvSpPr txBox="1">
                                <a:spLocks noChangeArrowheads="1"/>
                              </wps:cNvSpPr>
                              <wps:spPr bwMode="auto">
                                <a:xfrm>
                                  <a:off x="188595" y="5637530"/>
                                  <a:ext cx="595630" cy="511175"/>
                                </a:xfrm>
                                <a:prstGeom prst="rect">
                                  <a:avLst/>
                                </a:prstGeom>
                                <a:noFill/>
                                <a:ln w="6350">
                                  <a:noFill/>
                                  <a:prstDash val="dash"/>
                                  <a:miter lim="800000"/>
                                </a:ln>
                                <a:effectLst/>
                              </wps:spPr>
                              <wps:txbx>
                                <w:txbxContent>
                                  <w:p>
                                    <w:pPr>
                                      <w:adjustRightInd w:val="0"/>
                                      <w:snapToGrid w:val="0"/>
                                      <w:jc w:val="left"/>
                                    </w:pPr>
                                    <w:r>
                                      <w:rPr>
                                        <w:rFonts w:hint="eastAsia"/>
                                      </w:rPr>
                                      <w:t>喷粉柜</w:t>
                                    </w:r>
                                  </w:p>
                                  <w:p>
                                    <w:pPr>
                                      <w:pStyle w:val="2"/>
                                      <w:rPr>
                                        <w:sz w:val="21"/>
                                      </w:rPr>
                                    </w:pPr>
                                    <w:r>
                                      <w:rPr>
                                        <w:rFonts w:hint="eastAsia"/>
                                        <w:sz w:val="21"/>
                                      </w:rPr>
                                      <w:t>喷枪</w:t>
                                    </w:r>
                                  </w:p>
                                </w:txbxContent>
                              </wps:txbx>
                              <wps:bodyPr rot="0" vert="horz" wrap="square" lIns="91440" tIns="45720" rIns="91440" bIns="45720" anchor="t" anchorCtr="0" upright="1">
                                <a:noAutofit/>
                              </wps:bodyPr>
                            </wps:wsp>
                            <wps:wsp>
                              <wps:cNvPr id="323" name="直接箭头连接符 138"/>
                              <wps:cNvCnPr>
                                <a:cxnSpLocks noChangeShapeType="1"/>
                              </wps:cNvCnPr>
                              <wps:spPr bwMode="auto">
                                <a:xfrm>
                                  <a:off x="3103049" y="6885305"/>
                                  <a:ext cx="330200" cy="0"/>
                                </a:xfrm>
                                <a:prstGeom prst="straightConnector1">
                                  <a:avLst/>
                                </a:prstGeom>
                                <a:noFill/>
                                <a:ln w="6350">
                                  <a:solidFill>
                                    <a:srgbClr val="000000"/>
                                  </a:solidFill>
                                  <a:prstDash val="dash"/>
                                  <a:round/>
                                  <a:tailEnd type="triangle" w="med" len="med"/>
                                </a:ln>
                                <a:effectLst/>
                              </wps:spPr>
                              <wps:bodyPr/>
                            </wps:wsp>
                            <wps:wsp>
                              <wps:cNvPr id="5" name="直接连接符 5"/>
                              <wps:cNvCnPr/>
                              <wps:spPr>
                                <a:xfrm flipV="1">
                                  <a:off x="2055934" y="5495925"/>
                                  <a:ext cx="1113790" cy="63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6" name="文本框 132"/>
                              <wps:cNvSpPr txBox="1">
                                <a:spLocks noChangeArrowheads="1"/>
                              </wps:cNvSpPr>
                              <wps:spPr bwMode="auto">
                                <a:xfrm>
                                  <a:off x="1728274" y="4618355"/>
                                  <a:ext cx="649605" cy="248285"/>
                                </a:xfrm>
                                <a:prstGeom prst="rect">
                                  <a:avLst/>
                                </a:prstGeom>
                                <a:noFill/>
                                <a:ln w="6350">
                                  <a:solidFill>
                                    <a:srgbClr val="000000"/>
                                  </a:solidFill>
                                  <a:miter lim="800000"/>
                                </a:ln>
                                <a:effectLst/>
                              </wps:spPr>
                              <wps:txbx>
                                <w:txbxContent>
                                  <w:p>
                                    <w:pPr>
                                      <w:adjustRightInd w:val="0"/>
                                      <w:snapToGrid w:val="0"/>
                                      <w:jc w:val="center"/>
                                    </w:pPr>
                                    <w:r>
                                      <w:rPr>
                                        <w:rFonts w:hint="eastAsia"/>
                                      </w:rPr>
                                      <w:t>喷砂</w:t>
                                    </w:r>
                                  </w:p>
                                </w:txbxContent>
                              </wps:txbx>
                              <wps:bodyPr rot="0" vert="horz" wrap="square" lIns="91440" tIns="45720" rIns="91440" bIns="45720" anchor="t" anchorCtr="0" upright="1">
                                <a:noAutofit/>
                              </wps:bodyPr>
                            </wps:wsp>
                            <wps:wsp>
                              <wps:cNvPr id="7" name="文本框 132"/>
                              <wps:cNvSpPr txBox="1">
                                <a:spLocks noChangeArrowheads="1"/>
                              </wps:cNvSpPr>
                              <wps:spPr bwMode="auto">
                                <a:xfrm>
                                  <a:off x="2836349" y="5085080"/>
                                  <a:ext cx="649605" cy="248285"/>
                                </a:xfrm>
                                <a:prstGeom prst="rect">
                                  <a:avLst/>
                                </a:prstGeom>
                                <a:noFill/>
                                <a:ln w="6350">
                                  <a:solidFill>
                                    <a:srgbClr val="000000"/>
                                  </a:solidFill>
                                  <a:miter lim="800000"/>
                                </a:ln>
                                <a:effectLst/>
                              </wps:spPr>
                              <wps:txbx>
                                <w:txbxContent>
                                  <w:p>
                                    <w:pPr>
                                      <w:adjustRightInd w:val="0"/>
                                      <w:snapToGrid w:val="0"/>
                                      <w:jc w:val="center"/>
                                    </w:pPr>
                                    <w:r>
                                      <w:rPr>
                                        <w:rFonts w:hint="eastAsia"/>
                                      </w:rPr>
                                      <w:t>研磨</w:t>
                                    </w:r>
                                  </w:p>
                                </w:txbxContent>
                              </wps:txbx>
                              <wps:bodyPr rot="0" vert="horz" wrap="square" lIns="91440" tIns="45720" rIns="91440" bIns="45720" anchor="t" anchorCtr="0" upright="1">
                                <a:noAutofit/>
                              </wps:bodyPr>
                            </wps:wsp>
                            <wps:wsp>
                              <wps:cNvPr id="9" name="直接连接符 9"/>
                              <wps:cNvCnPr/>
                              <wps:spPr>
                                <a:xfrm flipV="1">
                                  <a:off x="3169724" y="5324475"/>
                                  <a:ext cx="0" cy="1714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0" name="文本框 132"/>
                              <wps:cNvSpPr txBox="1">
                                <a:spLocks noChangeArrowheads="1"/>
                              </wps:cNvSpPr>
                              <wps:spPr bwMode="auto">
                                <a:xfrm>
                                  <a:off x="2836349" y="4608830"/>
                                  <a:ext cx="649605" cy="248285"/>
                                </a:xfrm>
                                <a:prstGeom prst="rect">
                                  <a:avLst/>
                                </a:prstGeom>
                                <a:noFill/>
                                <a:ln w="6350">
                                  <a:solidFill>
                                    <a:srgbClr val="000000"/>
                                  </a:solidFill>
                                  <a:miter lim="800000"/>
                                </a:ln>
                                <a:effectLst/>
                              </wps:spPr>
                              <wps:txbx>
                                <w:txbxContent>
                                  <w:p>
                                    <w:pPr>
                                      <w:adjustRightInd w:val="0"/>
                                      <w:snapToGrid w:val="0"/>
                                      <w:jc w:val="center"/>
                                    </w:pPr>
                                    <w:r>
                                      <w:rPr>
                                        <w:rFonts w:hint="eastAsia"/>
                                      </w:rPr>
                                      <w:t>抛光</w:t>
                                    </w:r>
                                  </w:p>
                                </w:txbxContent>
                              </wps:txbx>
                              <wps:bodyPr rot="0" vert="horz" wrap="square" lIns="91440" tIns="45720" rIns="91440" bIns="45720" anchor="t" anchorCtr="0" upright="1">
                                <a:noAutofit/>
                              </wps:bodyPr>
                            </wps:wsp>
                            <wps:wsp>
                              <wps:cNvPr id="11" name="直接连接符 11"/>
                              <wps:cNvCnPr/>
                              <wps:spPr>
                                <a:xfrm flipV="1">
                                  <a:off x="2045774" y="4418330"/>
                                  <a:ext cx="1104900" cy="444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2" name="直接连接符 12"/>
                              <wps:cNvCnPr/>
                              <wps:spPr>
                                <a:xfrm flipV="1">
                                  <a:off x="3153849" y="4427855"/>
                                  <a:ext cx="0" cy="17145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16" name="直接连接符 16"/>
                              <wps:cNvCnPr>
                                <a:stCxn id="7" idx="0"/>
                                <a:endCxn id="10" idx="2"/>
                              </wps:cNvCnPr>
                              <wps:spPr>
                                <a:xfrm flipV="1">
                                  <a:off x="3161469" y="4857115"/>
                                  <a:ext cx="0" cy="22796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0" name="直接连接符 20"/>
                              <wps:cNvCnPr/>
                              <wps:spPr>
                                <a:xfrm flipH="1" flipV="1">
                                  <a:off x="2043234" y="4424045"/>
                                  <a:ext cx="5080" cy="175895"/>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1" name="直接连接符 21"/>
                              <wps:cNvCnPr>
                                <a:endCxn id="6" idx="2"/>
                              </wps:cNvCnPr>
                              <wps:spPr>
                                <a:xfrm flipH="1" flipV="1">
                                  <a:off x="2053394" y="4866640"/>
                                  <a:ext cx="2540" cy="636270"/>
                                </a:xfrm>
                                <a:prstGeom prst="line">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wps:wsp>
                            <wps:wsp>
                              <wps:cNvPr id="29" name="直接箭头连接符 134"/>
                              <wps:cNvCnPr>
                                <a:cxnSpLocks noChangeShapeType="1"/>
                              </wps:cNvCnPr>
                              <wps:spPr bwMode="auto">
                                <a:xfrm>
                                  <a:off x="3512624" y="5218430"/>
                                  <a:ext cx="330200" cy="0"/>
                                </a:xfrm>
                                <a:prstGeom prst="straightConnector1">
                                  <a:avLst/>
                                </a:prstGeom>
                                <a:noFill/>
                                <a:ln w="6350">
                                  <a:solidFill>
                                    <a:srgbClr val="000000"/>
                                  </a:solidFill>
                                  <a:prstDash val="dash"/>
                                  <a:round/>
                                  <a:tailEnd type="triangle" w="med" len="med"/>
                                </a:ln>
                                <a:effectLst/>
                              </wps:spPr>
                              <wps:bodyPr/>
                            </wps:wsp>
                            <wps:wsp>
                              <wps:cNvPr id="34" name="文本框 136"/>
                              <wps:cNvSpPr txBox="1">
                                <a:spLocks noChangeArrowheads="1"/>
                              </wps:cNvSpPr>
                              <wps:spPr bwMode="auto">
                                <a:xfrm>
                                  <a:off x="3912870" y="5075555"/>
                                  <a:ext cx="592455" cy="307431"/>
                                </a:xfrm>
                                <a:prstGeom prst="rect">
                                  <a:avLst/>
                                </a:prstGeom>
                                <a:noFill/>
                                <a:ln w="6350">
                                  <a:noFill/>
                                  <a:prstDash val="dash"/>
                                  <a:miter lim="800000"/>
                                </a:ln>
                                <a:effectLst/>
                              </wps:spPr>
                              <wps:txbx>
                                <w:txbxContent>
                                  <w:p>
                                    <w:pPr>
                                      <w:adjustRightInd w:val="0"/>
                                      <w:snapToGrid w:val="0"/>
                                      <w:jc w:val="left"/>
                                    </w:pPr>
                                    <w:r>
                                      <w:rPr>
                                        <w:rFonts w:hint="eastAsia"/>
                                      </w:rPr>
                                      <w:t>噪声</w:t>
                                    </w:r>
                                  </w:p>
                                </w:txbxContent>
                              </wps:txbx>
                              <wps:bodyPr rot="0" vert="horz" wrap="square" lIns="91440" tIns="45720" rIns="91440" bIns="45720" anchor="t" anchorCtr="0" upright="1">
                                <a:noAutofit/>
                              </wps:bodyPr>
                            </wps:wsp>
                            <wps:wsp>
                              <wps:cNvPr id="38" name="文本框 119"/>
                              <wps:cNvSpPr txBox="1">
                                <a:spLocks noChangeArrowheads="1"/>
                              </wps:cNvSpPr>
                              <wps:spPr bwMode="auto">
                                <a:xfrm>
                                  <a:off x="217170" y="6247130"/>
                                  <a:ext cx="595630" cy="254000"/>
                                </a:xfrm>
                                <a:prstGeom prst="rect">
                                  <a:avLst/>
                                </a:prstGeom>
                                <a:noFill/>
                                <a:ln w="6350">
                                  <a:noFill/>
                                  <a:prstDash val="dash"/>
                                  <a:miter lim="800000"/>
                                </a:ln>
                                <a:effectLst/>
                              </wps:spPr>
                              <wps:txbx>
                                <w:txbxContent>
                                  <w:p>
                                    <w:pPr>
                                      <w:adjustRightInd w:val="0"/>
                                      <w:snapToGrid w:val="0"/>
                                      <w:jc w:val="left"/>
                                    </w:pPr>
                                    <w:r>
                                      <w:rPr>
                                        <w:rFonts w:hint="eastAsia"/>
                                      </w:rPr>
                                      <w:t>烘烤炉</w:t>
                                    </w:r>
                                  </w:p>
                                </w:txbxContent>
                              </wps:txbx>
                              <wps:bodyPr rot="0" vert="horz" wrap="square" lIns="91440" tIns="45720" rIns="91440" bIns="45720" anchor="t" anchorCtr="0" upright="1">
                                <a:noAutofit/>
                              </wps:bodyPr>
                            </wps:wsp>
                            <wps:wsp>
                              <wps:cNvPr id="44" name="直接箭头连接符 134"/>
                              <wps:cNvCnPr>
                                <a:cxnSpLocks noChangeShapeType="1"/>
                              </wps:cNvCnPr>
                              <wps:spPr bwMode="auto">
                                <a:xfrm flipH="1" flipV="1">
                                  <a:off x="1560195" y="4737735"/>
                                  <a:ext cx="181610" cy="4445"/>
                                </a:xfrm>
                                <a:prstGeom prst="straightConnector1">
                                  <a:avLst/>
                                </a:prstGeom>
                                <a:noFill/>
                                <a:ln w="6350">
                                  <a:solidFill>
                                    <a:srgbClr val="000000"/>
                                  </a:solidFill>
                                  <a:prstDash val="dash"/>
                                  <a:round/>
                                  <a:tailEnd type="triangle" w="med" len="med"/>
                                </a:ln>
                                <a:effectLst/>
                              </wps:spPr>
                              <wps:bodyPr/>
                            </wps:wsp>
                            <wps:wsp>
                              <wps:cNvPr id="46" name="文本框 142"/>
                              <wps:cNvSpPr txBox="1">
                                <a:spLocks noChangeArrowheads="1"/>
                              </wps:cNvSpPr>
                              <wps:spPr bwMode="auto">
                                <a:xfrm>
                                  <a:off x="779780" y="4494530"/>
                                  <a:ext cx="978535" cy="480060"/>
                                </a:xfrm>
                                <a:prstGeom prst="rect">
                                  <a:avLst/>
                                </a:prstGeom>
                                <a:noFill/>
                                <a:ln w="6350">
                                  <a:noFill/>
                                  <a:prstDash val="dash"/>
                                  <a:miter lim="800000"/>
                                </a:ln>
                                <a:effectLst/>
                              </wps:spPr>
                              <wps:txbx>
                                <w:txbxContent>
                                  <w:p>
                                    <w:pPr>
                                      <w:jc w:val="left"/>
                                    </w:pPr>
                                    <w:r>
                                      <w:rPr>
                                        <w:rFonts w:hint="eastAsia"/>
                                      </w:rPr>
                                      <w:t>粉尘（颗粒物）、噪声</w:t>
                                    </w:r>
                                  </w:p>
                                </w:txbxContent>
                              </wps:txbx>
                              <wps:bodyPr rot="0" vert="horz" wrap="square" lIns="91440" tIns="45720" rIns="91440" bIns="45720" anchor="t" anchorCtr="0" upright="1">
                                <a:noAutofit/>
                              </wps:bodyPr>
                            </wps:wsp>
                            <wps:wsp>
                              <wps:cNvPr id="77" name="直接箭头连接符 138"/>
                              <wps:cNvCnPr>
                                <a:cxnSpLocks noChangeShapeType="1"/>
                              </wps:cNvCnPr>
                              <wps:spPr bwMode="auto">
                                <a:xfrm>
                                  <a:off x="3913505" y="6893560"/>
                                  <a:ext cx="1072515" cy="5080"/>
                                </a:xfrm>
                                <a:prstGeom prst="straightConnector1">
                                  <a:avLst/>
                                </a:prstGeom>
                                <a:noFill/>
                                <a:ln w="12700" cmpd="sng">
                                  <a:solidFill>
                                    <a:schemeClr val="tx1"/>
                                  </a:solidFill>
                                  <a:prstDash val="solid"/>
                                  <a:round/>
                                  <a:tailEnd type="triangle" w="med" len="med"/>
                                </a:ln>
                                <a:effectLst/>
                              </wps:spPr>
                              <wps:bodyPr/>
                            </wps:wsp>
                            <wps:wsp>
                              <wps:cNvPr id="126" name="直接箭头连接符 138"/>
                              <wps:cNvCnPr>
                                <a:cxnSpLocks noChangeShapeType="1"/>
                              </wps:cNvCnPr>
                              <wps:spPr bwMode="auto">
                                <a:xfrm flipV="1">
                                  <a:off x="4979670" y="450850"/>
                                  <a:ext cx="23495" cy="6443345"/>
                                </a:xfrm>
                                <a:prstGeom prst="straightConnector1">
                                  <a:avLst/>
                                </a:prstGeom>
                                <a:noFill/>
                                <a:ln w="12700" cmpd="sng">
                                  <a:solidFill>
                                    <a:schemeClr val="tx1"/>
                                  </a:solidFill>
                                  <a:prstDash val="solid"/>
                                  <a:round/>
                                  <a:tailEnd type="triangle" w="med" len="med"/>
                                </a:ln>
                                <a:effectLst/>
                              </wps:spPr>
                              <wps:bodyPr/>
                            </wps:wsp>
                            <wps:wsp>
                              <wps:cNvPr id="142" name="直接箭头连接符 138"/>
                              <wps:cNvCnPr>
                                <a:cxnSpLocks noChangeShapeType="1"/>
                              </wps:cNvCnPr>
                              <wps:spPr bwMode="auto">
                                <a:xfrm flipH="1" flipV="1">
                                  <a:off x="2573020" y="449580"/>
                                  <a:ext cx="2424430" cy="8890"/>
                                </a:xfrm>
                                <a:prstGeom prst="straightConnector1">
                                  <a:avLst/>
                                </a:prstGeom>
                                <a:noFill/>
                                <a:ln w="12700" cmpd="sng">
                                  <a:solidFill>
                                    <a:schemeClr val="tx1"/>
                                  </a:solidFill>
                                  <a:prstDash val="solid"/>
                                  <a:round/>
                                  <a:tailEnd type="triangle" w="med" len="med"/>
                                </a:ln>
                                <a:effectLst/>
                              </wps:spPr>
                              <wps:bodyPr/>
                            </wps:wsp>
                            <wps:wsp>
                              <wps:cNvPr id="169" name="文本框 118"/>
                              <wps:cNvSpPr txBox="1">
                                <a:spLocks noChangeArrowheads="1"/>
                              </wps:cNvSpPr>
                              <wps:spPr bwMode="auto">
                                <a:xfrm>
                                  <a:off x="3703955" y="179705"/>
                                  <a:ext cx="729615" cy="244475"/>
                                </a:xfrm>
                                <a:prstGeom prst="rect">
                                  <a:avLst/>
                                </a:prstGeom>
                                <a:noFill/>
                                <a:ln>
                                  <a:noFill/>
                                </a:ln>
                                <a:effectLst/>
                              </wps:spPr>
                              <wps:txbx>
                                <w:txbxContent>
                                  <w:p>
                                    <w:pPr>
                                      <w:adjustRightInd w:val="0"/>
                                      <w:snapToGrid w:val="0"/>
                                      <w:jc w:val="center"/>
                                    </w:pPr>
                                    <w:r>
                                      <w:rPr>
                                        <w:rFonts w:hint="eastAsia"/>
                                      </w:rPr>
                                      <w:t>回收熔融</w:t>
                                    </w:r>
                                  </w:p>
                                </w:txbxContent>
                              </wps:txbx>
                              <wps:bodyPr rot="0" vert="horz" wrap="square" lIns="91440" tIns="45720" rIns="91440" bIns="45720" anchor="t" anchorCtr="0" upright="1">
                                <a:noAutofit/>
                              </wps:bodyPr>
                            </wps:wsp>
                            <wps:wsp>
                              <wps:cNvPr id="224" name="连接符: 肘形 224"/>
                              <wps:cNvCnPr>
                                <a:stCxn id="7" idx="2"/>
                                <a:endCxn id="7" idx="1"/>
                              </wps:cNvCnPr>
                              <wps:spPr>
                                <a:xfrm rot="5400000" flipH="1">
                                  <a:off x="2936680" y="5108893"/>
                                  <a:ext cx="124142" cy="324803"/>
                                </a:xfrm>
                                <a:prstGeom prst="bentConnector4">
                                  <a:avLst>
                                    <a:gd name="adj1" fmla="val -74534"/>
                                    <a:gd name="adj2" fmla="val 170381"/>
                                  </a:avLst>
                                </a:prstGeom>
                                <a:ln>
                                  <a:solidFill>
                                    <a:schemeClr val="tx1"/>
                                  </a:solidFill>
                                  <a:tailEnd type="triangle"/>
                                </a:ln>
                              </wps:spPr>
                              <wps:style>
                                <a:lnRef idx="1">
                                  <a:schemeClr val="accent1"/>
                                </a:lnRef>
                                <a:fillRef idx="0">
                                  <a:schemeClr val="accent1"/>
                                </a:fillRef>
                                <a:effectRef idx="0">
                                  <a:schemeClr val="accent1"/>
                                </a:effectRef>
                                <a:fontRef idx="minor">
                                  <a:schemeClr val="tx1"/>
                                </a:fontRef>
                              </wps:style>
                              <wps:bodyPr/>
                            </wps:wsp>
                            <wps:wsp>
                              <wps:cNvPr id="225" name="文本框 136"/>
                              <wps:cNvSpPr txBox="1">
                                <a:spLocks noChangeArrowheads="1"/>
                              </wps:cNvSpPr>
                              <wps:spPr bwMode="auto">
                                <a:xfrm>
                                  <a:off x="2140246" y="5176543"/>
                                  <a:ext cx="592455" cy="307340"/>
                                </a:xfrm>
                                <a:prstGeom prst="rect">
                                  <a:avLst/>
                                </a:prstGeom>
                                <a:noFill/>
                                <a:ln w="6350">
                                  <a:noFill/>
                                  <a:prstDash val="dash"/>
                                  <a:miter lim="800000"/>
                                </a:ln>
                                <a:effectLst/>
                              </wps:spPr>
                              <wps:txbx>
                                <w:txbxContent>
                                  <w:p>
                                    <w:pPr>
                                      <w:rPr>
                                        <w:sz w:val="18"/>
                                        <w:szCs w:val="18"/>
                                      </w:rPr>
                                    </w:pPr>
                                    <w:r>
                                      <w:rPr>
                                        <w:rFonts w:hint="eastAsia"/>
                                        <w:sz w:val="18"/>
                                        <w:szCs w:val="18"/>
                                      </w:rPr>
                                      <w:t>循环水</w:t>
                                    </w:r>
                                  </w:p>
                                </w:txbxContent>
                              </wps:txbx>
                              <wps:bodyPr rot="0" vert="horz" wrap="square" lIns="91440" tIns="45720" rIns="91440" bIns="45720" anchor="t" anchorCtr="0" upright="1">
                                <a:noAutofit/>
                              </wps:bodyPr>
                            </wps:wsp>
                          </wpc:wpc>
                        </a:graphicData>
                      </a:graphic>
                    </wp:inline>
                  </w:drawing>
                </mc:Choice>
                <mc:Fallback>
                  <w:pict>
                    <v:group id="_x0000_s1026" o:spid="_x0000_s1026" o:spt="203" style="height:596.9pt;width:409.1pt;" coordsize="5195570,7580630" editas="canvas" o:gfxdata="UEsDBAoAAAAAAIdO4kAAAAAAAAAAAAAAAAAEAAAAZHJzL1BLAwQUAAAACACHTuJA3uoJFdcAAAAG&#10;AQAADwAAAGRycy9kb3ducmV2LnhtbE2PQWvCQBCF74X+h2UKvRTdxEJJYzYeBFFKQRpbz2t2moRm&#10;Z2N2Tey/7+jFXh4M7/HeN9nibFsxYO8bRwriaQQCqXSmoUrB5241SUD4oMno1hEq+EUPi/z+LtOp&#10;cSN94FCESnAJ+VQrqEPoUil9WaPVfuo6JPa+XW914LOvpOn1yOW2lbMoepFWN8QLte5wWWP5U5ys&#10;grHcDvvd+1pun/YbR8fNcVl8vSn1+BBHcxABz+EWhgs+o0POTAd3IuNFq4AfCVdlL4mTGYgDh+LX&#10;5wRknsn/+PkfUEsDBBQAAAAIAIdO4kBk+neR4xAAAJHGAAAOAAAAZHJzL2Uyb0RvYy54bWztXcuO&#10;49YR3QfIPxDae5r3wZdgjeH02E4A2zEwTvZsiZIYU6RCsqd7skyAZOdVEARIYCCB7ZXtlRcBgsBf&#10;MzP+jJz7IEVSUqvHHom05hqGLTUlSro8PFV1qm7Vm2/drhLrSZQXcZZORuSBPbKidJrN4nQxGf3m&#10;43ff8EdWUYbpLEyyNJqMnkbF6K2HP//ZmzfrcUSzZZbMotzCSdJifLOejJZluR5fXBTTZbQKiwfZ&#10;OkpxcJ7lq7DE03xxMcvDG5x9lVxQ23YvbrJ8ts6zaVQU+OsjdXCkz5jf54TZfB5Po0fZ9HoVpaU6&#10;ax4lYYmfVCzjdTF6KL/tfB5Ny1/P50VUWslkhF9ayv/iQ/D4Svz34uGb4XiRh+tlPNVfIbzPV+j8&#10;plUYp/jQ+lSPwjK0rvN461SreJpnRTYvH0yz1YX6IXJF8CuI3Vmb9/Lsei1/y2J8s1jXi44L1Vn1&#10;H3za6YdPPsqteAYkMG9kpeEKl/zFX//77D9/ssRfsD4368UYL3svXz9ef5TrPyzUM/GTb+f5Svwf&#10;P8a6lSv7tF7Z6La0pvijQwLH8bDoUxzzHN92mV776RIXaOt90+U7B955UX3whfh+9de5WQOVxWap&#10;ih+3VI+X4TqSV6AQa1Atlb9Zqn98+/zTL1588/Wzz7/9/rvPxOOvvrQI0Ssn33WZfpSLBZrepo/X&#10;72fTTworzS6XYbqI5Pk/frrGohOx1vgxjbeIJwXW3Lq6+SCb4TXhdZlJmHXWnDoeI5yOLKwutb3A&#10;ZQrY1fLrhec+d2xHfk61euF4nRfle1G2ssSDyago8zBeLMvLLE1x92Q5kR8YPnm/KMUX3LxB/KQ0&#10;ezdOEvw9HCepdTMZucyx5RuKLIln4qA4VuSLq8skt56E4jaU/+hv0XoZ4J7O5MnKME7eSWdWKZem&#10;zGMsVhKNxCesotnISiJwl3ikvlKSik+J5P2uv2e1dgK/xfgqmz2V2JULDICoP58AKWBTdVM9/9tf&#10;nv/zq+f/+jPQ4YvvrS+1uKms8vYXGW4TtdZFByRv53l2s4zCGcDcQol4qzrPvVBCfNf3cf0FSjgu&#10;gkQClk3faYRxn4jD4h6ljnjF3VDJgY97g6OFFqDo4CUrb69u9Sqpq2flmaJvGC88WGb5HwAIUDdA&#10;+/vrMAc8kl+lWKOAcC64Xj7hjkfxJG8euWoeCdMpTjUZlSNLPbwslX24XufiRqiuSpq9jbtvHsu7&#10;YIMpfc+eElLBLkgFvUCKceJTDSnH8yjZwpRPWaAxxV0aqBfU5L1hE00/L4WpFuE0qEgw2aOwWCq+&#10;meGRWJxwvIpLuC5JvJqM/CYJGSwedEX2GMIAt5b2GXYbQtx7G6o7viFkNvVg5STF+YTbcDnkla84&#10;juEFoDVJcQfYrU9DuA/AZ2ggA1IhqGEgqTRzJzeQFB6vz0GvMICEMhIoC7gxkX7gusKaSAvJfeof&#10;cKZ+OJu1/KJ7uk+G3pqB6EuFRPvoDS713fRGj09vyu+R/pigrnkSr39bOSU65qKcU7cCru07W3aY&#10;wt4xbYYHzHvnyG+sglCT32R8dnJ+YxwiAwGGBL/Z3CPb7hq1gRRFcC6hnnc0gjPuGkK3U0ejATyj&#10;u/mMH5/PhCeueYvZnHpUuWuEuSzwjb8mNZaDEUlvgkbgHoKQe3wI3cskeoRqaFHiuV4XWtT1mDGJ&#10;OcKjk7NQrZ42TWI/Agag4UA6lSaRMZ/BURLw3evyByqgPYaAYVz+IahrQS3YvtitaKjEhfbdjqRo&#10;3IvfAgqFQwIXNtQOlKu2Aa7ht740/6AWaPdBqClv9Aghx6aMKbmDeZ7ndsMBA6GeIIQwrfKyGiaS&#10;9RU1Ip+oo0YW2NtOOvJZvkyyHCVxZET+ykVTPv/J/TVqH1LB2KmjxsC1XWX6uI0EVNdnMyr/tBxU&#10;Gpzau1QwFCwA2qdXwRxKiRZLKfW5V5WiVEkiYvsuh7R/nES44bPe+QzUcacKxpuG9kj+WUsFc4nn&#10;aVceCXVIsO0Y1PDZ4PgM7KAg1PTPmsrX6cp6ULaDMgwFHxe1daxb2MMD7robOkOJloDXMSQMI+qf&#10;XtSn9iFFljXLzU5AZ8R2K+XV8VGD0bWvhs4GR2e7FFkoA324Z0KRDbR7xgJiAy1ta9gpwjCK7HnX&#10;OyIjXdnaPXIab9rdI/HbfRRZxw6YzjhxVDpuAdfIaT3JaSgErCDUcNfwx374zQ0cIRGLKmvfgbfW&#10;qZk1/PZ61XPzWuvdx28DSRdwUf2o4gzwXBB0DbPht974bVc4yiWvnF5eQ10Zq+Q11wu8bhEtYY09&#10;Aa5j+6bI7Kz2p/A6mNjHZ6fdHMdspDYrQAYe87r6iIlHBxaPElq7/A1/jfbDZ8gV2MzXmwI8Lwi6&#10;8AlsWVymsgXY2ar2nBxDXjMVQkOoEBJFg3emD+hA4lGOPQOeBq6L4rZuoGH8tZ78NSr2EG2lD/pK&#10;hwqDiIyT3BTgYZ9+N/sEOdcXG+kkwTk2tj2Z/MEZ7SemB/ns9OlQhrhBARJb8Jwubxl/bWD+GsUV&#10;utsknrpCyCEOPDUJIe5RNBvpaGwGQgODEGG1CtZ0+ZvK1+ky6pRQEuiCDDfghxRasw34vDNQ6JtS&#10;0dsQsIkWPpWawUSSqUNtrfSB2vZ7pGoPE44OIRwV3VXuDEdPkR5tVLPB2rq2DQ0Q+S0HKVHHk+Un&#10;m40p2FasgwlIK7oP2H61pM82HOe3HR07hSq0NKiM9VOICyPrE21m0aWJCTcSVLVBSovKTLuNc+9s&#10;Rb26Snxf5mAgyhq2jFY22EUjhS3gGmWtL2VN0MmWstYbv/nYSKCiUCTOkRa9u5LNxBHnHUdQeEL9&#10;u2r3qmSDQq0rPVyXeW7XMBt+64vf/CH5b2g162qVzfU8stVR1Phvr1UlGxOdo7aMb19pLT9gRGzi&#10;QxjKHYcgh9UOLgKXO9WuGI59CsdL25tdMaffFcM2O+j3xBIn3xUDm1qRJXMJ7zqDJiUxsJQEG9Sm&#10;Zc6BGUVnjsthdzt0hs7dAbaOqiw9Yg3R6PtIuq/hsz74bFdg25dt5YxxDUaXoLQI3UFawh1haB1Z&#10;7aA3JSPn1oJe5Jx+coGsRxChmEBWNvsT4yJU542++kiyza7lASQisOe02rHs0YBjSkabz0wg+5oF&#10;sge2MGBLgQDIcZsANnKqDDtLnWrrFdo5oCSlDVATPAwueKi13ia/NRvLnK6eCTOZGBV1AtBCUAeO&#10;dm4dfsOGCxe9wU3Ho+ZgoPMZGYRhTpW/1gBjT0M2CEFJnc76Y8iGu9Xz26MOqStEfMfDQLFXG8iK&#10;AhSB9dV6htFR6WIkmHZ/MROH4xhcqhctw1mkpgo5YoCQ/mJ6PofsqdM6z745LmZSxyue1CH7U25J&#10;z70h3PODeoe/z7UUs6lraSHcQ7OcVy3VGISf3dg3RuoC6T2CNvzDo/ukO6fPEJRIV3hHDsgFvNve&#10;KUWbxUoNwlClA2jvs+JvH2GfXyUgI7syyb0xJrdBmapmdFclIEhStK1Te2wNY+q5sCoCNYMyd0/v&#10;QnF85fX2yJiNKJ4gI115vo7vulv1YNS1g4onAfLKvayG/QpyGsik3teJJ+vYqUcU7bG7Nq1YE9OT&#10;0DbW2N3BT4RG5XDFSo1YnPTTa5EgN6d1IY9haGAHPwEaYVd85DARyLziSLyeFm5Syj2klMmubW19&#10;IdELZI8BKJQiF+N1oYipvnUPY6SePVOtdU49oxipEy79kyJFuWC1wRLJwK3NHU7gCAHdTAdIC1Fa&#10;KSe/nI9WjqLR4djnJhR9x6XdvI2BIlKhI6s8z7QNBpAPCIq2xzUrMt0xqFXyZaB41lDc2bGqJ1+R&#10;IoOoE4hoEI/kdidsMVA8byjWiZD+fUWyCVs4RllvtdgTkwxEgC0m46Ergm1a3Z5V2EJ35VB6YkUM&#10;YQTxqRQK9myisXw7CddkRYcQTNkwYs4ZhS30ULLj5PudbAZxUeLRBTS3+hSZksWBlSzWurTKc3z/&#10;3WfPP/3ixVdfWpIoGrWuuspAFZGHY5Ge2pmfoCi3D9D5T3YCgs4cdOsCwEIMBlSbx0NjyZI4jWQV&#10;VvhED7cMx1VKTGTZGhpyktZTFq1puJ6M5klY4mPqii8rTBbpZDQt8wPFX6LKa1PnlSXx7N04ScTH&#10;tVNgsuxLEe5dxV0Dqb7fJfz21CQDaq9PtTePLW4+6yq/6KDhwsNXcptpAnTuTYB2CcE9QZP6zK0m&#10;WWBMBf7tuFQGmq/VtpBajesayGbyVswfu6+BZELI0Ns6HIzU4con3xSKatOIAmR+qAraWMdltAqL&#10;B6t4mmdFNi8fTLPVRTafx9Po4ibLZxfUJrZ8tM6zaVQUcbrYXTgkZt1v1RIPgIM4Sjww3bUd1hkO&#10;eq04qFsFvPHScaRd/ntfFqK2yKcrN51j/DQCszbECFrcoQ+7csG42PiNU+/v2GmY6NUxUa0vdU0O&#10;qnd/2NVG/REqeVRcvlOyNDZHGnAZqd0Ua1VjiwfW7SpJizHi4MloWZaveAPLphZn60rv6nlZlJe3&#10;qRVj/xL85Xh2OxlV92w6q44IMyYPSajI3zP98Imajyqi+YPxO9wTNOjVUMFGLILSNYBuyz1BuU6A&#10;TkqGFOSG4KNDZZOK60JFVQzfQ6n5JaqsRns0G86o1mxADxy2oX3NZRQkg3EoyD4EZ3PZT3TZ67TX&#10;1mXvWn55j26IAGrPS/HAXehwGAu0q4CCPFfN0N0wAnaaavuBLuCiz7dBx4nQ0QlOX3zz9bPPv214&#10;h6efwEKrYbEOJb5pd6ZvhSSVd+d8Hg1M/hekvx31Np2PEzYsCNCRQOwBR9rcQdJ8awQUcgmo0lQR&#10;CZpxcEyPuZNpcqz2y+cOxJVqZBXaiv8sLJbiQ8PxXYI/qHH/pTY7t3YLMEhVbkOxp7Q6WgPJbgSi&#10;gGNXD+9mWl1YvzpZtGfXlkFilk9GSMaF6XSZ5ZclnuFGv17n8WJZCr9U3XVvX5cDmK7Ca1JUTlcv&#10;ZlU66vudMuK4NsY2SrLkGG/sqUTqxikjPgI57ZYdlm/M9mvExkcP4jCUZ5viemrniKHGnugcCopD&#10;iS/fqhzCUafafI09YLZ7wK03FPdTojivzrjuozg5v6mhKgiCnt6mj9fvZ9NPCivNLpdhuoikLf/4&#10;6ToSJC68sdZbKsXJurr5IJvhNSEIXnJ9ZSiRq7EgZFUlvQKOLpp4g92UmxXdltYULyC26J+inb8q&#10;Kbtfjv6RfPaSrVRkuUh1f9zRC6hRL3J+vSUIJmBrdusRUzv1LR5Aq9SRBXKqSOq3wQXtq67X5aLN&#10;7QGBy6BL3+gnlMphJgeCrv1OGXU8ZgulVhnVraHaFNqq0ESkkur7qpu3IbGyshsqOSGMRl8dalGb&#10;UcGsuc+gaQxPKIh4NguE4AE4Yc8BJra3aQtda93KJAJYupBkP55eykVrySA450EJy+gau3UN2WNY&#10;aWy1Mju2vv/j35/979+WOAj0t5wmtCXcSvTJbB6Cu42+X6UA7/C6xCWUdbp5hhhbyhQioT9P4rXk&#10;MHFc+180YK4YliKg5hBUnASyaWkjnKScCAoWe1pQtORjTIK4a9UHiBNVRbmWeDAZXUVpeZmlKSS4&#10;LOcbFU68dDHTTB7OficyUqsknIyehIn1hoc4RC5I+0X43M2LIMwwv1L+ZFWw/B7V54sPaMh3wysK&#10;DsdlGCfvpDOrlG5zmcdwpJNIr6e4zwZSMCxaFG7Hq6wfdRhjYzGdDC6mRCimk/EOQjvqMFNZqv0I&#10;fSk2rCvLO/Ay6rBE62J8s0DRBBZ7kYfrZTx9FJZh87l81Tii2TJLZlH+8P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TEwAAW0NvbnRlbnRfVHlw&#10;ZXNdLnhtbFBLAQIUAAoAAAAAAIdO4kAAAAAAAAAAAAAAAAAGAAAAAAAAAAAAEAAAADUSAABfcmVs&#10;cy9QSwECFAAUAAAACACHTuJAihRmPNEAAACUAQAACwAAAAAAAAABACAAAABZEgAAX3JlbHMvLnJl&#10;bHNQSwECFAAKAAAAAACHTuJAAAAAAAAAAAAAAAAABAAAAAAAAAAAABAAAAAAAAAAZHJzL1BLAQIU&#10;ABQAAAAIAIdO4kDe6gkV1wAAAAYBAAAPAAAAAAAAAAEAIAAAACIAAABkcnMvZG93bnJldi54bWxQ&#10;SwECFAAUAAAACACHTuJAZPp3keMQAACRxgAADgAAAAAAAAABACAAAAAmAQAAZHJzL2Uyb0RvYy54&#10;bWxQSwUGAAAAAAYABgBZAQAAexQAAAAA&#10;">
                      <o:lock v:ext="edit" aspectratio="f"/>
                      <v:shape id="_x0000_s1026" o:spid="_x0000_s1026" style="position:absolute;left:0;top:0;height:7580630;width:5195570;" filled="f" stroked="f" coordsize="21600,21600" o:gfxdata="UEsDBAoAAAAAAIdO4kAAAAAAAAAAAAAAAAAEAAAAZHJzL1BLAwQUAAAACACHTuJA3uoJFdcAAAAG&#10;AQAADwAAAGRycy9kb3ducmV2LnhtbE2PQWvCQBCF74X+h2UKvRTdxEJJYzYeBFFKQRpbz2t2moRm&#10;Z2N2Tey/7+jFXh4M7/HeN9nibFsxYO8bRwriaQQCqXSmoUrB5241SUD4oMno1hEq+EUPi/z+LtOp&#10;cSN94FCESnAJ+VQrqEPoUil9WaPVfuo6JPa+XW914LOvpOn1yOW2lbMoepFWN8QLte5wWWP5U5ys&#10;grHcDvvd+1pun/YbR8fNcVl8vSn1+BBHcxABz+EWhgs+o0POTAd3IuNFq4AfCVdlL4mTGYgDh+LX&#10;5wRknsn/+PkfUEsDBBQAAAAIAIdO4kBrOOnh2hAAAKDGAAAOAAAAZHJzL2Uyb0RvYy54bWztXUtv&#10;4+YV3RfofyC0z5jfgy8hmiD1JG2BJA0wafc0RVlsKFIh6bGnyy7aXZZFgRYBWiRZJVllW+TXZCY/&#10;o+d7kCKpl2diiYrmC5pUtmRKIg/PfZ1779vv3C1S61lclEmeTUbkkT2y4izKp0l2PRn98ZP33/JH&#10;VlmF2TRM8yyejJ7H5eidx7/+1du3y3FM83meTuPCwkGycny7nIzmVbUcX1yU0TxehOWjfBlneHKW&#10;F4uwwo/F9cW0CG9x9EV6QW3bvbjNi+myyKO4LPHbJ+rJkT5icZ8D5rNZEsVP8uhmEWeVOmoRp2GF&#10;r1TOk2U5eiw/7WwWR9UfZrMyrqx0MsI3reR/8SZ4fCX+e/H47XB8XYTLeRLpjxDe5yP0vtMiTDK8&#10;aXOoJ2EVWjdFsnaoRRIVeZnPqkdRvrhQX0SeEXwLYvfOzWWYPQvVl4lwrusPiEcPeNyra/G5s/z9&#10;JE1xNi5w9LH4nfj/W1ztWDydZtbtZBQ41BlZUYirPsPZxsPFcjoZldm1/O7NMcLxsiirJ2E5t56F&#10;OPFlniZTdaoXSRUX8qTP43D6Xja1qudLoCwD1kbiPRbxdGSlMaApHslXVmGS3ueVF+Jz6m+gP/nt&#10;EiAtlw1cy5934p7Ow2UswVWOo4+efVxYCb4/8b2RlYULfI2X//r+xedfvfzu2x+//P6nH74Qj7/5&#10;2iLEE99EfBj81WX2cSHOaXSXPV1+kEefllaWX87D7DqWx/9EnhAi/gIXo/Un4odyiTe9uv0wn+Ld&#10;wpsql2f+blYsxCGBJ+tuMqKOxwinI+s5Htte4DJ1IuO7yorwPMAf4Snuc8d25PuE4/oQ4sr9Ns4X&#10;lniAS1cVYXI9ry7zLMPNlBdEvmH47IOyEh9QXWrxBx0U1YhxmWPLP5AQEBATLyuL66vLtFDgsOU/&#10;+lN0XlbkN9l0AwKqIsHJSrfgRaMgHMfy9tefsz536ipc5dPnHxf1CQZA1K+PgBSQq0LKi3/8/cW/&#10;v3nxn78BHb749vpSPxUXuLr7TY7rpM512QPJu0WR34q7B2DuoET8qTrOvVBCfNf3cf0FSjgugkQC&#10;TpsGCWHcJ+JpARXqiFfshkoBfNwbHB203OeSVXdXd/osqatnFblic9gyPJjnxV9AIGBygPazm7AA&#10;PNLfZzhHAeFcUL/8gTsexQ9F+5mr9jNhFuFQkxHYTT28rJS5uFkW4kaor0qWv4u7b5bIu0BcO/Wp&#10;9D17TEgFmyAVDAIpxolPNaQcz6NkDVM+ZYHGFHdpoF6A67+Ffl4JU8J8NISz1RhNYZbEyQnH0hZZ&#10;abKYjPw2CQkjspM+DBa3GMIAt9ZOQ4h7b0V1hzeEzKYerJykOJ9w29MOX81xDC8ArUmK28NuQxrC&#10;rje1AvAZGsiA1AhqGUgqzdzRDSQlzPM56BUGkFBGAmUBVybSD1xXWBNpIblP/T3O1OuzWccvuqf7&#10;ZOitHZe+UuC1jd7gUu+mN3p4elN+j/THBHXN0mT5p9opqf1/zqlbA9f2nTU7TGHvmDbDJ8x758hv&#10;rIZQm99kfHZ0fmMcOQcCDAl+s7lH1t01agMpiuBcQj3vYARn3DWEbjLcP2LoEMAz2s1n/PB8Jnxt&#10;zVvM5tSjyl0jzGWBb/w1mWPZG5EMltAI3H0Qcg8PoXuZRI9QDS1KPNfrQ4u6HjMmsUB0dnQWarKn&#10;bZM4TAID0HCQOpUmkTGfwVES8N3q8gcqoD1EAsO4/KeQXQuahO2W1D6TANG+24EyGvfit4AiwyGB&#10;CxtqB8pVWwHX8NtQOf+gSdBug1A7vTEghBybMqbSHczzPLcfDhgIDQQhhGm1l9UykWyoqBH1RB01&#10;ssBed9JRz/JlkeUghSOT5K9dtIEKTtTelwVjx44aA9d2lenjNgpQfZ/NZPmj6qTK4NTelAWDYGFV&#10;GzpeGZw5lBKdLKXU557y6FaeE7F9lyO1f5hCuOGzwfkM1LEzC8bbhvZA/lknC+YSz9OuPArqSMF2&#10;Y1DDZyfHZ2AHBaG2f9bOfB2Rz7gPGYaCj+s5PusLe3jAXXdFZ1BMCHgdIoVhkvrHT+pTe19GlrXl&#10;ZkegM2K7debV8aHB6NtXQ2cnR2ebMrLIDAzhnomMbKDdMxYQG2jpWsOeCMNkZM9b74iKdG1rt6TT&#10;eNvuHojf7pORdeyA6YoTh9JxDbgmnTZQOg1CwBpCLXcNvxyG39zAESliobL2HXhrPc2s4bc3S8/N&#10;m1zvNn47kXIBF+pHFWeA54Kgb5gNvw3Gb5vCUS55ZQCRmYdOEs1vrhd4fREtYa2eANexfSMyO6v+&#10;FN4EE9v47LjNccxGabMGZOAxr58fMfHoicWjhDYuf8tfQyvqMP4at5mv+Axp2iDowyewpbhMVQt8&#10;/CD9ykOk14xC6BQUQkI0uLN8QE8kHuXoGfA0cF2I2/qBhvHXBvLXqOghWisfDFUOFQYRFSfZFOCR&#10;QDwGz7bLoa4vGukkwTk22p5M/eCM+onpXj47fjmUIW5QgEQLntPnLeOvnZi/RnGFdpvEYyuEHOLA&#10;U5MQ4h5110qiBkInBiHCmixY2+VvZ76OV1GnhJJACzLcgO/L0Jo24POuQGFuSk1vp4BNjPCpsxlM&#10;FJl2lQ9U2y/cOROOnus4GDFdZWc4eozyaEvNBmvr2jZygKhvOSiJOp6Un7TiCVoHE5BhwjSLaGM7&#10;PIccw3F+7ejoFKrR0qIyNowQF0bWJ9rMYkoTE25kJ/LsVUKNnT1vO0u9RiW+rXJwIpk1tIzWNtjF&#10;IIU14JrM2lCZNUEna5m1wfjNRyOBikJROEdZtJdZM/z2Rik9KDyh4V21eynZkKHWSg/XZZ7bN8yG&#10;34biN/+U/DeMmnV1ls31PLI2UdTw2xvFb0xMjlozvkOVtfyAEdHEhzCUOw5BDasbXAQud+quGI4+&#10;hcOV7U1XzPG7Ytiqg35LLHH0rhjY1JosmUt43xk0JYkTK0mwk2pa5hyYUXTmuBx2t0dnmNwdoHVU&#10;VekRa4hB3zsTa68/m9Tw2RB8timwHcq2csa4BqNLIC3CdJBO4o4wjI6sO+iNZOTcRtCLmtMvLpD1&#10;CCIUE8jKYX9iXcSwizHYqmv5BAoR6DmtO5Y9GnBsyejymQlk37BAdk8LA1oKBEAOOwSwVVNl6Cx1&#10;6tYrjHOAJKULUBM8nFzw0OR62/zWHixzPD0TdjIxKnQCyIVAB45xbj1+Q8OFi9ngZuJRezHQ+awM&#10;wjKn2l9rgXGgJRuEQFKnq/5YsuGuzfz2qEMahYjveFgo9rCBLObayxn3nV1223trOBzH4HIk6Lic&#10;h9NYbTFzxAIh/cH0fg4pY+kcZ9seF7Op44E3dcj5lGup58EQ7vlB0+Hvc52KWSmgOgj3MCznoVM1&#10;BuFnt/aNkUYgvSWhDf/w4D7pxu0zBBLpGu+oAbmAd9c7pRizWGeDsFRpD9qHVPxtI+zzUwIysqmS&#10;PBhjchuUqTSjm5SAIEkxtk712BrG1HthVQRqlhNu3t4FcXzt9Q7ImK0onqAiXXu+ju+6a3ow6tpB&#10;zZMAee1eblmVaXgStwGWJx1217NcDrJTXz+g3bVpzZrYnoSxscbuyg3i6CY42QVKUA7XrNSKxckw&#10;sxYJanM6L+QxLA3s4SfAIOyajxwmApkHjsTN8l6RQh5orj8jm9rahkKiF8gZA8hQilqM14citvo2&#10;M4xRevaMWuucZkYx0hRchidFCrlg3WCJYuBac4cTOCKBbrYDZKWQVsrNL+eTK4do9HTscxuKvuPS&#10;ft3GQBGl0JF1pq29WEB+QlC0Pa5ZkemJQR3Jl4HiWUNx48SqgXxFigqiLiBiQDyK272wxUDxvKHY&#10;FEKG9xXJKmzhWGW9NmJPbDIQAbbYjIepCLYZdXtWYQvdVEMZiBWxhBHEp0oo6NnEYPluEa7Nig4h&#10;2LJhkjlnFLbQfcWOo/c72QzJRYlHF9Bcm1NkJIsnJlls8tKqWvbTD1+8+Pyrl998bUmiaGldtcpA&#10;icjDsShPbdQFUMjtA0z+k5OAkGcO+roAsBCDAdXmcd9asjTJYqnCCp/p5ZbhWNTrfxvnC1Fla7Ul&#10;pVmzZdGKwuVkNEvDCm/TKL6sML3OJqOoKpSuK0+T6ftJmkqRV3F9dZkWSuYlVF4rnVf7ZV2pgJR9&#10;KcLdJe46EfX9psTvQEMykO31qfbm0eLms37mFxM0XHj4Kt2G4bMoSDysHLApQnSke1rTtw8Fuy42&#10;BF+zWbzlLjdV+81V+02J4IGgSX3m1psssKYC/+u5VAaab1RbSJON6xvIdvFW7B+7r4FEBS7wdFuH&#10;g5U6XPnkK6GoNo0QIPN9KmhjHefxIiwfLZKoyMt8Vj2K8sVFPpslUXxxmxfTC2oTWz5aFnkUl2WS&#10;XW+mILHrfk1LfAIcxCHxwHZX5WXEd5UV3SGrYMxj+dlNWMQjK5XdG+c9I6+vAl556XhG80700bNX&#10;YSFqi3q6ctM51k8jMOtCjGDEHeawKxeMi8bvnQ6YYaKHY6Imv9Q3OVDvvt7Vhv4ISh4Vl29MWRqb&#10;Iw24jNSgLlQa24PLDFdanLUrvWnmZVld3mVWMp2M4C8nU9iB+p7NpvUzwozJpyRU5PfRzKC+0974&#10;He4JBvRqqKARi0C6BtCtuSeQ6wSYpGRIQTYEHxwqq1JcHypKMXyPTM3voLIabcnZcEZ1zgb0wGEb&#10;utdcRkEyGEcG2UfC2Vz2I132puy1dtn7ll/eoysiQLbnlXhgFzocxgLtKkCQ56oduitGQKepth+Y&#10;Ai7mfBt0HAkdveD05Xff/vjl9y3v8PgbWGi9LNahxDfjzvStcLrCdNzW61Fv2/k44sCCABMJRA84&#10;yuYOiuZrK6BQS4BKU0UkGMbBsT1mJ9OYYWd5MRmhBBJm0TwvLiv8hNN7syyS63klvAFVQXn3pjqB&#10;FYsoVa5DcaCyOkYDyWkEQsCxaYZ3u6wurF9TLNrStWWQ+EtCIm9IUTldg5hV6ahvd8qI49pY2yjJ&#10;kmO9sacKqSunjPgI5LRbtj99Y9oKj9FWiKU86xQ30DhHLDX2xORQUBwkvnxNOYRnnbr5Gj1gtrvH&#10;rTcU90uiOK+puG6jOLm/qZVVEK5CdJc9XX6QR5+WVpZfzsPsOpbFlE+eL2PhTghvrPMn4geRcbKu&#10;bj/Mp3hNCFdDeh21oUStxkIiq5b0Cji6GOINdhNHa9GZLeanaOevLsoebIHUK45SkXKR+v7oCAq2&#10;6kXOb7YEwQZszW4DYmpjfosHyFXqyAI1VRT1u+BC7qvR63Ix5nZPgutnWkuDrtcoz8JMngi6tjtl&#10;1PGYLTK1yqiuLdWmyK2KnIjMpPq+muZtSKyq7YYqTgijobqj698fsyLTpNTafQZtY3jEhIhns0Ak&#10;PAAn9BxgY3uXtjC11q1NIoClhSTb8fRKLppKDQh5pLgK95itYLRtm4UlcsawyrE1mdmx9dNf//nj&#10;//5riSdxfjtOEyYOrhX6ZDUP3tAqv1+XAHd4XeISSp1ukSPbI9MUoqA/S5Ol5DDxvPa/aMBcsSxF&#10;QM0hUJwEcmhpy/+inAgKFj0tEC35WJOgcFE7crUo1xIPJqOrOKsu8yyDEjIv+ErBK97zeqqZPJz+&#10;WVSkFmk4GT0LU+stD3GIPCHdF+F9Vy9CYob5deZPqoIlPuv37+BWwPbURMHhuAqT9L1salXSba6K&#10;BI50GuvzKVLFJyIYFiMK1+NVNkx2GGtjsZ0MLqZEKLaT8R5Ce9lhpqpUD8SGDYh68Or699OwnCuK&#10;fpMUwkBrNMa/8ja8LsLlPImehFXY/lliehzTfJ6n07h4/H9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KEwAAW0NvbnRlbnRfVHlwZXNdLnhtbFBL&#10;AQIUAAoAAAAAAIdO4kAAAAAAAAAAAAAAAAAGAAAAAAAAAAAAEAAAACwSAABfcmVscy9QSwECFAAU&#10;AAAACACHTuJAihRmPNEAAACUAQAACwAAAAAAAAABACAAAABQEgAAX3JlbHMvLnJlbHNQSwECFAAK&#10;AAAAAACHTuJAAAAAAAAAAAAAAAAABAAAAAAAAAAAABAAAAAAAAAAZHJzL1BLAQIUABQAAAAIAIdO&#10;4kDe6gkV1wAAAAYBAAAPAAAAAAAAAAEAIAAAACIAAABkcnMvZG93bnJldi54bWxQSwECFAAUAAAA&#10;CACHTuJAazjp4doQAACgxgAADgAAAAAAAAABACAAAAAmAQAAZHJzL2Uyb0RvYy54bWxQSwUGAAAA&#10;AAYABgBZAQAAchQAAAAA&#10;">
                        <v:fill on="f" focussize="0,0"/>
                        <v:stroke on="f" joinstyle="miter"/>
                        <v:imagedata o:title=""/>
                        <o:lock v:ext="edit" aspectratio="t"/>
                      </v:shape>
                      <v:shape id="直接箭头连接符 117" o:spid="_x0000_s1026" o:spt="32" type="#_x0000_t32" style="position:absolute;left:2573142;top:207963;height:484505;width:0;" filled="f" stroked="t" coordsize="21600,21600" o:gfxdata="UEsDBAoAAAAAAIdO4kAAAAAAAAAAAAAAAAAEAAAAZHJzL1BLAwQUAAAACACHTuJA66gqNNUAAAAG&#10;AQAADwAAAGRycy9kb3ducmV2LnhtbE2PzUrEQBCE74LvMLTgRdyZRJBszGQPgoLgxayCx95MmwQz&#10;PSHT2R+f3tGLXgqaKqq+rjZHP6o9zXEIbCFbGVDEbXADdxZetw/XBagoyA7HwGThRBE29flZhaUL&#10;B36hfSOdSiUcS7TQi0yl1rHtyWNchYk4eR9h9ijpnDvtZjykcj/q3Jhb7XHgtNDjRPc9tZ/N4i2I&#10;4W0zLO9P8nhaf5nnfDR49Wbt5UVm7kAJHeUvDD/4CR3qxLQLC7uoRgvpEfnV5BVZkYPapVC2vilA&#10;15X+j19/A1BLAwQUAAAACACHTuJAD5SnBSQCAAAIBAAADgAAAGRycy9lMm9Eb2MueG1srVPNctMw&#10;EL4zwztodCe2848nTg8J5VIgMy0PoMhyrEHWaiQlTl6CF2CGE/QEnHrnaaA8Bis5KbRcesAHz0q7&#10;++3ut59mZ/tGkZ2wToIuaNZLKRGaQyn1pqBvr86fTSlxnumSKdCioAfh6Nn86ZNZa3LRhxpUKSxB&#10;EO3y1hS09t7kSeJ4LRrmemCERmcFtmEej3aTlJa1iN6opJ+m46QFWxoLXDiHt8vOSY+I9jGAUFWS&#10;iyXwbSO071CtUMzjSK6WxtF57LaqBPdvqsoJT1RBcVIf/1gE7XX4J/MZyzeWmVryYwvsMS08mKlh&#10;UmPRO6gl84xsrfwHqpHcgoPK9zg0STdIZASnyNIH3FzWzIg4C1LtzB3p7v/B8te7lSWyRCVMJ5Ro&#10;1uDKbz/c/Hz/+fbb1x+fbn59/xjsL9ckyyaBrta4HLMWemXDwHyvL80F8HeOaFjUTG9EbPvqYBAp&#10;CxnJvZRwcAaLrttXUGIM23qI3O0r2wRIZIXsC9ofTQbZsE/JAe108nw86LYl9p5w9OMKObqG0+Eo&#10;HcU6LD9BGOv8SwENCUZBnbdMbmq/AK1REmCzWJDtLpwPDbL8lBDqaziXSkVlKE3ago4HozQmOFCy&#10;DM4Q5uxmvVCW7FjQVvyOXdwLs7DVZQTzTKoXuiQ+UuOtRLKUoKFCI0pKlMAHGayuJaVDFRFFfOzz&#10;xF23hTWUh5UNweEeBRInOYo5KPDvc4z684DnvwF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DrqCo0&#10;1QAAAAYBAAAPAAAAAAAAAAEAIAAAACIAAABkcnMvZG93bnJldi54bWxQSwECFAAUAAAACACHTuJA&#10;D5SnBSQCAAAIBAAADgAAAAAAAAABACAAAAAkAQAAZHJzL2Uyb0RvYy54bWxQSwUGAAAAAAYABgBZ&#10;AQAAugUAAAAA&#10;">
                        <v:fill on="f" focussize="0,0"/>
                        <v:stroke weight="0.5pt" color="#000000" joinstyle="round" endarrow="block"/>
                        <v:imagedata o:title=""/>
                        <o:lock v:ext="edit" aspectratio="f"/>
                      </v:shape>
                      <v:shape id="文本框 118" o:spid="_x0000_s1026" o:spt="202" type="#_x0000_t202" style="position:absolute;left:1868805;top:40005;height:254000;width:1348105;" filled="f" stroked="f" coordsize="21600,21600" o:gfxdata="UEsDBAoAAAAAAIdO4kAAAAAAAAAAAAAAAAAEAAAAZHJzL1BLAwQUAAAACACHTuJAUj13vNQAAAAG&#10;AQAADwAAAGRycy9kb3ducmV2LnhtbE2PS0/DMBCE70j8B2uRuFE75aE0jdMDiCuI8pC4beNtEjVe&#10;R7HbhH/PwgUuI61mNPNtuZl9r040xi6whWxhQBHXwXXcWHh7fbzKQcWE7LAPTBa+KMKmOj8rsXBh&#10;4hc6bVOjpIRjgRbalIZC61i35DEuwkAs3j6MHpOcY6PdiJOU+14vjbnTHjuWhRYHum+pPmyP3sL7&#10;0/7z48Y8Nw/+dpjCbDT7lbb28iIza1CJ5vQXhh98QYdKmHbhyC6q3oI8kn5VvDzLl6B2EspW1zno&#10;qtT/8atvUEsDBBQAAAAIAIdO4kAarsSvJAIAADEEAAAOAAAAZHJzL2Uyb0RvYy54bWytU82O0zAQ&#10;viPxDpbvNElplxA1XS1bLUJafqSFB3Adp7FIPGbsNikPAG/AiQt3nqvPwdjp7pblsgcu0dgz/ma+&#10;b74szoeuZTuFToMpeTZJOVNGQqXNpuSfPl49yzlzXphKtGBUyffK8fPl0yeL3hZqCg20lUJGIMYV&#10;vS15470tksTJRnXCTcAqQ8kasBOejrhJKhQ9oXdtMk3Ts6QHrCyCVM7R7WpM8iMiPgYQ6lpLtQK5&#10;7ZTxIyqqVnii5BptHV/GaetaSf++rp3yrC05MfXxS00oXodvslyIYoPCNloeRxCPGeEBp05oQ03v&#10;oFbCC7ZF/Q9UpyWCg9pPJHTJSCQqQiyy9IE2N42wKnIhqZ29E939P1j5bvcBma7ICTkt3oiOVn74&#10;8f3w8/fh1zeWZXmQqLeuoMobS7V+eAUDlUe6zl6D/OyYgctGmI26QIS+UaKiEbPwMjl5OuK4ALLu&#10;30JFncTWQwQaauyCfqQIC+j5WZ6nc872JZ+lKUVxUWrwTIb081mehbSk/HQeKmIzUdziWHT+tYKO&#10;haDkSEaIfcTu2vkwlyhuS0JbA1e6bWOP1vx1QYXjjYpuOr4OrAKRkZIf1gO9DZdrqPbED2F0Gv1n&#10;FDSAXznryWUld1+2AhVn7RtDGr3MZrNgy3iYzV9M6YCnmfVpRhhJUCX3nI3hpR+tvLWoNw11Grdi&#10;4IJ0rXUkej/VcRvkpMj/6Ppg1dNzrLr/05d/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FI9d7zU&#10;AAAABgEAAA8AAAAAAAAAAQAgAAAAIgAAAGRycy9kb3ducmV2LnhtbFBLAQIUABQAAAAIAIdO4kAa&#10;rsSvJAIAADEEAAAOAAAAAAAAAAEAIAAAACMBAABkcnMvZTJvRG9jLnhtbFBLBQYAAAAABgAGAFkB&#10;AAC5BQAAAAA=&#10;">
                        <v:fill on="f" focussize="0,0"/>
                        <v:stroke on="f"/>
                        <v:imagedata o:title=""/>
                        <o:lock v:ext="edit" aspectratio="f"/>
                        <v:textbox>
                          <w:txbxContent>
                            <w:p>
                              <w:pPr>
                                <w:adjustRightInd w:val="0"/>
                                <w:snapToGrid w:val="0"/>
                                <w:jc w:val="center"/>
                              </w:pPr>
                              <w:r>
                                <w:rPr>
                                  <w:rFonts w:hint="eastAsia"/>
                                </w:rPr>
                                <w:t>锌合金锭、铝合金锭</w:t>
                              </w:r>
                            </w:p>
                          </w:txbxContent>
                        </v:textbox>
                      </v:shape>
                      <v:shape id="文本框 119" o:spid="_x0000_s1026" o:spt="202" type="#_x0000_t202" style="position:absolute;left:3418205;top:577215;height:462915;width:138239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D9XeLHTgIAAGoEAAAOAAAAZHJzL2Uyb0RvYy54bWytVEtu2zAQ3Rfo&#10;HQjuG31sJ7ZgOUhjpCiQfoC0B6ApyiIqcliStpQeoLlBV91033PlHB2STmqkmyyqhTCjGb6ZefOo&#10;5fmoerIX1knQNS1OckqE5tBIva3p509Xr+aUOM90w3rQoqa3wtHz1csXy8FUooQO+kZYgiDaVYOp&#10;aee9qbLM8U4o5k7ACI3BFqxiHl27zRrLBkRXfVbm+Wk2gG2MBS6cw6/rFKQHRPscQGhbycUa+E4J&#10;7ROqFT3zOJLrpHF0FbttW8H9h7Z1wpO+pjipj28sgvYmvLPVklVby0wn+aEF9pwWnsykmNRY9BFq&#10;zTwjOyv/gVKSW3DQ+hMOKkuDREZwiiJ/ws1Nx4yIsyDVzjyS7v4fLH+//2iJbFAJ8wUlmilc+f2P&#10;u/ufv+9/fSdFsQgUDcZVmHljMNePr2HE9DiuM9fAvzii4bJjeisurIWhE6zBFotwMjs6mnBcANkM&#10;76DBSmznIQKNrVWBP2SEIPpkWszLfEbJbU1nZ2dlMUubEqMnPFSfzMvJAuMcE6an5SIlZKx6ADLW&#10;+TcCFAlGTS0qIRZi+2vnQ2OsekgJdTVcyb6Paug1GWp6Opnl8cBRJBxYM9eRPUM5NWilrpT0eCV6&#10;qWo6z8MTJ2dVrwO0iDI8VA10BAYSF37cjAd6N9DcIjEWkkTxgqLRgf1GyYDyrKn7umNWUNK/1Uju&#10;ophOg56jM52dlejY48jmOMI0R6iaekqSeenTHdgZK7cdVkrr1HCBC2llJCi0mro6rBElGHk7XJeg&#10;8WM/Zv39Ra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dRRlvRAAAABgEAAA8AAAAAAAAAAQAg&#10;AAAAIgAAAGRycy9kb3ducmV2LnhtbFBLAQIUABQAAAAIAIdO4kD9XeLHTgIAAGoEAAAOAAAAAAAA&#10;AAEAIAAAACABAABkcnMvZTJvRG9jLnhtbFBLBQYAAAAABgAGAFkBAADgBQAAAAA=&#10;">
                        <v:fill on="f" focussize="0,0"/>
                        <v:stroke on="f" weight="0.5pt" miterlimit="8" joinstyle="miter" dashstyle="dash"/>
                        <v:imagedata o:title=""/>
                        <o:lock v:ext="edit" aspectratio="f"/>
                        <v:textbox>
                          <w:txbxContent>
                            <w:p>
                              <w:pPr>
                                <w:adjustRightInd w:val="0"/>
                                <w:snapToGrid w:val="0"/>
                                <w:jc w:val="left"/>
                              </w:pPr>
                              <w:r>
                                <w:rPr>
                                  <w:rFonts w:hint="eastAsia"/>
                                </w:rPr>
                                <w:t>烟尘（颗粒物）、铝/锌合金渣、噪声</w:t>
                              </w:r>
                            </w:p>
                          </w:txbxContent>
                        </v:textbox>
                      </v:shape>
                      <v:shape id="直接箭头连接符 120" o:spid="_x0000_s1026" o:spt="32" type="#_x0000_t32" style="position:absolute;left:3027484;top:814070;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AmrhgkLAIAACAEAAAOAAAAZHJzL2Uyb0RvYy54bWytU8Fy&#10;0zAQvTPDP2h0J7bT0AZPnB4SyqVAZ1o+QJFkW4Os1UhKnPwEP8AMJ+AEnHrna6B8Bis5KaVcesAH&#10;zcq7ervv6Wl2uu002UjnFZiKFqOcEmk4CGWair65OnsypcQHZgTTYGRFd9LT0/njR7PelnIMLWgh&#10;HUEQ48veVrQNwZZZ5nkrO+ZHYKXBZA2uYwG3rsmEYz2idzob5/lx1oMT1gGX3uPf5ZCke0T3EECo&#10;a8XlEvi6kyYMqE5qFpCSb5X1dJ6mrWvJw+u69jIQXVFkGtKKTTBexTWbz1jZOGZbxfcjsIeMcI9T&#10;x5TBprdQSxYYWTv1D1SnuAMPdRhx6LKBSFIEWRT5PW0uW2Zl4oJSe3sruv9/sPzV5sIRJdAJz1AT&#10;wzq88pv31z/ffbr59vXHx+tf3z/E+MtnUoyTXL31JZ5amAsXCfOtubTnwN96YmDRMtPINPbVziJS&#10;EQXO/joSN95i01X/EgTWsHWApN22dl2ERFXItqJH+fhkMp1QsqvotJjkJ/vbkttAeMxjQY4zc8yn&#10;VMbKA4R1PryQ0JEYVNQHx1TThgUYg5YAV6SGbHPuQxyQlYcDsb+BM6V1coY2pK/o8dHTPB3woJWI&#10;yVjmXbNaaEc2LHorfYktZu6WReQl8+1QJzAaTOdgbURqEpjSz40gIUkWnEIRtaSxcycFJVriQ43R&#10;MKo2sbtM5t7Pf9A02t6XKxC7CxeL4w6NkxjuTR6deXefqv487Pl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Arc5NcAAAAGAQAADwAAAAAAAAABACAAAAAiAAAAZHJzL2Rvd25yZXYueG1sUEsBAhQA&#10;FAAAAAgAh07iQCauGCQsAgAAIAQAAA4AAAAAAAAAAQAgAAAAJgEAAGRycy9lMm9Eb2MueG1sUEsF&#10;BgAAAAAGAAYAWQEAAMQFAAAAAA==&#10;">
                        <v:fill on="f" focussize="0,0"/>
                        <v:stroke weight="0.5pt" color="#000000" joinstyle="round" dashstyle="dash" endarrow="block"/>
                        <v:imagedata o:title=""/>
                        <o:lock v:ext="edit" aspectratio="f"/>
                      </v:shape>
                      <v:shape id="文本框 121" o:spid="_x0000_s1026" o:spt="202" type="#_x0000_t202" style="position:absolute;left:2137849;top:1231900;height:248285;width:89662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BwoU2rUAIAAHsEAAAOAAAAZHJzL2Uyb0RvYy54bWytVEtu&#10;2zAQ3RfoHQjua1mK7diC5SBNkKJA+gHSHoCmKIsoyWFJ2lJ6gOYGXXXTfc+Vc3RIKamRbrKoFgKp&#10;eXwz8+ZR67NeK3IQzkswFc0nU0qE4VBLs6vo509Xr5aU+MBMzRQYUdFb4enZ5uWLdWdLUUALqhaO&#10;IInxZWcr2oZgyyzzvBWa+QlYYTDYgNMs4NbtstqxDtm1yorpdJF14GrrgAvv8evlEKQjo3sOITSN&#10;5OIS+F4LEwZWJxQL2JJvpfV0k6ptGsHDh6bxIhBVUew0pDcmwfU2vrPNmpU7x2wr+VgCe04JT3rS&#10;TBpM+kh1yQIjeyf/odKSO/DQhAkHnQ2NJEWwi3z6RJubllmRekGpvX0U3f8/Wv7+8NERWaMTVjkl&#10;hmkc+f2Pu/ufv+9/fSd5kUeJOutLRN5YxIb+NfQIT+16ew38iycGLlpmduLcOehawWosMZ3Mjo4O&#10;PD6SbLt3UGMmtg+QiPrG6agfKkKQvchPTpezFSW3yFOc5KvpOCrRB8IRsFwtFgUOkSOgmC2L5TzW&#10;mbHygcg6H94I0CQuKurQCSkRO1z7MEAfIDGvgSupVHKDMqSr6OJkPh1aBCXrGIww73bbC+XIgUU/&#10;pWfM649hWga8I0pqLPQYpEwkEcmXYxlRnyjJIE7ot/2o9xbqW1TKweBZvLG4aMF9o6RDv1bUf90z&#10;JyhRbw2qvcpns2jwtJnNT6M47jiyPY4ww5GqooGSYXkRhkuxt07uWsw0zNfAOU6okUmxWOpQFSod&#10;N+jJpPl4f6Lpj/cJ9fefsfk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YjIo/NcAAAAGAQAADwAA&#10;AAAAAAABACAAAAAiAAAAZHJzL2Rvd25yZXYueG1sUEsBAhQAFAAAAAgAh07iQHChTatQAgAAewQA&#10;AA4AAAAAAAAAAQAgAAAAJgEAAGRycy9lMm9Eb2MueG1sUEsFBgAAAAAGAAYAWQEAAOgFAAAAAA==&#10;">
                        <v:fill on="f" focussize="0,0"/>
                        <v:stroke weight="0.5pt" color="#000000" miterlimit="8" joinstyle="miter"/>
                        <v:imagedata o:title=""/>
                        <o:lock v:ext="edit" aspectratio="f"/>
                        <v:textbox>
                          <w:txbxContent>
                            <w:p>
                              <w:pPr>
                                <w:adjustRightInd w:val="0"/>
                                <w:snapToGrid w:val="0"/>
                                <w:jc w:val="center"/>
                              </w:pPr>
                              <w:r>
                                <w:rPr>
                                  <w:rFonts w:hint="eastAsia"/>
                                </w:rPr>
                                <w:t>压铸成型</w:t>
                              </w:r>
                            </w:p>
                          </w:txbxContent>
                        </v:textbox>
                      </v:shape>
                      <v:shape id="直接箭头连接符 122" o:spid="_x0000_s1026" o:spt="32" type="#_x0000_t32" style="position:absolute;left:2442649;top:1085215;flip:y;height:0;width:280035;rotation:-5898240f;" filled="f" stroked="t" coordsize="21600,21600" o:gfxdata="UEsDBAoAAAAAAIdO4kAAAAAAAAAAAAAAAAAEAAAAZHJzL1BLAwQUAAAACACHTuJAAelmNtYAAAAG&#10;AQAADwAAAGRycy9kb3ducmV2LnhtbE2PQUvDQBCF74L/YRnBm92kFokxmx6UUBCsWAU9TrNjEszO&#10;huy2Tf69oxe9DAzvzZvvFevJ9epIY+g8G0gXCSji2tuOGwNvr9VVBipEZIu9ZzIwU4B1eX5WYG79&#10;iV/ouIuNkhAOORpoYxxyrUPdksOw8AOxaJ9+dBhlHRttRzxJuOv1MklutMOO5UOLA923VH/tDk4w&#10;qqfV9n27qabp42GOj89dtdrMxlxepMkdqEhT/DPDD77cQClMe39gG1RvQIrE3ylalmZLUHsxpbfX&#10;Geiy0P/xy29QSwMEFAAAAAgAh07iQHY4gnYyAgAAIQQAAA4AAABkcnMvZTJvRG9jLnhtbK1TsXIT&#10;MRDtmeEfNOrxnS+2x/H4nMImNAEyk0Av63R3GiStRpJ99k/wA8xQQSqgSs/XQPgMVjqTkNCk4Iqb&#10;lXb37b63q/nJTiuyFc5LMCUdDnJKhOFQSdOU9M3l6bMpJT4wUzEFRpR0Lzw9WTx9Mu/sTBTQgqqE&#10;Iwhi/KyzJW1DsLMs87wVmvkBWGHQWYPTLODRNVnlWIfoWmVFnk+yDlxlHXDhPd6ueic9ILrHAEJd&#10;Sy5WwDdamNCjOqFYQEq+ldbTReq2rgUPr+vai0BUSZFpSH8sgvY6/rPFnM0ax2wr+aEF9pgWHnDS&#10;TBosegu1YoGRjZP/QGnJHXiow4CDznoiSRFkMcwfaHPRMisSF5Ta21vR/f+D5a+2547ICjfhuKDE&#10;MI0jv/lw/fP955tvX398uv71/WO0v1yRYVFEuTrrZ5i1NOcuEuY7c2HPgL/zxMCyZaYRqe3LvUWk&#10;YczI7qXEg7dYdN29hApj2CZA0m5XO00c4IzGozx+lNRK2rcRJpZCtciupMVoVExGx5Ts0ZFPx8Vw&#10;3I9R7ALhMWCa50djSjgGpAlnbBaxI4Z1PrwQoEk0SuqDY7JpwxKMwV0B11di2zMfYud3CTHZwKlU&#10;Kq2MMqQr6eRonKfWPChZRWcM865ZL5UjWxaXrmfSg90Lc7AxVQILTKrnpiIhaRacRBWVoLGCFhUl&#10;SuBLjVaPokysItJ2H/r8I2o/njVU+3MXg+M9bk5ictjyuJp/n1PU3cte/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B6WY21gAAAAYBAAAPAAAAAAAAAAEAIAAAACIAAABkcnMvZG93bnJldi54bWxQ&#10;SwECFAAUAAAACACHTuJAdjiCdjICAAAhBAAADgAAAAAAAAABACAAAAAlAQAAZHJzL2Uyb0RvYy54&#10;bWxQSwUGAAAAAAYABgBZAQAAyQUAAAAA&#10;">
                        <v:fill on="f" focussize="0,0"/>
                        <v:stroke weight="0.5pt" color="#000000" joinstyle="round" endarrow="block"/>
                        <v:imagedata o:title=""/>
                        <o:lock v:ext="edit" aspectratio="f"/>
                      </v:shape>
                      <v:shape id="文本框 123" o:spid="_x0000_s1026" o:spt="202" type="#_x0000_t202" style="position:absolute;left:3420110;top:1047115;height:612775;width:132080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AKIUShTAIAAGsEAAAOAAAAZHJzL2Uyb0RvYy54bWytVM1u2zAMvg/Y&#10;Owi6r7aTtGmNOEXXoMOA7gfo9gCMLMfCLFGTlNjdA6xvsNMuu++5+hyj5LQLuksP88EgTeoj+fGT&#10;F+eD7thOOq/QVLw4yjmTRmCtzKbinz9dvTrlzAcwNXRoZMVvpefny5cvFr0t5QRb7GrpGIEYX/a2&#10;4m0ItswyL1qpwR+hlYaCDToNgVy3yWoHPaHrLpvk+UnWo6utQyG9p6+rMcj3iO45gNg0SsgViq2W&#10;JoyoTnYQaCTfKuv5MnXbNFKED03jZWBdxWnSkN5UhOx1fGfLBZQbB7ZVYt8CPKeFJzNpUIaKPkKt&#10;IADbOvUPlFbCoccmHAnU2ThIYoSmKPIn3Ny0YGWahaj29pF0//9gxfvdR8dUTUo4m3JmQNPK73/c&#10;3f/8ff/rOysm00hRb31JmTeWcsPwGgdKT+N6e43ii2cGL1swG3nhHPathJpaLOLJ7ODoiOMjyLp/&#10;hzVVgm3ABDQ0Tkf+iBFG6NMZ0VHQkm4JJ5/Ni+J4XJUcAhOx/HSSn+aUICjjpJjM5ykhg/IByTof&#10;3kjULBoVdySFVAl21z7EzqB8SImFDV6prkty6AzrCXR6nKcDB5F4YAW+ZTsgPdVkjV1pFehOdEpX&#10;nJqiJ40OZWcitEw63FeNfEQKRjLCsB72/K6xviVmHI4apRtKRovuG2c96bPi/usWnOSse2uI3bNi&#10;NouCTs7seD4hxx1G1ocRMIKgKh44G83LMF6CrXVq01KlcZ8GL2gjjUoExVbHrvZ7JA0m3vb3JYr8&#10;0E9Zf/8Ryz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XUUZb0QAAAAYBAAAPAAAAAAAAAAEAIAAA&#10;ACIAAABkcnMvZG93bnJldi54bWxQSwECFAAUAAAACACHTuJACiFEoUwCAABrBAAADgAAAAAAAAAB&#10;ACAAAAAgAQAAZHJzL2Uyb0RvYy54bWxQSwUGAAAAAAYABgBZAQAA3gUAAAAA&#10;">
                        <v:fill on="f" focussize="0,0"/>
                        <v:stroke on="f" weight="0.5pt" miterlimit="8" joinstyle="miter" dashstyle="dash"/>
                        <v:imagedata o:title=""/>
                        <o:lock v:ext="edit" aspectratio="f"/>
                        <v:textbox>
                          <w:txbxContent>
                            <w:p>
                              <w:pPr>
                                <w:adjustRightInd w:val="0"/>
                                <w:snapToGrid w:val="0"/>
                              </w:pPr>
                              <w:r>
                                <w:rPr>
                                  <w:rFonts w:hint="eastAsia"/>
                                </w:rPr>
                                <w:t>烟尘（颗粒物）、有机废气（非甲烷总烃）、噪声</w:t>
                              </w:r>
                            </w:p>
                          </w:txbxContent>
                        </v:textbox>
                      </v:shape>
                      <v:shape id="直接箭头连接符 124" o:spid="_x0000_s1026" o:spt="32" type="#_x0000_t32" style="position:absolute;left:3042724;top:1363980;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DIcuvILgIAACEEAAAOAAAAZHJzL2Uyb0RvYy54bWytU81y&#10;0zAQvjPDO2h0J3Z+CK0nTg8J5VIgMy0PoEiyrUHWaiQlTl6CF2CGE3ACTr3zNFAeg5WclFIuPeCD&#10;Z+Xd/Xa/T59nZ7tWk610XoEp6XCQUyINB6FMXdI3V+dPTijxgRnBNBhZ0r309Gz++NGss4UcQQNa&#10;SEcQxPiisyVtQrBFlnneyJb5AVhpMFmBa1nAo6sz4ViH6K3ORnk+zTpwwjrg0nv8uuyT9IDoHgII&#10;VaW4XALftNKEHtVJzQJS8o2yns7TtlUleXhdVV4GokuKTEN64xCM1/GdzWesqB2zjeKHFdhDVrjH&#10;qWXK4NBbqCULjGyc+geqVdyBhyoMOLRZTyQpgiyG+T1tLhtmZeKCUnt7K7r/f7D81XbliBLohNMJ&#10;JYa1eOU3769/vvt08+3rj4/Xv75/iPGXz2Q4mkS5OusL7FqYlYuE+c5c2gvgbz0xsGiYqWVa+2pv&#10;EWkYO7K/WuLBWxy67l6CwBq2CZC021WujZCoCtmVdJxPRs9wJtkjzng6Pj05XJfcBcJjwThHQ1HC&#10;sSClMlYcMazz4YWElsSgpD44puomLMAY9AS4YZrIthc+xA1ZcWyICxg4V1ona2hDupJOx0/z1OBB&#10;KxGTscy7er3QjmxZNFd6El3M3C2LyEvmm75OYNS7zsHGiDQkMKWfG0FC0iw4hSpqSePkVgpKtMQ/&#10;NUb9qtrE6TK5+7D/UdT+etYg9isXi+N3dE5ieHB5tObdc6r682fPfwN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ICtzk1wAAAAYBAAAPAAAAAAAAAAEAIAAAACIAAABkcnMvZG93bnJldi54bWxQSwEC&#10;FAAUAAAACACHTuJAyHLryC4CAAAhBAAADgAAAAAAAAABACAAAAAmAQAAZHJzL2Uyb0RvYy54bWxQ&#10;SwUGAAAAAAYABgBZAQAAxgUAAAAA&#10;">
                        <v:fill on="f" focussize="0,0"/>
                        <v:stroke weight="0.5pt" color="#000000" joinstyle="round" dashstyle="dash" endarrow="block"/>
                        <v:imagedata o:title=""/>
                        <o:lock v:ext="edit" aspectratio="f"/>
                      </v:shape>
                      <v:shape id="直接箭头连接符 126" o:spid="_x0000_s1026" o:spt="32" type="#_x0000_t32" style="position:absolute;left:2471224;top:2176780;flip:y;height:0;width:267335;rotation:-5898240f;" filled="f" stroked="t" coordsize="21600,21600" o:gfxdata="UEsDBAoAAAAAAIdO4kAAAAAAAAAAAAAAAAAEAAAAZHJzL1BLAwQUAAAACACHTuJAAelmNtYAAAAG&#10;AQAADwAAAGRycy9kb3ducmV2LnhtbE2PQUvDQBCF74L/YRnBm92kFokxmx6UUBCsWAU9TrNjEszO&#10;huy2Tf69oxe9DAzvzZvvFevJ9epIY+g8G0gXCSji2tuOGwNvr9VVBipEZIu9ZzIwU4B1eX5WYG79&#10;iV/ouIuNkhAOORpoYxxyrUPdksOw8AOxaJ9+dBhlHRttRzxJuOv1MklutMOO5UOLA923VH/tDk4w&#10;qqfV9n27qabp42GOj89dtdrMxlxepMkdqEhT/DPDD77cQClMe39gG1RvQIrE3ylalmZLUHsxpbfX&#10;Geiy0P/xy29QSwMEFAAAAAgAh07iQOpp+3AxAgAAIQQAAA4AAABkcnMvZTJvRG9jLnhtbK1TvXIT&#10;MRDumeEdNOrx3fk3eHxOYROaAJ5JoJd1Op8GSauRZJ/9ErwAM1RABVTpeRoIj8FKZxISmhRccbPS&#10;7n6737er2eleK7ITzkswJS16OSXCcKik2ZT09eXZkxNKfGCmYgqMKOlBeHo6f/xo1tqp6EMDqhKO&#10;IIjx09aWtAnBTrPM80Zo5ntghUFnDU6zgEe3ySrHWkTXKuvn+ThrwVXWARfe4+2yc9IjonsIINS1&#10;5GIJfKuFCR2qE4oFpOQbaT2dp27rWvDwqq69CESVFJmG9MciaK/jP5vP2HTjmG0kP7bAHtLCPU6a&#10;SYNFb6CWLDCydfIfKC25Aw916HHQWUckKYIsivyeNhcNsyJxQam9vRHd/z9Y/nK3ckRWuAlPx5QY&#10;pnHk1++vfr77dP3t64+PV7++f4j2l8+k6I+jXK31U8xamJWLhPneXNhz4G89MbBomNmI1PblwSJS&#10;ETOyOynx4C0WXbcvoMIYtg2QtNvXThMHOKPRMI8fJbWS9k2EiaVQLbIvaX84Kfr9ISUHtIvJeHJy&#10;HKPYB8JjwHgyGIwo4RiQXBmbRuyIYZ0PzwVoEo2S+uCY3DRhAcbgroDrKrHduQ+x89uEmGzgTCqV&#10;VkYZ0pZ0PBjlqTUPSlbRGcO826wXypEdi0vXMenA7oQ52JoqgQUm1TNTkZA0C06iikrQWEGLihIl&#10;8KVGq0NRJlYRabuPff4RtRvPGqrDysXgeI+bk5gctzyu5t/nFHX7sue/A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HpZjbWAAAABgEAAA8AAAAAAAAAAQAgAAAAIgAAAGRycy9kb3ducmV2LnhtbFBL&#10;AQIUABQAAAAIAIdO4kDqaftwMQIAACEEAAAOAAAAAAAAAAEAIAAAACUBAABkcnMvZTJvRG9jLnht&#10;bFBLBQYAAAAABgAGAFkBAADIBQAAAAA=&#10;">
                        <v:fill on="f" focussize="0,0"/>
                        <v:stroke weight="0.5pt" color="#000000" joinstyle="round" endarrow="block"/>
                        <v:imagedata o:title=""/>
                        <o:lock v:ext="edit" aspectratio="f"/>
                      </v:shape>
                      <v:shape id="文本框 129" o:spid="_x0000_s1026" o:spt="202" type="#_x0000_t202" style="position:absolute;left:2175314;top:3383280;height:248920;width:89662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B0GFpGUAIAAHsEAAAOAAAAZHJzL2Uyb0RvYy54bWytVEtu&#10;2zAQ3RfoHQjuG1my49hC5CC1kaJA+gHSHoCmKIsoyWFJ2lJ6gPYGXXXTfc+Vc3RIKYmRbrKoFsSQ&#10;8/hm5s1Q5xe9VuQgnJdgKpqfTCgRhkMtza6inz9dvVpQ4gMzNVNgREVvhacXq5cvzjtbigJaULVw&#10;BEmMLztb0TYEW2aZ563QzJ+AFQadDTjNAm7dLqsd65Bdq6yYTOZZB662DrjwHk83g5OOjO45hNA0&#10;kosN8L0WJgysTigWsCTfSuvpKmXbNIKHD03jRSCqolhpSCsGQXsb12x1zsqdY7aVfEyBPSeFJzVp&#10;Jg0GfaDasMDI3sl/qLTkDjw04YSDzoZCkiJYRT55os1Ny6xItaDU3j6I7v8fLX9/+OiIrHESlmeU&#10;GKax5Xc/f9z9+nP3+zvJi2WUqLO+ROSNRWzoX0OP8FSut9fAv3hiYN0ysxOXzkHXClZjinm8mR1d&#10;HXh8JNl276DGSGwfIBH1jdNRP1SEIHuRn51O8xkltxWdThfTYjG2SvSBcAQslvN5gU3kCChmiyXa&#10;MRor74ms8+GNAE2iUVGHk5ACscO1DwP0HhLjGriSSuE5K5UhXUXn09PJUCIoWUdn9Hm3266VIwcW&#10;5yl9Y1x/DNMy4BtRUmOixyBlIolIczmmEfWJkgzihH7bYxLxcAv1LSrlYJhZfLFotOC+UdLhvFbU&#10;f90zJyhRbw2qvcxnszjgaTM7PYviuGPP9tjDDEeqigZKBnMdhkext07uWow09NfAJXaokUmxx6zG&#10;vuJMJs3H9xOH/nifUI//jNV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YjIo/NcAAAAGAQAADwAA&#10;AAAAAAABACAAAAAiAAAAZHJzL2Rvd25yZXYueG1sUEsBAhQAFAAAAAgAh07iQHQYWkZQAgAAewQA&#10;AA4AAAAAAAAAAQAgAAAAJgEAAGRycy9lMm9Eb2MueG1sUEsFBgAAAAAGAAYAWQEAAOgFAAAAAA==&#10;">
                        <v:fill on="f" focussize="0,0"/>
                        <v:stroke weight="0.5pt" color="#000000" miterlimit="8" joinstyle="miter"/>
                        <v:imagedata o:title=""/>
                        <o:lock v:ext="edit" aspectratio="f"/>
                        <v:textbox>
                          <w:txbxContent>
                            <w:p>
                              <w:pPr>
                                <w:jc w:val="center"/>
                              </w:pPr>
                              <w:r>
                                <w:rPr>
                                  <w:rFonts w:hint="eastAsia"/>
                                </w:rPr>
                                <w:t>钻孔</w:t>
                              </w:r>
                            </w:p>
                          </w:txbxContent>
                        </v:textbox>
                      </v:shape>
                      <v:shape id="直接箭头连接符 130" o:spid="_x0000_s1026" o:spt="32" type="#_x0000_t32" style="position:absolute;left:2492814;top:2720975;flip:y;height:0;width:267335;rotation:-5898240f;" filled="f" stroked="t" coordsize="21600,21600" o:gfxdata="UEsDBAoAAAAAAIdO4kAAAAAAAAAAAAAAAAAEAAAAZHJzL1BLAwQUAAAACACHTuJAAelmNtYAAAAG&#10;AQAADwAAAGRycy9kb3ducmV2LnhtbE2PQUvDQBCF74L/YRnBm92kFokxmx6UUBCsWAU9TrNjEszO&#10;huy2Tf69oxe9DAzvzZvvFevJ9epIY+g8G0gXCSji2tuOGwNvr9VVBipEZIu9ZzIwU4B1eX5WYG79&#10;iV/ouIuNkhAOORpoYxxyrUPdksOw8AOxaJ9+dBhlHRttRzxJuOv1MklutMOO5UOLA923VH/tDk4w&#10;qqfV9n27qabp42GOj89dtdrMxlxepMkdqEhT/DPDD77cQClMe39gG1RvQIrE3ylalmZLUHsxpbfX&#10;Geiy0P/xy29QSwMEFAAAAAgAh07iQLyXmacyAgAAIQQAAA4AAABkcnMvZTJvRG9jLnhtbK1TzXLT&#10;MBC+M8M7aHQndv4bT5weEsqlQGZauCuybGuQtRpJiZOX4AWY4UQ5AafeeRooj8FKDi0tlx7wQbNr&#10;rb7d79On+em+UWQnrJOgc9rvpZQIzaGQusrpm8uzZyeUOM90wRRokdODcPR08fTJvDWZGEANqhCW&#10;IIh2WWtyWntvsiRxvBYNcz0wQuNmCbZhHlNbJYVlLaI3Khmk6SRpwRbGAhfO4d9Vt0mPiPYxgFCW&#10;kosV8G0jtO9QrVDMIyVXS+PoIk5bloL712XphCcqp8jUxxWbYLwJa7KYs6yyzNSSH0dgjxnhAaeG&#10;SY1Nb6FWzDOytfIfqEZyCw5K3+PQJB2RqAiy6KcPtLmomRGRC0rtzK3o7v/B8le7tSWyQCfM8OI1&#10;a/DKbz5c/3x/dfPt649P17++fwzxl8+kP4xytcZleGqp1zYQ5nt9Yc6Bv3NEw7JmuhJx7MuDQaR+&#10;EDi5dyQkzmDTTfsSCqxhWw9Ru31pG2IB72g8SsNHSamkeRtgQitUi+xzOhjNBif9ESUHjKeDdDYd&#10;d9co9p7wUDCZDodjSjgWxJETlgXsgGGs8y8ENCQEOXXeMlnVfglao1fAdp3Y7tz5MPndgXBYw5lU&#10;KlpGadLmdDIcp3E0B0oWYTOUOVttlsqSHQum65h0YPfKLGx1EcE8k+q5LoiPmnkrUUUlaOjQiIIS&#10;JfClhqhDUTp0EdHdxzn/iBp877INFIe1DcUhQ+dEJkeXB2v+ncequ5e9+A1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B6WY21gAAAAYBAAAPAAAAAAAAAAEAIAAAACIAAABkcnMvZG93bnJldi54bWxQ&#10;SwECFAAUAAAACACHTuJAvJeZpzICAAAhBAAADgAAAAAAAAABACAAAAAlAQAAZHJzL2Uyb0RvYy54&#10;bWxQSwUGAAAAAAYABgBZAQAAyQUAAAAA&#10;">
                        <v:fill on="f" focussize="0,0"/>
                        <v:stroke weight="0.5pt" color="#000000" joinstyle="round" endarrow="block"/>
                        <v:imagedata o:title=""/>
                        <o:lock v:ext="edit" aspectratio="f"/>
                      </v:shape>
                      <v:shape id="直接箭头连接符 131" o:spid="_x0000_s1026" o:spt="32" type="#_x0000_t32" style="position:absolute;left:2502339;top:3777615;flip:y;height:0;width:267335;rotation:-5898240f;" filled="f" stroked="t" coordsize="21600,21600" o:gfxdata="UEsDBAoAAAAAAIdO4kAAAAAAAAAAAAAAAAAEAAAAZHJzL1BLAwQUAAAACACHTuJAAelmNtYAAAAG&#10;AQAADwAAAGRycy9kb3ducmV2LnhtbE2PQUvDQBCF74L/YRnBm92kFokxmx6UUBCsWAU9TrNjEszO&#10;huy2Tf69oxe9DAzvzZvvFevJ9epIY+g8G0gXCSji2tuOGwNvr9VVBipEZIu9ZzIwU4B1eX5WYG79&#10;iV/ouIuNkhAOORpoYxxyrUPdksOw8AOxaJ9+dBhlHRttRzxJuOv1MklutMOO5UOLA923VH/tDk4w&#10;qqfV9n27qabp42GOj89dtdrMxlxepMkdqEhT/DPDD77cQClMe39gG1RvQIrE3ylalmZLUHsxpbfX&#10;Geiy0P/xy29QSwMEFAAAAAgAh07iQHlIVZEzAgAAIQQAAA4AAABkcnMvZTJvRG9jLnhtbK1TvXIT&#10;MRDumeEdNOrJnX3YJh6fU9iEJoBnEuhlSXenQafVSLLPfglegBkqQgVU6XkaCI/BSucEEpoUXHGj&#10;n91v9/v20+xk12qylc4rMCUdHOWUSMNBKFOX9M3F6ZNnlPjAjGAajCzpXnp6Mn/8aNbZqRxCA1pI&#10;RxDE+GlnS9qEYKdZ5nkjW+aPwEqDlxW4lgXcujoTjnWI3upsmOfjrAMnrAMuvcfTZX9JD4juIYBQ&#10;VYrLJfBNK03oUZ3ULCAl3yjr6Tx1W1WSh9dV5WUguqTINKQ/FsH1Ov6z+YxNa8dso/ihBfaQFu5x&#10;apkyWPQWaskCIxun/oFqFXfgoQpHHNqsJ5IUQRaD/J425w2zMnFBqb29Fd3/P1j+artyRAl0wvEx&#10;JYa1OPLrD1c/319ef/v649PVr+8f4/rLZzIoBlGuzvopZi3MykXCfGfO7Rnwd54YWDTM1DK1fbG3&#10;iJQysjspceMtFl13L0FgDNsESNrtKtcSBzij0dM8fpRUWtm3ESaWQrXIrqTDUT4sCmx2X9JiMpmM&#10;B6N+jHIXCI8B40lRjCjhGJAmnLFpxI4Y1vnwQkJL4qKkPjim6iYswBj0Cri+Etue+YBcMfEmISYb&#10;OFVaJ8toQ7qSjotRnlrzoJWIlzHMu3q90I5sWTRdz6QHuxPmYGNEAgtM6edGkJA0C06hilrSWKGV&#10;ghIt8aXGVY+iTawik7sPfd6I2o9nDWK/cjE4nqNzEpODy6M1/96nqD8ve/4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AelmNtYAAAAGAQAADwAAAAAAAAABACAAAAAiAAAAZHJzL2Rvd25yZXYueG1s&#10;UEsBAhQAFAAAAAgAh07iQHlIVZEzAgAAIQQAAA4AAAAAAAAAAQAgAAAAJQEAAGRycy9lMm9Eb2Mu&#10;eG1sUEsFBgAAAAAGAAYAWQEAAMoFAAAAAA==&#10;">
                        <v:fill on="f" focussize="0,0"/>
                        <v:stroke weight="0.5pt" color="#000000" joinstyle="round" endarrow="block"/>
                        <v:imagedata o:title=""/>
                        <o:lock v:ext="edit" aspectratio="f"/>
                      </v:shape>
                      <v:shape id="文本框 133" o:spid="_x0000_s1026" o:spt="202" type="#_x0000_t202" style="position:absolute;left:3496310;top:3903980;height:254000;width:118872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A1NMGmSQIAAGsEAAAOAAAAZHJzL2Uyb0RvYy54bWytVM2O0zAQviPx&#10;DpbvNEn/aKOmq2WrRUjLj7TwAK7jNBaxx9huk/IA8AacuHDnufocjJ1sqZbLHrhE4874+2a++dzV&#10;VacachDWSdAFzUYpJUJzKKXeFfTTx9sXC0qcZ7pkDWhR0KNw9Gr9/NmqNbkYQw1NKSxBEO3y1hS0&#10;9t7kSeJ4LRRzIzBCY7ICq5jHo90lpWUtoqsmGafpPGnBlsYCF87hr5s+SQdE+xRAqCrJxQb4Xgnt&#10;e1QrGuZxJFdL4+g6dltVgvv3VeWEJ01BcVIfv0iC8TZ8k/WK5TvLTC350AJ7SguPZlJMaiQ9Q22Y&#10;Z2Rv5T9QSnILDio/4qCSfpCoCE6RpY+0ua+ZEXEWlNqZs+ju/8Hyd4cPlsiyoMhPiWYKV3768f30&#10;8/fp1zeSTSZBota4HCvvDdb67hV0aJw4rjN3wD87ouGmZnonrq2FthasxBazcDO5uNrjuACybd9C&#10;iUxs7yECdZVVQT9UhCD6ZLqcTzJc0hHjZTpZLoZVic4THuizxeLlGAs4Voxn0zSNBQnLH5CMdf61&#10;AEVCUFCLVohM7HDnfOiM5Q8lgVjDrWyaaIdGk7ag88ksjRcuMuHChrmaHBj6qcSoN5CSHt9EI1VB&#10;F9jJuZdGB2gRfTiwBj2CBL0Yvtt2g75bKI+ojIXeo/hCMajBfqWkRX8W1H3ZMysoad5oVHeZTafB&#10;0PEwnUUt7GVme5lhmiNUQT0lfXjj+0ewN1buamTq96nhGjdSyShQaLXvatgjejDqNryXYPLLc6z6&#10;+x+x/gN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XUUZb0QAAAAYBAAAPAAAAAAAAAAEAIAAAACIA&#10;AABkcnMvZG93bnJldi54bWxQSwECFAAUAAAACACHTuJANTTBpkkCAABrBAAADgAAAAAAAAABACAA&#10;AAAgAQAAZHJzL2Uyb0RvYy54bWxQSwUGAAAAAAYABgBZAQAA2wUAAAAA&#10;">
                        <v:fill on="f" focussize="0,0"/>
                        <v:stroke on="f" weight="0.5pt" miterlimit="8" joinstyle="miter" dashstyle="dash"/>
                        <v:imagedata o:title=""/>
                        <o:lock v:ext="edit" aspectratio="f"/>
                        <v:textbox>
                          <w:txbxContent>
                            <w:p>
                              <w:pPr>
                                <w:adjustRightInd w:val="0"/>
                                <w:snapToGrid w:val="0"/>
                                <w:jc w:val="left"/>
                              </w:pPr>
                              <w:r>
                                <w:rPr>
                                  <w:rFonts w:hint="eastAsia"/>
                                </w:rPr>
                                <w:t>攻牙碎屑、噪声</w:t>
                              </w:r>
                            </w:p>
                          </w:txbxContent>
                        </v:textbox>
                      </v:shape>
                      <v:shape id="直接箭头连接符 134" o:spid="_x0000_s1026" o:spt="32" type="#_x0000_t32" style="position:absolute;left:3096064;top:4018280;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CQiyb7LgIAACEEAAAOAAAAZHJzL2Uyb0RvYy54bWytU8GO&#10;0zAQvSPxD5bvNElbqhI13UPLclmg0i4f4NpOY+F4LNtt2p/gB5A4ASfgtHe+BpbPYOy0y7Jc9kAO&#10;0Tgz82be88vsbN9qspPOKzAVLQY5JdJwEMpsKvrm6vzJlBIfmBFMg5EVPUhPz+aPH806W8ohNKCF&#10;dARBjC87W9EmBFtmmeeNbJkfgJUGkzW4lgU8uk0mHOsQvdXZMM8nWQdOWAdceo9fl32SHhHdQwCh&#10;rhWXS+DbVprQozqpWUBKvlHW03natq4lD6/r2stAdEWRaUhvHILxOr6z+YyVG8dso/hxBfaQFe5x&#10;apkyOPQWaskCI1un/oFqFXfgoQ4DDm3WE0mKIIsiv6fNZcOsTFxQam9vRff/D5a/2q0cUaKiw3xI&#10;iWEtXvnN++uf7z7dfPv64+P1r+8fYvzlMylG4yhXZ32JXQuzcpEw35tLewH8rScGFg0zG5nWvjpY&#10;RCpiR/ZXSzx4i0PX3UsQWMO2AZJ2+9q1ERJVIfuKjvJnk3wypuRQ0XFeTIfT43XJfSA8FoxyNBQl&#10;HAtSKmPlCcM6H15IaEkMKuqDY2rThAUYg54AV6SJbHfhQ9yQlaeGuICBc6V1soY2pKvoZPQ0Tw0e&#10;tBIxGcu826wX2pEdi+ZKT6KLmbtlEXnJfNPXCYx61znYGpGGBKb0cyNISJoFp1BFLWmc3EpBiZb4&#10;p8aoX1WbOF0mdx/3P4naX88axGHlYnH8js5JDI8uj9a8e05Vf/7s+W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ICtzk1wAAAAYBAAAPAAAAAAAAAAEAIAAAACIAAABkcnMvZG93bnJldi54bWxQSwEC&#10;FAAUAAAACACHTuJAkIsm+y4CAAAhBAAADgAAAAAAAAABACAAAAAmAQAAZHJzL2Uyb0RvYy54bWxQ&#10;SwUGAAAAAAYABgBZAQAAxgUAAAAA&#10;">
                        <v:fill on="f" focussize="0,0"/>
                        <v:stroke weight="0.5pt" color="#000000" joinstyle="round" dashstyle="dash" endarrow="block"/>
                        <v:imagedata o:title=""/>
                        <o:lock v:ext="edit" aspectratio="f"/>
                      </v:shape>
                      <v:shape id="文本框 142" o:spid="_x0000_s1026" o:spt="202" type="#_x0000_t202" style="position:absolute;left:3522149;top:2284730;height:254000;width:108648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B1ZJt5TAIAAGsEAAAOAAAAZHJzL2Uyb0RvYy54bWytVEtu2zAQ3Rfo&#10;HQjuG30sJ45gOUhjpCiQfoC0B6ApyiIqcliStpQeoLlBV91033PlHB1Simukmyy6EYae4Zs3bx69&#10;vBhUR/bCOgm6otlJSonQHGqptxX9/On61YIS55muWQdaVPROOHqxevli2ZtS5NBCVwtLEES7sjcV&#10;bb03ZZI43grF3AkYoTHZgFXM49Fuk9qyHtFVl+Rpepr0YGtjgQvn8Nf1mKQTon0OIDSN5GINfKeE&#10;9iOqFR3zOJJrpXF0Fdk2jeD+Q9M44UlXUZzUxy82wXgTvslqycqtZaaVfKLAnkPhyUyKSY1ND1Br&#10;5hnZWfkPlJLcgoPGn3BQyThIVASnyNIn2ty2zIg4C0rtzEF09/9g+fv9R0tkXdE8nVGimcKVP/y4&#10;f/j5++HXd5IVeZCoN67EyluDtX54DQMaJ47rzA3wL45ouGqZ3opLa6FvBauRYhZuJkdXRxwXQDb9&#10;O6ixE9t5iEBDY1XQDxUhiD6b53lWnFNyh8TyRXE2m1YlBk94aJ8uTovFnBIeKuZFmsaChJWPSMY6&#10;/0aAIiGoqEUrxE5sf+N8YMbKx5LQWMO17Lpoh06TvqKns3kaLxxlwoU1cy3ZM/RTjdFoICU9volO&#10;qooukMmBS6cDtIg+nLoGPYIEoxh+2AyTvhuo71AZC6NH8YVi0IL9RkmP/qyo+7pjVlDSvdWo7nlW&#10;FMHQ8VDMz3I82OPM5jjDNEeoinpKxvDKj49gZ6zctthp3KeGS9xII6NAgerIatojejDqNr2XYPLj&#10;c6z6+x+x+g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XUUZb0QAAAAYBAAAPAAAAAAAAAAEAIAAA&#10;ACIAAABkcnMvZG93bnJldi54bWxQSwECFAAUAAAACACHTuJAdWSbeUwCAABrBAAADgAAAAAAAAAB&#10;ACAAAAAgAQAAZHJzL2Uyb0RvYy54bWxQSwUGAAAAAAYABgBZAQAA3gUAAAAA&#10;">
                        <v:fill on="f" focussize="0,0"/>
                        <v:stroke on="f" weight="0.5pt" miterlimit="8" joinstyle="miter" dashstyle="dash"/>
                        <v:imagedata o:title=""/>
                        <o:lock v:ext="edit" aspectratio="f"/>
                        <v:textbox>
                          <w:txbxContent>
                            <w:p>
                              <w:pPr>
                                <w:jc w:val="left"/>
                              </w:pPr>
                              <w:r>
                                <w:rPr>
                                  <w:rFonts w:hint="eastAsia"/>
                                </w:rPr>
                                <w:t>边角料、噪声</w:t>
                              </w:r>
                            </w:p>
                          </w:txbxContent>
                        </v:textbox>
                      </v:shape>
                      <v:shape id="直接箭头连接符 143" o:spid="_x0000_s1026" o:spt="32" type="#_x0000_t32" style="position:absolute;left:3061774;top:2418080;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ApoTO/LgIAACEEAAAOAAAAZHJzL2Uyb0RvYy54bWytU8Fy&#10;0zAQvTPDP2h0J7aTkGY8cXpIKJcCnWn5AEWSYw2yViMpcfIT/AAznIBT4dQ7XwPlM1jJSSnl0gM+&#10;eFbe3bdvn55np7tWk610XoGpaDHIKZGGg1BmXdG3V2fPppT4wIxgGoys6F56ejp/+mTW2VIOoQEt&#10;pCMIYnzZ2Yo2IdgyyzxvZMv8AKw0mKzBtSzg0a0z4ViH6K3Ohnk+yTpwwjrg0nv8uuyT9IDoHgMI&#10;da24XALftNKEHtVJzQKu5BtlPZ0ntnUteXhT114GoiuKm4b0xiEYr+I7m89YuXbMNoofKLDHUHiw&#10;U8uUwaF3UEsWGNk49Q9Uq7gDD3UYcGizfpGkCG5R5A+0uWyYlWkXlNrbO9H9/4Plr7cXjihR0WE+&#10;psSwFq/89sPNz/efb799/fHp5tf3jzG+/kKK8SjK1VlfYtfCXLi4MN+ZS3sO/J0nBhYNM2uZaF/t&#10;LSIVsSP7qyUevMWhq+4VCKxhmwBJu13t2giJqpBdRUf5pDg5QVJ7JDcupvn0cF1yFwiPBaMcDUUJ&#10;x4KUylh5xLDOh5cSWhKDivrgmFo3YQHGoCfAFWki2577EBmy8tgQCRg4U1ona2hDuopORs/z1OBB&#10;KxGTscy79WqhHdmyaK70pHUxc78sIi+Zb/o6gVHvOgcbI9KQwJR+YQQJSbPgFKqoJY2TWyko0RL/&#10;1Bj1VLWJ02Vy94H/UdT+elYg9hcuFsfv6Jy04cHl0Zr3z6nqz589/w1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ICtzk1wAAAAYBAAAPAAAAAAAAAAEAIAAAACIAAABkcnMvZG93bnJldi54bWxQSwEC&#10;FAAUAAAACACHTuJAKaEzvy4CAAAhBAAADgAAAAAAAAABACAAAAAmAQAAZHJzL2Uyb0RvYy54bWxQ&#10;SwUGAAAAAAYABgBZAQAAxgUAAAAA&#10;">
                        <v:fill on="f" focussize="0,0"/>
                        <v:stroke weight="0.5pt" color="#000000" joinstyle="round" dashstyle="dash" endarrow="block"/>
                        <v:imagedata o:title=""/>
                        <o:lock v:ext="edit" aspectratio="f"/>
                      </v:shape>
                      <v:shape id="文本框 136" o:spid="_x0000_s1026" o:spt="202" type="#_x0000_t202" style="position:absolute;left:3483414;top:6758305;height:254635;width:49466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AadsINTwIAAGoEAAAOAAAAZHJzL2Uyb0RvYy54bWytVEtu2zAQ3Rfo&#10;HQjua0mW7DiC5SCNkaJA+gHSHoCmKIuoyGFJ2lJ6gPYGXXXTfc/lc3RIOYmRbrKoFsSQM3xv5s1Q&#10;y4tBdWQvrJOgK5pNUkqE5lBLva3o50/XrxaUOM90zTrQoqJ3wtGL1csXy96UYgotdLWwBEG0K3tT&#10;0dZ7UyaJ461QzE3ACI3OBqxiHrd2m9SW9YiuumSapvOkB1sbC1w4h6fr0UmPiPY5gNA0kos18J0S&#10;2o+oVnTMY0mulcbRVcy2aQT3H5rGCU+6imKlPq5IgvYmrMlqycqtZaaV/JgCe04KT2pSTGokfYBa&#10;M8/Izsp/oJTkFhw0fsJBJWMhURGsIkufaHPbMiNiLSi1Mw+iu/8Hy9/vP1oi64pO0xklmils+eHn&#10;j8OvP4ff30mWz4NEvXElRt4ajPXDaxhwcGK5ztwA/+KIhquW6a24tBb6VrAaU8zCzeTk6ojjAsim&#10;fwc1MrGdhwg0NFYF/VARguh5sciLrKDkrqLzs9kix+Riq8TgCceA4ryYzzFhjgHTWTHPoz9h5T2Q&#10;sc6/EaBIMCpqcRIiEdvfOB8SY+V9SODVcC27LlJ0mvTIms/SeOHEEy6smWvJnuE41WiNSSnp8Ul0&#10;UlV0kYYvVs7KTgdoEcfwyBrkCAqMWvhhMyBnONxAfYfCWBhHFB8oGi3Yb5T0OJ4VdV93zApKurca&#10;xT3PiiLMc9wUs7MpbuypZ3PqYZojVEU9JaN55cc3sDNWbltkGtup4RIb0sgo0GNWxzbiCEbdjs8l&#10;zPjpPkY9/iJWfwF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XUUZb0QAAAAYBAAAPAAAAAAAAAAEA&#10;IAAAACIAAABkcnMvZG93bnJldi54bWxQSwECFAAUAAAACACHTuJAGnbCDU8CAABqBAAADgAAAAAA&#10;AAABACAAAAAgAQAAZHJzL2Uyb0RvYy54bWxQSwUGAAAAAAYABgBZAQAA4QUAAAAA&#10;">
                        <v:fill on="f" focussize="0,0"/>
                        <v:stroke on="f" weight="0.5pt" miterlimit="8" joinstyle="miter" dashstyle="dash"/>
                        <v:imagedata o:title=""/>
                        <o:lock v:ext="edit" aspectratio="f"/>
                        <v:textbox>
                          <w:txbxContent>
                            <w:p>
                              <w:pPr>
                                <w:adjustRightInd w:val="0"/>
                                <w:snapToGrid w:val="0"/>
                                <w:jc w:val="left"/>
                              </w:pPr>
                              <w:r>
                                <w:rPr>
                                  <w:rFonts w:hint="eastAsia"/>
                                </w:rPr>
                                <w:t>次品</w:t>
                              </w:r>
                            </w:p>
                          </w:txbxContent>
                        </v:textbox>
                      </v:shape>
                      <v:shape id="直接箭头连接符 138" o:spid="_x0000_s1026" o:spt="32" type="#_x0000_t32" style="position:absolute;left:3106224;top:5840730;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DHcxG7LwIAACEEAAAOAAAAZHJzL2Uyb0RvYy54bWytU8Fy&#10;0zAQvTPDP2h0J7aTNmQ8cXpIKJcCmWn5AEWSYw2yViMpcfIT/AAznIBT4dQ7XwPlM1jJSSnl0gM+&#10;eFbe3bf7np6nZ7tWk610XoGpaDHIKZGGg1BmXdG3V+fPJpT4wIxgGoys6F56ejZ7+mTa2VIOoQEt&#10;pCMIYnzZ2Yo2IdgyyzxvZMv8AKw0mKzBtSzg0a0z4ViH6K3Ohnk+zjpwwjrg0nv8uuiT9IDoHgMI&#10;da24XADftNKEHtVJzQJS8o2yns7StnUteXhT114GoiuKTEN64xCMV/GdzaasXDtmG8UPK7DHrPCA&#10;U8uUwaF3UAsWGNk49Q9Uq7gDD3UYcGiznkhSBFkU+QNtLhtmZeKCUnt7J7r/f7D89XbpiBIVHeZj&#10;Sgxr8cpvP9z8fP/59tvXH59ufn3/GOPrL6QYTaJcnfUlds3N0kXCfGcu7QXwd54YmDfMrGVa+2pv&#10;EamIHdlfLfHgLQ5dda9AYA3bBEja7WrXRkhUhewqOiry8XB4Qsm+oqeTk/z56HBdchcIjwWjHA1F&#10;CceClMpYecSwzoeXEloSg4r64JhaN2EOxqAnwBVpItte+BA3ZOWxIS5g4FxpnayhDekqOh6d5qnB&#10;g1YiJmOZd+vVXDuyZdFc6Ul0MXO/LCIvmG/6OoFR7zoHGyPSkMCUfmEECUmz4BSqqCWNk1spKNES&#10;/9QY9atqE6fL5O7D/kdR++tZgdgvXSyO39E5ieHB5dGa98+p6s+fPfs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Arc5NcAAAAGAQAADwAAAAAAAAABACAAAAAiAAAAZHJzL2Rvd25yZXYueG1sUEsB&#10;AhQAFAAAAAgAh07iQMdzEbsvAgAAIQQAAA4AAAAAAAAAAQAgAAAAJgEAAGRycy9lMm9Eb2MueG1s&#10;UEsFBgAAAAAGAAYAWQEAAMcFAAAAAA==&#10;">
                        <v:fill on="f" focussize="0,0"/>
                        <v:stroke weight="0.5pt" color="#000000" joinstyle="round" dashstyle="dash" endarrow="block"/>
                        <v:imagedata o:title=""/>
                        <o:lock v:ext="edit" aspectratio="f"/>
                      </v:shape>
                      <v:shape id="文本框 139" o:spid="_x0000_s1026" o:spt="202" type="#_x0000_t202" style="position:absolute;left:2175949;top:3910330;height:248920;width:89662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BKlOn0UQIAAHsEAAAOAAAAZHJzL2Uyb0RvYy54bWytVEtu&#10;2zAQ3RfoHQjuG0m240RC5CBNkKJA+gHSHoCmKIsoyWFJ2lJ6gPYGXXXTfc/lc3RIKYmRbrKoFsSQ&#10;M3wz8+ZRZ+eDVmQnnJdgaloc5ZQIw6GRZlPTz5+uX51S4gMzDVNgRE3vhKfnq5cvznpbiRl0oBrh&#10;CIIYX/W2pl0ItsoyzzuhmT8CKww6W3CaBdy6TdY41iO6Vtksz5dZD66xDrjwHk+vRiedEN1zAKFt&#10;JRdXwLdamDCiOqFYwJZ8J62nq1Rt2woePrStF4GommKnIa2YBO11XLPVGas2jtlO8qkE9pwSnvSk&#10;mTSY9AHqigVGtk7+A6Uld+ChDUccdDY2khjBLor8CTe3HbMi9YJUe/tAuv9/sPz97qMjsqnpLD+h&#10;xDCNI9///LH/9Wf/+zsp5mWkqLe+wshbi7FheA0DCie16+0N8C+eGLjsmNmIC+eg7wRrsMQi3swO&#10;ro44PoKs+3fQYCa2DZCAhtbpyB8yQhB9Vpwcl4uSkruazssin8+nUYkhEI4Bp+VyOcMhcgyYLU5L&#10;tGM2Vt0DWefDGwGaRKOmDpWQErHdjQ9j6H1IzGvgWiqF56xShvQ1Xc6P87FFULKJzujzbrO+VI7s&#10;WNRT+qa8/jBMy4BvREmNhR4GKRNBRNLlVEbkJ1IykhOG9YBFxMM1NHfIlINRs/hi0ejAfaOkR73W&#10;1H/dMicoUW8Nsl0Wi0UUeNosjk8iOe7Qsz70MMMRqqaBktG8DOOj2FonNx1mGudr4AIn1MrE2GNV&#10;01xRk4nz6f1E0R/uU9TjP2P1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IyKPzXAAAABgEAAA8A&#10;AAAAAAAAAQAgAAAAIgAAAGRycy9kb3ducmV2LnhtbFBLAQIUABQAAAAIAIdO4kBKlOn0UQIAAHsE&#10;AAAOAAAAAAAAAAEAIAAAACYBAABkcnMvZTJvRG9jLnhtbFBLBQYAAAAABgAGAFkBAADpBQAAAAA=&#10;">
                        <v:fill on="f" focussize="0,0"/>
                        <v:stroke weight="0.5pt" color="#000000" miterlimit="8" joinstyle="miter"/>
                        <v:imagedata o:title=""/>
                        <o:lock v:ext="edit" aspectratio="f"/>
                        <v:textbox>
                          <w:txbxContent>
                            <w:p>
                              <w:pPr>
                                <w:jc w:val="center"/>
                              </w:pPr>
                              <w:r>
                                <w:rPr>
                                  <w:rFonts w:hint="eastAsia"/>
                                </w:rPr>
                                <w:t>攻牙</w:t>
                              </w:r>
                            </w:p>
                          </w:txbxContent>
                        </v:textbox>
                      </v:shape>
                      <v:shape id="直接箭头连接符 146" o:spid="_x0000_s1026" o:spt="32" type="#_x0000_t32" style="position:absolute;left:2509324;top:4291330;flip:y;height:0;width:267335;rotation:-5898240f;" filled="f" stroked="t" coordsize="21600,21600" o:gfxdata="UEsDBAoAAAAAAIdO4kAAAAAAAAAAAAAAAAAEAAAAZHJzL1BLAwQUAAAACACHTuJAAelmNtYAAAAG&#10;AQAADwAAAGRycy9kb3ducmV2LnhtbE2PQUvDQBCF74L/YRnBm92kFokxmx6UUBCsWAU9TrNjEszO&#10;huy2Tf69oxe9DAzvzZvvFevJ9epIY+g8G0gXCSji2tuOGwNvr9VVBipEZIu9ZzIwU4B1eX5WYG79&#10;iV/ouIuNkhAOORpoYxxyrUPdksOw8AOxaJ9+dBhlHRttRzxJuOv1MklutMOO5UOLA923VH/tDk4w&#10;qqfV9n27qabp42GOj89dtdrMxlxepMkdqEhT/DPDD77cQClMe39gG1RvQIrE3ylalmZLUHsxpbfX&#10;Geiy0P/xy29QSwMEFAAAAAgAh07iQAZFHTYxAgAAIQQAAA4AAABkcnMvZTJvRG9jLnhtbK1TsXIT&#10;MRDtmeEfNOrJnX22ITc+p7AJTQDPJNDLks6nQafVSLLP/gl+gBkqQgVU6fkaCJ/BSmcSEpoUXHGz&#10;0u6+3fd2NT3ZtZpspfMKTEUHRzkl0nAQyqwr+ubi9MkzSnxgRjANRlZ0Lz09mT1+NO1sKYfQgBbS&#10;EQQxvuxsRZsQbJllnjeyZf4IrDTorMG1LODRrTPhWIforc6GeT7JOnDCOuDSe7xd9E56QHQPAYS6&#10;VlwugG9aaUKP6qRmASn5RllPZ6nbupY8vK5rLwPRFUWmIf2xCNqr+M9mU1auHbON4ocW2ENauMep&#10;Zcpg0RuoBQuMbJz6B6pV3IGHOhxxaLOeSFIEWQzye9qcN8zKxAWl9vZGdP//YPmr7dIRJSo6zHHw&#10;hrU48usPVz/fX15/+/rj09Wv7x+j/eUzGYwmUa7O+hKz5mbpImG+M+f2DPg7TwzMG2bWMrV9sbeI&#10;NIgZ2Z2UePAWi666lyAwhm0CJO12tWuJA5zReJTHj5JaK/s2wsRSqBbZYaPj/LgYjijZV3Q0PB4U&#10;xWGMchcIjwGTp0UxpoRjQHJlrIzYEcM6H15IaEk0KuqDY2rdhDkYg7sCrq/Etmc+xM5vE2KygVOl&#10;dVoZbUhX0UkxzlNrHrQS0RnDvFuv5tqRLYtL1zPpwe6EOdgYkcACU/q5ESQkzYJTqKKWNFZopaBE&#10;S3yp0epRtIlVZNruQ59/RO3HswKxX7oYHO9xcxKTw5bH1fz7nKJuX/bsN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AHpZjbWAAAABgEAAA8AAAAAAAAAAQAgAAAAIgAAAGRycy9kb3ducmV2LnhtbFBL&#10;AQIUABQAAAAIAIdO4kAGRR02MQIAACEEAAAOAAAAAAAAAAEAIAAAACUBAABkcnMvZTJvRG9jLnht&#10;bFBLBQYAAAAABgAGAFkBAADIBQAAAAA=&#10;">
                        <v:fill on="f" focussize="0,0"/>
                        <v:stroke weight="0.5pt" color="#000000" joinstyle="round" endarrow="block"/>
                        <v:imagedata o:title=""/>
                        <o:lock v:ext="edit" aspectratio="f"/>
                      </v:shape>
                      <v:shape id="_x0000_s1026" o:spid="_x0000_s1026" o:spt="202" type="#_x0000_t202" style="position:absolute;left:2169599;top:2853055;height:248920;width:89662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DnunqqTQIAAHsEAAAOAAAAZHJzL2Uyb0RvYy54bWytVEtu&#10;2zAQ3RfoHQjuG9mO7dpC5CBNkKJA+gHSHoCmKIsoyWGHtKX0AM0Nuuqm+54r5+iQchIj3WRRLYgh&#10;5/HNzJuhTk57a9hOYdDgKj4+GnGmnIRau03Fv3y+fLXgLEThamHAqYrfqMBPVy9fnHS+VBNowdQK&#10;GZG4UHa+4m2MviyKIFtlRTgCrxw5G0ArIm1xU9QoOmK3ppiMRvOiA6w9glQh0OnF4OR7RnwOITSN&#10;luoC5NYqFwdWVEZEKim02ge+ytk2jZLxY9MEFZmpOFUa80pByF6ntVidiHKDwrda7lMQz0nhSU1W&#10;aEdBH6guRBRsi/ofKqslQoAmHkmwxVBIVoSqGI+eaHPdCq9yLSR18A+ih/9HKz/sPiHTNU3ClDRx&#10;wlLL737e3v36c/f7B0uHJFHnQ0nIa0/Y2L+BnuC53OCvQH4NzMF5K9xGnSFC1ypRU4rjdLM4uDrw&#10;hESy7t5DTZHENkIm6hu0ST9ShBH7ZDxfzpZLzm7IXsyOR7PZ0CrVRyYJsFjO5xNKWCbAdLEkO0UT&#10;5T2RxxDfKrAsGRVHmoQcSOyuQhyg95AU18GlNobORWkc6yo+P56NhhLB6Do5ky/gZn1ukO1Emqf8&#10;7eOGQ5jVkd6I0ZYSPQQZl0hUnst9GkmfJMkgTuzXPSWRDtdQ35BSCMPM0oslowX8zllH81rx8G0r&#10;UHFm3jlSezmepgbGvJnOXidx8NCzPvQIJ4mq4pGzwTyPw6PYetSbliIN/XVwRh1qdFbsMat9X2km&#10;s+b795OG/nCfUY//jNV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vQQAAFtDb250ZW50X1R5cGVzXS54bWxQSwECFAAKAAAAAACHTuJAAAAAAAAA&#10;AAAAAAAABgAAAAAAAAAAABAAAACfAwAAX3JlbHMvUEsBAhQAFAAAAAgAh07iQIoUZjzRAAAAlAEA&#10;AAsAAAAAAAAAAQAgAAAAwwMAAF9yZWxzLy5yZWxzUEsBAhQACgAAAAAAh07iQAAAAAAAAAAAAAAA&#10;AAQAAAAAAAAAAAAQAAAAAAAAAGRycy9QSwECFAAUAAAACACHTuJAYjIo/NcAAAAGAQAADwAAAAAA&#10;AAABACAAAAAiAAAAZHJzL2Rvd25yZXYueG1sUEsBAhQAFAAAAAgAh07iQOe6eqpNAgAAewQAAA4A&#10;AAAAAAAAAQAgAAAAJgEAAGRycy9lMm9Eb2MueG1sUEsFBgAAAAAGAAYAWQEAAOUFAAAAAA==&#10;">
                        <v:fill on="f" focussize="0,0"/>
                        <v:stroke weight="0.5pt" color="#000000" miterlimit="8" joinstyle="miter"/>
                        <v:imagedata o:title=""/>
                        <o:lock v:ext="edit" aspectratio="f"/>
                        <v:textbox>
                          <w:txbxContent>
                            <w:p>
                              <w:pPr>
                                <w:jc w:val="center"/>
                              </w:pPr>
                              <w:r>
                                <w:rPr>
                                  <w:rFonts w:hint="eastAsia"/>
                                </w:rPr>
                                <w:t>CNC加工</w:t>
                              </w:r>
                            </w:p>
                          </w:txbxContent>
                        </v:textbox>
                      </v:shape>
                      <v:shape id="_x0000_s1026" o:spid="_x0000_s1026" o:spt="32" type="#_x0000_t32" style="position:absolute;left:2496624;top:3249930;flip:y;height:0;width:267335;rotation:-5898240f;" filled="f" stroked="t" coordsize="21600,21600" o:gfxdata="UEsDBAoAAAAAAIdO4kAAAAAAAAAAAAAAAAAEAAAAZHJzL1BLAwQUAAAACACHTuJAAelmNtYAAAAG&#10;AQAADwAAAGRycy9kb3ducmV2LnhtbE2PQUvDQBCF74L/YRnBm92kFokxmx6UUBCsWAU9TrNjEszO&#10;huy2Tf69oxe9DAzvzZvvFevJ9epIY+g8G0gXCSji2tuOGwNvr9VVBipEZIu9ZzIwU4B1eX5WYG79&#10;iV/ouIuNkhAOORpoYxxyrUPdksOw8AOxaJ9+dBhlHRttRzxJuOv1MklutMOO5UOLA923VH/tDk4w&#10;qqfV9n27qabp42GOj89dtdrMxlxepMkdqEhT/DPDD77cQClMe39gG1RvQIrE3ylalmZLUHsxpbfX&#10;Geiy0P/xy29QSwMEFAAAAAgAh07iQIpEoGQwAgAAIQQAAA4AAABkcnMvZTJvRG9jLnhtbK1TvXIT&#10;MRDumeEdNOrxnX9iyI3PKWxCE8AzCfSypLvToNNqJNlnvwQvwAwVoQKq9DwNhMdgpXMCCU0KrrjR&#10;ane/3e/b1exk12qylc4rMCUdDnJKpOEglKlL+ubi9MkzSnxgRjANRpZ0Lz09mT9+NOtsIUfQgBbS&#10;EQQxvuhsSZsQbJFlnjeyZX4AVhp0VuBaFtB0dSYc6xC91dkoz6dZB05YB1x6j7fL3kkPiO4hgFBV&#10;issl8E0rTehRndQsICXfKOvpPHVbVZKH11XlZSC6pMg0pD8WwfM6/rP5jBW1Y7ZR/NACe0gL9zi1&#10;TBksegu1ZIGRjVP/QLWKO/BQhQGHNuuJJEWQxTC/p815w6xMXFBqb29F9/8Plr/arhxRAjdhMqTE&#10;sBZHfv3h6uf7y+tvX398uvr1/WM8f/lMYgDK1VlfYNbCrFwkzHfm3J4Bf+eJgUXDTC1T2xd7i0gp&#10;I7uTEg1vsei6ewkCY9gmQNJuV7mWOMAZHU3y+FFSaWXfRphYCtUiu5KOJsfT6WhCyb6kYzSOx4cx&#10;yl0gPAZMn47HR5RwDEiujBURO2JY58MLCS2Jh5L64Jiqm7AAY3BXwPWV2PbMB+SKiTcJMdnAqdI6&#10;rYw2pCvpdHyUp9Y8aCWiM4Z5V68X2pEti0vXM+nB7oQ52BiRwAJT+rkRJCTNglOoopY0VmiloERL&#10;fKnx1KNoE6vItN2HPm9E7cezBrFfuRgc73FzEpPDlsfV/NtOUX9e9vw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elmNtYAAAAGAQAADwAAAAAAAAABACAAAAAiAAAAZHJzL2Rvd25yZXYueG1sUEsB&#10;AhQAFAAAAAgAh07iQIpEoGQwAgAAIQQAAA4AAAAAAAAAAQAgAAAAJQEAAGRycy9lMm9Eb2MueG1s&#10;UEsFBgAAAAAGAAYAWQEAAMcFAAAAAA==&#10;">
                        <v:fill on="f" focussize="0,0"/>
                        <v:stroke weight="0.5pt" color="#000000" joinstyle="round" endarrow="block"/>
                        <v:imagedata o:title=""/>
                        <o:lock v:ext="edit" aspectratio="f"/>
                      </v:shape>
                      <v:shape id="_x0000_s1026" o:spid="_x0000_s1026" o:spt="202" type="#_x0000_t202" style="position:absolute;left:3471349;top:2679700;height:650875;width:138239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DvOvsYTQIAAGsEAAAOAAAAZHJzL2Uyb0RvYy54bWytVEtu2zAQ3Rfo&#10;HQjua8m2/BMsB2mMFAXSD5D2ADRFWURFDkvSltIDNDfoqpvuey6fo0NKSY10k0W1IIac4ZuZN49a&#10;X3SqIUdhnQRd0PEopURoDqXU+4J+/nT9akmJ80yXrAEtCnonHL3YvHyxbk0uJlBDUwpLEES7vDUF&#10;rb03eZI4XgvF3AiM0OiswCrmcWv3SWlZi+iqSSZpOk9asKWxwIVzeLrtnXRAtM8BhKqSXGyBH5TQ&#10;vke1omEeW3K1NI5uYrVVJbj/UFVOeNIUFDv1ccUkaO/CmmzWLN9bZmrJhxLYc0p40pNiUmPSR6gt&#10;84wcrPwHSkluwUHlRxxU0jcSGcEuxukTbm5rZkTsBal25pF09/9g+fvjR0tkiUrIZpRopnDkpx/3&#10;p5+/T7++k3CIFLXG5Rh5azDWd6+hw/DYrjM3wL84ouGqZnovLq2FthasxBLH4WZydrXHcQFk176D&#10;EjOxg4cI1FVWBf6QEYLo02wxnmYrSu4KOpkvVot0GJXoPOEh/XQ5ma6wYo4R81m6XMRCE5Y/IBnr&#10;/BsBigSjoBalEDOx443zoTKWP4SExBquZdNEOTSatAg6naXxwpknXNgyV5MjQz2VaPUCUtLjm2ik&#10;KugyDV9sneWNDtAi6nDIGvgIFPRk+G7XDfzuoLxDZiz0GsUXikYN9hslLeqzoO7rgVlBSfNWI7ur&#10;cZYFQcdNNltMcGPPPbtzD9McoQrqKenNK98/goOxcl9jpn6eGi5xIpWMBIVS+6qGOaIGI2/Dewki&#10;P9/HqL//iM0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l1FGW9EAAAAGAQAADwAAAAAAAAABACAA&#10;AAAiAAAAZHJzL2Rvd25yZXYueG1sUEsBAhQAFAAAAAgAh07iQO86+xhNAgAAawQAAA4AAAAAAAAA&#10;AQAgAAAAIAEAAGRycy9lMm9Eb2MueG1sUEsFBgAAAAAGAAYAWQEAAN8FAAAAAA==&#10;">
                        <v:fill on="f" focussize="0,0"/>
                        <v:stroke on="f" weight="0.5pt" miterlimit="8" joinstyle="miter" dashstyle="dash"/>
                        <v:imagedata o:title=""/>
                        <o:lock v:ext="edit" aspectratio="f"/>
                        <v:textbox>
                          <w:txbxContent>
                            <w:p>
                              <w:pPr>
                                <w:adjustRightInd w:val="0"/>
                                <w:snapToGrid w:val="0"/>
                                <w:jc w:val="left"/>
                              </w:pPr>
                              <w:r>
                                <w:rPr>
                                  <w:rFonts w:hint="eastAsia"/>
                                </w:rPr>
                                <w:t>含切削油碎屑、废切削油、废抹布和废手套、噪声</w:t>
                              </w:r>
                            </w:p>
                          </w:txbxContent>
                        </v:textbox>
                      </v:shape>
                      <v:shape id="_x0000_s1026" o:spid="_x0000_s1026" o:spt="32" type="#_x0000_t32" style="position:absolute;left:3077649;top:2973705;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CxLSNtLwIAACEEAAAOAAAAZHJzL2Uyb0RvYy54bWytU8Fy&#10;0zAQvTPDP2h0J3aSNqGeOD0klEuBzrR8gCLJtgZZq5GUOPkJfoAZTtATcOqdr4HyGazkpJRy6QEf&#10;PCtp9+2+p6fZ6bbVZCOdV2BKOhzklEjDQShTl/Tt1dmz55T4wIxgGows6U56ejp/+mTW2UKOoAEt&#10;pCMIYnzR2ZI2IdgiyzxvZMv8AKw0eFiBa1nApasz4ViH6K3ORnk+yTpwwjrg0nvcXfaHdI/oHgMI&#10;VaW4XAJft9KEHtVJzQJS8o2yns7TtFUleXhTVV4GokuKTEP6YxOMV/GfzWesqB2zjeL7EdhjRnjA&#10;qWXKYNM7qCULjKyd+geqVdyBhyoMOLRZTyQpgiyG+QNtLhtmZeKCUnt7J7r/f7D89ebCESXQCUdT&#10;Sgxr8cpvP9z8fP/59tvXH59ufn3/GOMv1yQmoFyd9QVWLcyFi4T51lzac+DvPDGwaJipZRr7amcR&#10;aRgrsr9K4sJbbLrqXoHAHLYOkLTbVq6NkKgK2ZZ0nE+nk6MTSnYlHZ1Mx9P8uL8uuQ2Ex4Rxjoai&#10;hGNCusmMFQcM63x4KaElMSipD46pugkLMAY9AW6YOrLNuQ9xQlYcCuIABs6U1ska2pCupJPxcZ4K&#10;PGgl4mFM865eLbQjGxbNlb5EF0/up0XkJfNNnycw6mk4WBuRmgSm9AsjSEiaBadQRS1p7NxKQYmW&#10;+FJj1I+qTewuk7v38x9E7a9nBWJ34WJy3EfnJIZ7l0dr3l+nrD8ve/4b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Arc5NcAAAAGAQAADwAAAAAAAAABACAAAAAiAAAAZHJzL2Rvd25yZXYueG1sUEsB&#10;AhQAFAAAAAgAh07iQLEtI20vAgAAIQQAAA4AAAAAAAAAAQAgAAAAJgEAAGRycy9lMm9Eb2MueG1s&#10;UEsFBgAAAAAGAAYAWQEAAMcFAAAAAA==&#10;">
                        <v:fill on="f" focussize="0,0"/>
                        <v:stroke weight="0.5pt" color="#000000" joinstyle="round" dashstyle="dash" endarrow="block"/>
                        <v:imagedata o:title=""/>
                        <o:lock v:ext="edit" aspectratio="f"/>
                      </v:shape>
                      <v:shape id="文本框 125" o:spid="_x0000_s1026" o:spt="202" type="#_x0000_t202" style="position:absolute;left:2140389;top:1779905;height:280670;width:90678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BRxnvtUgIAAHsEAAAOAAAAZHJzL2Uyb0RvYy54bWytVEtu&#10;2zAQ3RfoHQjuG8mKHduC5SCNkaJA+gHSHoCmKIsoyWFJ2lJ6gOYGXXXTfc+Vc3RIKamRbrKoFwLH&#10;8/Rm5s2jVue9VuQgnJdgKjo5ySkRhkMtza6inz9dvVpQ4gMzNVNgREVvhafn65cvVp0tRQEtqFo4&#10;giTGl52taBuCLbPM81Zo5k/ACoPJBpxmAUO3y2rHOmTXKivy/CzrwNXWARfe47+bIUlHRvccQmga&#10;ycUG+F4LEwZWJxQLOJJvpfV0nbptGsHDh6bxIhBVUZw0pCcWwfM2PrP1ipU7x2wr+dgCe04LT2bS&#10;TBos+ki1YYGRvZP/UGnJHXhowgkHnQ2DJEVwikn+RJubllmRZkGpvX0U3f8/Wv7+8NERWaMTCly8&#10;YRpXfv/j7v7n7/tf38mkmEWJOutLRN5YxIb+NfQIT+N6ew38iycGLltmduLCOehawWpscRLfzI5e&#10;HXh8JNl276DGSmwfIBH1jdNRP1SEIHsxmeaniyUlt8gzny+XeeqDlaIPhCNgmZ/NF7hEjoBigUFa&#10;ZcbKByLrfHgjQJN4qKhDJ6RC7HDtQ2yMlQ+QWNfAlVQquUEZ0lX07HSWDyOCknVMRph3u+2lcuTA&#10;op/SL02JmWOYlgHviJK6ootjkDKRRCRfjm1EfaIkgzih3/aj3luob1EpB4Nn8cbioQX3jZIO/VpR&#10;/3XPnKBEvTWo9nIynUaDp2A6mxcYuOPM9jjDDEeqigZKhuNlGC7F3jq5a7HSsF8DF7ihRibFYqtD&#10;V+Ne0ZNJyPH+RNMfxwn195ux/gN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iMij81wAAAAYBAAAP&#10;AAAAAAAAAAEAIAAAACIAAABkcnMvZG93bnJldi54bWxQSwECFAAUAAAACACHTuJAUcZ77VICAAB7&#10;BAAADgAAAAAAAAABACAAAAAmAQAAZHJzL2Uyb0RvYy54bWxQSwUGAAAAAAYABgBZAQAA6gUAAAAA&#10;">
                        <v:fill on="f" focussize="0,0"/>
                        <v:stroke weight="0.5pt" color="#000000" miterlimit="8" joinstyle="miter"/>
                        <v:imagedata o:title=""/>
                        <o:lock v:ext="edit" aspectratio="f"/>
                        <v:textbox>
                          <w:txbxContent>
                            <w:p>
                              <w:pPr>
                                <w:jc w:val="center"/>
                              </w:pPr>
                              <w:r>
                                <w:rPr>
                                  <w:rFonts w:hint="eastAsia"/>
                                </w:rPr>
                                <w:t>打磨批锋</w:t>
                              </w:r>
                            </w:p>
                          </w:txbxContent>
                        </v:textbox>
                      </v:shape>
                      <v:shape id="直接箭头连接符 126" o:spid="_x0000_s1026" o:spt="32" type="#_x0000_t32" style="position:absolute;left:2454079;top:1633855;flip:y;height:0;width:267335;rotation:-5898240f;" filled="f" stroked="t" coordsize="21600,21600" o:gfxdata="UEsDBAoAAAAAAIdO4kAAAAAAAAAAAAAAAAAEAAAAZHJzL1BLAwQUAAAACACHTuJAAelmNtYAAAAG&#10;AQAADwAAAGRycy9kb3ducmV2LnhtbE2PQUvDQBCF74L/YRnBm92kFokxmx6UUBCsWAU9TrNjEszO&#10;huy2Tf69oxe9DAzvzZvvFevJ9epIY+g8G0gXCSji2tuOGwNvr9VVBipEZIu9ZzIwU4B1eX5WYG79&#10;iV/ouIuNkhAOORpoYxxyrUPdksOw8AOxaJ9+dBhlHRttRzxJuOv1MklutMOO5UOLA923VH/tDk4w&#10;qqfV9n27qabp42GOj89dtdrMxlxepMkdqEhT/DPDD77cQClMe39gG1RvQIrE3ylalmZLUHsxpbfX&#10;Geiy0P/xy29QSwMEFAAAAAgAh07iQAtqysswAgAAIQQAAA4AAABkcnMvZTJvRG9jLnhtbK1TsXIT&#10;MRDtmeEfNOrxne3YCR6fU9iEJoBnEuhlnc6nQafVSLLP/gl+gBkqoAKq9HwNhM9gV2cSEpoUXHGz&#10;0u6+3fd2NT3dNYZtlQ8abMH7vZwzZSWU2q4L/vry7MkJZyEKWwoDVhV8rwI/nT1+NG3dRA2gBlMq&#10;zxDEhknrCl7H6CZZFmStGhF64JRFZwW+ERGPfp2VXrSI3phskOfjrAVfOg9ShYC3i87JD4j+IYBQ&#10;VVqqBchNo2zsUL0yIiKlUGsX+Cx1W1VKxldVFVRkpuDINKY/FkF7Rf9sNhWTtReu1vLQgnhIC/c4&#10;NUJbLHoDtRBRsI3X/0A1WnoIUMWehCbriCRFkEU/v6fNRS2cSlxQ6uBuRA//D1a+3C490yVuwnDE&#10;mRUNjvz6/dXPd5+uv3398fHq1/cPZH/5zPqDMcnVujDBrLldeiIsd/bCnYN8G5iFeS3sWqW2L/cO&#10;kfqUkd1JoUNwWHTVvoASY8QmQtJuV/mGecAZjY5y+jirjHZvCIZKoVpsV/DBEbqPn3K2R8d4ODwZ&#10;jboxql1kkgLGx0MiIzEgTTgTE8ImDOdDfK6gYWQUPEQv9LqOc7AWdwV8V0lsz0Okzm8TKNnCmTYm&#10;rYyxrC34eDjKU2sBjC7JSWHBr1dz49lW0NJ1TDqwO2EeNrZMYFFo88yWLCbNoteoolGcKjSq5Mwo&#10;fKlkdSjGUhWVtvvQ5x9Ru/GsoNwvPQXTPW5OYnLYclrNv88p6vZlz34D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AelmNtYAAAAGAQAADwAAAAAAAAABACAAAAAiAAAAZHJzL2Rvd25yZXYueG1sUEsB&#10;AhQAFAAAAAgAh07iQAtqysswAgAAIQQAAA4AAAAAAAAAAQAgAAAAJQEAAGRycy9lMm9Eb2MueG1s&#10;UEsFBgAAAAAGAAYAWQEAAMcFAAAAAA==&#10;">
                        <v:fill on="f" focussize="0,0"/>
                        <v:stroke weight="0.5pt" color="#000000" joinstyle="round" endarrow="block"/>
                        <v:imagedata o:title=""/>
                        <o:lock v:ext="edit" aspectratio="f"/>
                      </v:shape>
                      <v:shape id="文本框 142" o:spid="_x0000_s1026" o:spt="202" type="#_x0000_t202" style="position:absolute;left:3370580;top:1719580;height:504825;width:106807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B7MhO3SgIAAGsEAAAOAAAAZHJzL2Uyb0RvYy54bWytVEtu2zAQ3Rfo&#10;HQjua0n+R7AcpDFSFEg/QNoD0BRlERU5LElbcg/Q3qCrbrrvuXyODiklMdJNFtWCGHKG7828GWp1&#10;2amGHIR1EnRBs1FKidAcSql3Bf386ebVkhLnmS5ZA1oU9CgcvVy/fLFqTS7GUENTCksQRLu8NQWt&#10;vTd5kjheC8XcCIzQ6KzAKuZxa3dJaVmL6KpJxmk6T1qwpbHAhXN4uumddEC0zwGEqpJcbIDvldC+&#10;R7WiYR5LcrU0jq5jtlUluP9QVU540hQUK/VxRRK0t2FN1iuW7ywzteRDCuw5KTypSTGpkfQBasM8&#10;I3sr/4FSkltwUPkRB5X0hURFsIosfaLNXc2MiLWg1M48iO7+Hyx/f/hoiSwLOh6jJpopbPnp54/T&#10;rz+n399JNh0HiVrjcoy8Mxjru9fQ4eDEcp25Bf7FEQ3XNdM7cWUttLVgJaaYhZvJ2dUexwWQbfsO&#10;SmRiew8RqKusCvqhIgTRJ5NFOltiQkfEWWQXwY6tEp0nPNCn82W6wACOEbN0uhzPIh3L75GMdf6N&#10;AEWCUVCLoxCZ2OHW+ZAZy+9DArGGG9k0kaPRpC3ofDJL44UzT7iwYa4mB4bzVKLVZ6WkxzfRSFXQ&#10;ZRq+IZdGB2gR53BgDXoECXoxfLftkDMcbqE8ojIW+hnFF4pGDfYbJS3OZ0Hd1z2zgpLmrUZ1L7Lp&#10;FMv3cTOdLUL37Llne+5hmiNUQT0lvXnt+0ewN1buamTq+6nhCjtSySjQY1ZDH3EGo27DewlDfr6P&#10;UY//iPVf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l1FGW9EAAAAGAQAADwAAAAAAAAABACAAAAAi&#10;AAAAZHJzL2Rvd25yZXYueG1sUEsBAhQAFAAAAAgAh07iQHsyE7dKAgAAawQAAA4AAAAAAAAAAQAg&#10;AAAAIAEAAGRycy9lMm9Eb2MueG1sUEsFBgAAAAAGAAYAWQEAANwFAAAAAA==&#10;">
                        <v:fill on="f" focussize="0,0"/>
                        <v:stroke on="f" weight="0.5pt" miterlimit="8" joinstyle="miter" dashstyle="dash"/>
                        <v:imagedata o:title=""/>
                        <o:lock v:ext="edit" aspectratio="f"/>
                        <v:textbox>
                          <w:txbxContent>
                            <w:p>
                              <w:pPr>
                                <w:jc w:val="left"/>
                              </w:pPr>
                              <w:r>
                                <w:rPr>
                                  <w:rFonts w:hint="eastAsia"/>
                                </w:rPr>
                                <w:t>粉尘（颗粒物）、噪声</w:t>
                              </w:r>
                            </w:p>
                          </w:txbxContent>
                        </v:textbox>
                      </v:shape>
                      <v:shape id="直接箭头连接符 143" o:spid="_x0000_s1026" o:spt="32" type="#_x0000_t32" style="position:absolute;left:3063679;top:1900555;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BSeBp9LwIAACEEAAAOAAAAZHJzL2Uyb0RvYy54bWytU8Fy&#10;0zAQvTPDP2h0J3ZiEqgnTg8J5VIgMy0foEhyrEHWaiQlTn6CH2CGE/QEnHrna6B8Bis5KaVcesAH&#10;z0q7+3bf29X0dNdqspXOKzAVHQ5ySqThIJRZV/Tt5dmT55T4wIxgGoys6F56ejp7/Gja2VKOoAEt&#10;pCMIYnzZ2Yo2IdgyyzxvZMv8AKw06KzBtSzg0a0z4ViH6K3ORnk+yTpwwjrg0nu8XfROekB0DwGE&#10;ulZcLoBvWmlCj+qkZgEp+UZZT2ep27qWPLypay8D0RVFpiH9sQjaq/jPZlNWrh2zjeKHFthDWrjH&#10;qWXKYNFbqAULjGyc+geqVdyBhzoMOLRZTyQpgiyG+T1tLhpmZeKCUnt7K7r/f7D89XbpiBIVHRVj&#10;SgxrceQ3H65/vv988+3rj0/Xv75/jPaXKzJ8WkS5OutLzJqbpYuE+c5c2HPg7zwxMG+YWcvU9uXe&#10;ItIwZmR/pcSDt1h01b0CgTFsEyBpt6tdGyFRFbKraJFPismzE0r2iHOS5+PxuB+X3AXCY0CR40JR&#10;wjEgTTJj5RHDOh9eSmhJNCrqg2Nq3YQ5GIM7AW6YKrLtuQ+xQ1YeE2IDBs6U1mk1tCFdRSfFOE8J&#10;HrQS0RnDvFuv5tqRLYvLlb5EFz13wyLygvmmjxNo9TQcbIxIRQJT+oURJCTNglOoopY0Vm6loERL&#10;fKnR6lvVJlaXabsP/R9F7cezArFfuhgc73FzEsPDlsfVvHtOUX9e9uw3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SArc5NcAAAAGAQAADwAAAAAAAAABACAAAAAiAAAAZHJzL2Rvd25yZXYueG1sUEsB&#10;AhQAFAAAAAgAh07iQFJ4Gn0vAgAAIQQAAA4AAAAAAAAAAQAgAAAAJgEAAGRycy9lMm9Eb2MueG1s&#10;UEsFBgAAAAAGAAYAWQEAAMcFAAAAAA==&#10;">
                        <v:fill on="f" focussize="0,0"/>
                        <v:stroke weight="0.5pt" color="#000000" joinstyle="round" dashstyle="dash" endarrow="block"/>
                        <v:imagedata o:title=""/>
                        <o:lock v:ext="edit" aspectratio="f"/>
                      </v:shape>
                      <v:shape id="直接箭头连接符 134" o:spid="_x0000_s1026" o:spt="32" type="#_x0000_t32" style="position:absolute;left:3515799;top:4726305;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AFjoEEMQIAACEEAAAOAAAAZHJzL2Uyb0RvYy54bWytU8Fy&#10;0zAQvTPDP2h0J7aTJqWeOD0klEuBzrR8gCLJsQZZq5GUOPkJfoAZTtATcOqdr4HyGazkpJRy6QEf&#10;PCvt7tt9b1fT022ryUY6r8BUtBjklEjDQSizqujbq7NnzynxgRnBNBhZ0Z309HT29Mm0s6UcQgNa&#10;SEcQxPiysxVtQrBllnneyJb5AVhp0FmDa1nAo1tlwrEO0VudDfN8knXghHXApfd4u+iddI/oHgMI&#10;da24XABft9KEHtVJzQJS8o2yns5St3UteXhT114GoiuKTEP6YxG0l/GfzaasXDlmG8X3LbDHtPCA&#10;U8uUwaJ3UAsWGFk79Q9Uq7gDD3UYcGiznkhSBFkU+QNtLhtmZeKCUnt7J7r/f7D89ebCESUqOhyP&#10;KTGsxZHffrj5+f7z7bevPz7d/Pr+MdpfrkkxOopyddaXmDU3Fy4S5ltzac+Bv/PEwLxhZiVT21c7&#10;i0hFzMj+SokHb7HosnsFAmPYOkDSblu7NkKiKmRb0dG4GB+fnFCyq+jR8XAyysf9uOQ2EB4DRjku&#10;FCUcA9IkM1YeMKzz4aWElkSjoj44plZNmIMxuBPgilSRbc59iB2y8pAQGzBwprROq6EN6So6GY3z&#10;lOBBKxGdMcy71XKuHdmwuFzpS3TRcz8sIi+Yb/o4gVZPw8HaiFQkMKVfGEFC0iw4hSpqSWPlVgpK&#10;tMSXGq2+VW1idZm2e9//QdR+PEsQuwsXg+M9bk5iuN/yuJr3zynqz8ue/Q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BICtzk1wAAAAYBAAAPAAAAAAAAAAEAIAAAACIAAABkcnMvZG93bnJldi54bWxQ&#10;SwECFAAUAAAACACHTuJABY6BBDECAAAhBAAADgAAAAAAAAABACAAAAAmAQAAZHJzL2Uyb0RvYy54&#10;bWxQSwUGAAAAAAYABgBZAQAAyQUAAAAA&#10;">
                        <v:fill on="f" focussize="0,0"/>
                        <v:stroke weight="0.5pt" color="#000000" joinstyle="round" dashstyle="dash" endarrow="block"/>
                        <v:imagedata o:title=""/>
                        <o:lock v:ext="edit" aspectratio="f"/>
                      </v:shape>
                      <v:shape id="文本框 121" o:spid="_x0000_s1026" o:spt="202" type="#_x0000_t202" style="position:absolute;left:2121974;top:694055;height:248285;width:89662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AE+tJoUQIAAHoEAAAOAAAAZHJzL2Uyb0RvYy54bWytVEtu&#10;2zAQ3RfoHQjuG9mK7dhG5CBNkKJA+gHSHoCmKIsoyWGHtKX0AM0Nuuqm+54r5+iQclIj3WRRLQRS&#10;M3wz782jTs96a9hOYdDgKj4+GnGmnIRau03FP3+6ejXnLEThamHAqYrfqsDPVi9fnHZ+qUpowdQK&#10;GYG4sOx8xdsY/bIogmyVFeEIvHIUbACtiLTFTVGj6AjdmqIcjWZFB1h7BKlCoK+XQ5DvEfE5gNA0&#10;WqpLkFurXBxQURkRiVJotQ98lbttGiXjh6YJKjJTcWIa85uK0Hqd3sXqVCw3KHyr5b4F8ZwWnnCy&#10;Qjsq+gh1KaJgW9T/QFktEQI08UiCLQYiWRFiMR490eamFV5lLiR18I+ih/8HK9/vPiLTNTnheMyZ&#10;E5ZGfv/j7v7n7/tf39m4HCeJOh+WlHnjKTf2r6Gn9Ew3+GuQXwJzcNEKt1HniNC1StTUYj5ZHBwd&#10;cEICWXfvoKZKYhshA/UN2qQfKcIIvaTCi5MJZ7cVny0mo+l0mJTqI5MUny9ms5JmKCleTublPMcL&#10;sXzA8RjiGwWWpUXFkYyQ64jddYjEiFIfUlJZB1famGwG41hHRY+no4EhGF2nYEoLuFlfGGQ7keyU&#10;n9QXgYXDNKsjXRGjLTV6mGRcAlHZlvs2kjxJkUGb2K/7vdxrqG9JKITBsnRhadECfuOsI7tWPHzd&#10;ClScmbeOxF6MJ5Pk77yZTE+SOHgYWR9GhJMEVfHI2bC8iMOd2HrUm5YqDeN1cE4DanRWLLU6dEWM&#10;04Ysmbnvr0/y/OE+Z/39Zaz+AF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IyKPzXAAAABgEAAA8A&#10;AAAAAAAAAQAgAAAAIgAAAGRycy9kb3ducmV2LnhtbFBLAQIUABQAAAAIAIdO4kAE+tJoUQIAAHoE&#10;AAAOAAAAAAAAAAEAIAAAACYBAABkcnMvZTJvRG9jLnhtbFBLBQYAAAAABgAGAFkBAADpBQAAAAA=&#10;">
                        <v:fill on="f" focussize="0,0"/>
                        <v:stroke weight="0.5pt" color="#000000" miterlimit="8" joinstyle="miter"/>
                        <v:imagedata o:title=""/>
                        <o:lock v:ext="edit" aspectratio="f"/>
                        <v:textbox>
                          <w:txbxContent>
                            <w:p>
                              <w:pPr>
                                <w:adjustRightInd w:val="0"/>
                                <w:snapToGrid w:val="0"/>
                                <w:ind w:firstLine="420" w:firstLineChars="200"/>
                              </w:pPr>
                              <w:r>
                                <w:rPr>
                                  <w:rFonts w:hint="eastAsia"/>
                                </w:rPr>
                                <w:t>电熔</w:t>
                              </w:r>
                            </w:p>
                          </w:txbxContent>
                        </v:textbox>
                      </v:shape>
                      <v:shape id="文本框 121" o:spid="_x0000_s1026" o:spt="202" type="#_x0000_t202" style="position:absolute;left:2150549;top:2313305;height:280035;width:89662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D2QeehUAIAAHsEAAAOAAAAZHJzL2Uyb0RvYy54bWytVM2O&#10;0zAQviPxDpbvNEn/aKumq6XVIqTlR1p4ANdxGgvbY2y3SXkAeANOXLjzXH0Oxk53qZbLHughGne+&#10;fDPfN+MsrzqtyEE4L8GUtBjklAjDoZJmV9JPH29ezCjxgZmKKTCipEfh6dXq+bNlaxdiCA2oSjiC&#10;JMYvWlvSJgS7yDLPG6GZH4AVBpM1OM0CHt0uqxxrkV2rbJjn06wFV1kHXHiP/276JD0zuqcQQl1L&#10;LjbA91qY0LM6oVhASb6R1tNV6rauBQ/v69qLQFRJUWlITyyC8TY+s9WSLXaO2UbycwvsKS080qSZ&#10;NFj0gWrDAiN7J/+h0pI78FCHAQed9UKSI6iiyB95c9cwK5IWtNrbB9P9/6Pl7w4fHJEVbsJsSolh&#10;Gkd++vH99PP36dc3UgyLaFFr/QKRdxaxoXsFHcKTXG9vgX/2xMC6YWYnrp2DthGswhbTm9nFqz2P&#10;jyTb9i1UWIntAySirnY6+oeOEGQfFpN8Mp5TcsR4VIxG+aQflegC4QiYzafTIQ6RR8Asz0cpn7HF&#10;PZF1PrwWoEkMSupwE1Ihdrj1ASUh9B4S6xq4kUqlbVCGtCWdjiZ5LxGUrGIywrzbbdfKkQOL+5R+&#10;sS8k85cwLQPeESU1NnoJUiaSiLSX5zaiP9GS3pzQbbuz31uojuiUg35n8cZi0ID7SkmL+1pS/2XP&#10;nKBEvTHo9rwYj+OCp8N48jKa4y4z28sMMxypShoo6cN16C/F3jq5a7BSP18D1zihWibHYqt9V6g4&#10;HnAnk/bz/YlLf3lOqL/fjN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YjIo/NcAAAAGAQAADwAA&#10;AAAAAAABACAAAAAiAAAAZHJzL2Rvd25yZXYueG1sUEsBAhQAFAAAAAgAh07iQPZB56FQAgAAewQA&#10;AA4AAAAAAAAAAQAgAAAAJgEAAGRycy9lMm9Eb2MueG1sUEsFBgAAAAAGAAYAWQEAAOgFAAAAAA==&#10;">
                        <v:fill on="f" focussize="0,0"/>
                        <v:stroke weight="0.5pt" color="#000000" miterlimit="8" joinstyle="miter"/>
                        <v:imagedata o:title=""/>
                        <o:lock v:ext="edit" aspectratio="f"/>
                        <v:textbox>
                          <w:txbxContent>
                            <w:p>
                              <w:pPr>
                                <w:adjustRightInd w:val="0"/>
                                <w:snapToGrid w:val="0"/>
                                <w:ind w:firstLine="420" w:firstLineChars="200"/>
                              </w:pPr>
                              <w:r>
                                <w:rPr>
                                  <w:rFonts w:hint="eastAsia"/>
                                </w:rPr>
                                <w:t>冲压</w:t>
                              </w:r>
                            </w:p>
                          </w:txbxContent>
                        </v:textbox>
                      </v:shape>
                      <v:shape id="直接箭头连接符 146" o:spid="_x0000_s1026" o:spt="32" type="#_x0000_t32" style="position:absolute;left:2636007;top:5509578;height:214630;width:1270;" filled="f" stroked="t" coordsize="21600,21600" o:gfxdata="UEsDBAoAAAAAAIdO4kAAAAAAAAAAAAAAAAAEAAAAZHJzL1BLAwQUAAAACACHTuJA66gqNNUAAAAG&#10;AQAADwAAAGRycy9kb3ducmV2LnhtbE2PzUrEQBCE74LvMLTgRdyZRJBszGQPgoLgxayCx95MmwQz&#10;PSHT2R+f3tGLXgqaKqq+rjZHP6o9zXEIbCFbGVDEbXADdxZetw/XBagoyA7HwGThRBE29flZhaUL&#10;B36hfSOdSiUcS7TQi0yl1rHtyWNchYk4eR9h9ijpnDvtZjykcj/q3Jhb7XHgtNDjRPc9tZ/N4i2I&#10;4W0zLO9P8nhaf5nnfDR49Wbt5UVm7kAJHeUvDD/4CR3qxLQLC7uoRgvpEfnV5BVZkYPapVC2vilA&#10;15X+j19/A1BLAwQUAAAACACHTuJAhqr0xCkCAAAMBAAADgAAAGRycy9lMm9Eb2MueG1srVPBctMw&#10;EL0zwz9odCe2E5K0njg9JJRLgcy0fIAiy7YGWauRlDj5CX6AGU7QE3Dqna+B8hms5KSUcukBHzyS&#10;d/fte2/Xs7Ndq8hWWCdBFzQbpJQIzaGUui7o26vzZyeUOM90yRRoUdC9cPRs/vTJrDO5GEIDqhSW&#10;IIh2eWcK2nhv8iRxvBEtcwMwQmOwAtsyj1dbJ6VlHaK3Khmm6STpwJbGAhfO4ddlH6QHRPsYQKgq&#10;ycUS+KYV2veoVijmUZJrpHF0HtlWleD+TVU54YkqKCr18Y1N8LwO72Q+Y3ltmWkkP1Bgj6HwQFPL&#10;pMamd1BL5hnZWPkPVCu5BQeVH3Bok15IdARVZOkDby4bZkTUglY7c2e6+3+w/PV2ZYkscRNOx5Ro&#10;1uLIbz/c/Hz/+fbb1x+fbn59/xjOX65J9nwS7OqMy7FqoVc2COY7fWkugL9zRMOiYboWkfbV3iBS&#10;FiqSv0rCxRlsuu5eQYk5bOMhererbBsg0RWyK+hwMpqk6ZSSfUHH4/R0PD3pxyV2nnBMyIZTHCPH&#10;8BC5jeIwE5YfYYx1/qWAloRDQZ23TNaNX4DWuBZgs9iUbS+cDyRZfiwIHDScS6XidihNuoJORuM0&#10;FjhQsgzBkOZsvV4oS7Ys7Fd8omKM3E+zsNFlBPNMqhe6JD7a461Ew5SgoUMrSkqUwJ8ynHpKSocu&#10;Ii7ygefRv34Sayj3KxuSw3dckqjksNBhC+/fY9afn3j+G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JcEAABbQ29udGVudF9UeXBlc10ueG1sUEsB&#10;AhQACgAAAAAAh07iQAAAAAAAAAAAAAAAAAYAAAAAAAAAAAAQAAAAeQMAAF9yZWxzL1BLAQIUABQA&#10;AAAIAIdO4kCKFGY80QAAAJQBAAALAAAAAAAAAAEAIAAAAJ0DAABfcmVscy8ucmVsc1BLAQIUAAoA&#10;AAAAAIdO4kAAAAAAAAAAAAAAAAAEAAAAAAAAAAAAEAAAAAAAAABkcnMvUEsBAhQAFAAAAAgAh07i&#10;QOuoKjTVAAAABgEAAA8AAAAAAAAAAQAgAAAAIgAAAGRycy9kb3ducmV2LnhtbFBLAQIUABQAAAAI&#10;AIdO4kCGqvTEKQIAAAwEAAAOAAAAAAAAAAEAIAAAACQBAABkcnMvZTJvRG9jLnhtbFBLBQYAAAAA&#10;BgAGAFkBAAC/BQAAAAA=&#10;">
                        <v:fill on="f" focussize="0,0"/>
                        <v:stroke weight="0.5pt" color="#000000" joinstyle="round" endarrow="block"/>
                        <v:imagedata o:title=""/>
                        <o:lock v:ext="edit" aspectratio="f"/>
                      </v:shape>
                      <v:shape id="文本框 132" o:spid="_x0000_s1026" o:spt="202" type="#_x0000_t202" style="position:absolute;left:2198174;top:5723255;height:248285;width:89662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AYMgkhUQIAAHsEAAAOAAAAZHJzL2Uyb0RvYy54bWytVEtu&#10;2zAQ3RfoHQjuG1nyX7AcpAlSFEg/QNoD0BRlESU5LElbcg/Q3KCrbrrvuXKODiknNdJNFtVCIDXD&#10;N/PePGp13mtF9sJ5Caai+dmIEmE41NJsK/r50/WrBSU+MFMzBUZU9CA8PV+/fLHqbCkKaEHVwhEE&#10;Mb7sbEXbEGyZZZ63QjN/BlYYDDbgNAu4ddusdqxDdK2yYjSaZR242jrgwnv8ejUE6RHRPQcQmkZy&#10;cQV8p4UJA6oTigWk5FtpPV2nbptG8PChabwIRFUUmYb0xiK43sR3tl6xcuuYbSU/tsCe08ITTppJ&#10;g0Ufoa5YYGTn5D9QWnIHHppwxkFnA5GkCLLIR0+0uW2ZFYkLSu3to+j+/8Hy9/uPjsi6osW8oMQw&#10;jSO//3F3//P3/a/vJB8XUaLO+hIzby3mhv419GicRNfbG+BfPDFw2TKzFRfOQdcKVmOLeTyZnRwd&#10;cHwE2XTvoMZKbBcgAfWN01E/VIQgepEvF/l8QsmhotN5MS6m02FUog+EY8JiOZsVOESOCcVkUSxS&#10;PGPlA5B1PrwRoElcVNShE1Ihtr/xITbGyoeUWNfAtVQquUEZ0lV0Np6OBoqgZB2DMc277eZSObJn&#10;0U/pSSwxcpqmZcA7oqTGRk+TlIkgIvny2EbUJ0oyiBP6TX/UewP1AZVyMHgWbywuWnDfKOnQrxX1&#10;X3fMCUrUW4NqL/PJJBo8bSaoGW7caWRzGmGGI1RFAyXD8jIMl2Jnndy2WGmYr4ELnFAjk2Kx1aGr&#10;41zRk0nI4/2Jpj/dp6y//4z1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IyKPzXAAAABgEAAA8A&#10;AAAAAAAAAQAgAAAAIgAAAGRycy9kb3ducmV2LnhtbFBLAQIUABQAAAAIAIdO4kAYMgkhUQIAAHsE&#10;AAAOAAAAAAAAAAEAIAAAACYBAABkcnMvZTJvRG9jLnhtbFBLBQYAAAAABgAGAFkBAADpBQAAAAA=&#10;">
                        <v:fill on="f" focussize="0,0"/>
                        <v:stroke weight="0.5pt" color="#000000" miterlimit="8" joinstyle="miter"/>
                        <v:imagedata o:title=""/>
                        <o:lock v:ext="edit" aspectratio="f"/>
                        <v:textbox>
                          <w:txbxContent>
                            <w:p>
                              <w:pPr>
                                <w:adjustRightInd w:val="0"/>
                                <w:snapToGrid w:val="0"/>
                                <w:jc w:val="center"/>
                              </w:pPr>
                              <w:r>
                                <w:rPr>
                                  <w:rFonts w:hint="eastAsia"/>
                                </w:rPr>
                                <w:t>喷粉</w:t>
                              </w:r>
                            </w:p>
                          </w:txbxContent>
                        </v:textbox>
                      </v:shape>
                      <v:shape id="直接箭头连接符 146" o:spid="_x0000_s1026" o:spt="32" type="#_x0000_t32" style="position:absolute;left:2531549;top:6104255;flip:y;height:0;width:267335;rotation:-5898240f;" filled="f" stroked="t" coordsize="21600,21600" o:gfxdata="UEsDBAoAAAAAAIdO4kAAAAAAAAAAAAAAAAAEAAAAZHJzL1BLAwQUAAAACACHTuJAAelmNtYAAAAG&#10;AQAADwAAAGRycy9kb3ducmV2LnhtbE2PQUvDQBCF74L/YRnBm92kFokxmx6UUBCsWAU9TrNjEszO&#10;huy2Tf69oxe9DAzvzZvvFevJ9epIY+g8G0gXCSji2tuOGwNvr9VVBipEZIu9ZzIwU4B1eX5WYG79&#10;iV/ouIuNkhAOORpoYxxyrUPdksOw8AOxaJ9+dBhlHRttRzxJuOv1MklutMOO5UOLA923VH/tDk4w&#10;qqfV9n27qabp42GOj89dtdrMxlxepMkdqEhT/DPDD77cQClMe39gG1RvQIrE3ylalmZLUHsxpbfX&#10;Geiy0P/xy29QSwMEFAAAAAgAh07iQMoovUoyAgAAIQQAAA4AAABkcnMvZTJvRG9jLnhtbK1TzXLT&#10;MBC+M8M7aHSntpM4BU+cHhLKpUBmWrgrsmxrkLUaSYmTl+AFmOFEOQGn3nkaKI/BSg4tLZce8MGj&#10;n91vv+/b1exk1ymyFdZJ0CXNjlJKhOZQSd2U9M3F6ZOnlDjPdMUUaFHSvXD0ZP740aw3hRhBC6oS&#10;liCIdkVvStp6b4okcbwVHXNHYITGyxpsxzxubZNUlvWI3qlklKbTpAdbGQtcOIeny+GSHhDtQwCh&#10;riUXS+CbTmg/oFqhmEdJrpXG0XlkW9eC+9d17YQnqqSo1Mc/FsH1OvyT+YwVjWWmlfxAgT2Ewj1N&#10;HZMai95ALZlnZGPlP1Cd5BYc1P6IQ5cMQqIjqCJL73lz3jIjoha02pkb093/g+WvtitLZFXS0fGY&#10;Es06bPn1h6uf7y+vv3398enq1/ePYf3lM8km02BXb1yBWQu9skEw3+lzcwb8nSMaFi3TjYi0L/YG&#10;kbKQkdxJCRtnsOi6fwkVxrCNh+jdrrYdsYA9yidp+CiplTRvA0wohW6RHRLNx1k+eUbJvqTTLJ2M&#10;8nxoo9h5wkPA9Hg8zinhGBA7nLAiYAcMY51/IaAjYVFS5y2TTesXoDXOCtihEtueOR+Y3yaEZA2n&#10;Uqk4MkqTHsuP8zRSc6BkFS5DmLPNeqEs2bIwdIOSAexOmIWNriKYZ1I91xXx0TNvJbqoBA0VOlFR&#10;ogS+1LAaUJQOVUSc7gPPP6YO7VlDtV/ZEBzOcXKiksOUh9H8ex+jbl/2/D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B6WY21gAAAAYBAAAPAAAAAAAAAAEAIAAAACIAAABkcnMvZG93bnJldi54bWxQ&#10;SwECFAAUAAAACACHTuJAyii9SjICAAAhBAAADgAAAAAAAAABACAAAAAlAQAAZHJzL2Uyb0RvYy54&#10;bWxQSwUGAAAAAAYABgBZAQAAyQUAAAAA&#10;">
                        <v:fill on="f" focussize="0,0"/>
                        <v:stroke weight="0.5pt" color="#000000" joinstyle="round" endarrow="block"/>
                        <v:imagedata o:title=""/>
                        <o:lock v:ext="edit" aspectratio="f"/>
                      </v:shape>
                      <v:shape id="文本框 132" o:spid="_x0000_s1026" o:spt="202" type="#_x0000_t202" style="position:absolute;left:2188649;top:6247130;height:248285;width:89662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C7906WUQIAAHsEAAAOAAAAZHJzL2Uyb0RvYy54bWytVEtu&#10;2zAQ3RfoHQjuG1my4jhC5CBNkKJA+gHSHoCmKIsoyWFJ2lJ6gOYGXXXTfc/lc3RIKamRbrKoFgKp&#10;eXwz8+ZRZ+eDVmQnnJdgapofzSgRhkMjzaamnz9dv1pS4gMzDVNgRE3vhKfnq5cvznpbiQI6UI1w&#10;BEmMr3pb0y4EW2WZ553QzB+BFQaDLTjNAm7dJmsc65Fdq6yYzRZZD66xDrjwHr9ejUE6MbrnEELb&#10;Si6ugG+1MGFkdUKxgC35TlpPV6nathU8fGhbLwJRNcVOQ3pjElyv4ztbnbFq45jtJJ9KYM8p4UlP&#10;mkmDSR+prlhgZOvkP1Racgce2nDEQWdjI0kR7CKfPdHmtmNWpF5Qam8fRff/j5a/3310RDY1LU5K&#10;SgzTOPL9j/v9z9/7X99JPi+iRL31FSJvLWLD8BoGNE5q19sb4F88MXDZMbMRF85B3wnWYIl5PJkd&#10;HB15fCRZ9++gwUxsGyARDa3TUT9UhCB7kS+Xi/KUkruaLoryJJ9PoxJDIBwBy9PFosAhcgQU5bJY&#10;HqdsrHogss6HNwI0iYuaOnRCSsR2Nz7Ewlj1AIl5DVxLpZIblCE9Zp0fz8YWQckmBiPMu836Ujmy&#10;Y9FP6Zny+kOYlgHviJIaCz0EKRNJRPLlVEbUJ0oyihOG9TDpvYbmDpVyMHoWbywuOnDfKOnRrzX1&#10;X7fMCUrUW4Nqn+ZlGQ2eNuXxSRTHHUbWhxFmOFLVNFAyLi/DeCm21slNh5nG+Rq4wAm1MikWSx2r&#10;muaKnkxCTvcnmv5wn1B//xmr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IyKPzXAAAABgEAAA8A&#10;AAAAAAAAAQAgAAAAIgAAAGRycy9kb3ducmV2LnhtbFBLAQIUABQAAAAIAIdO4kC7906WUQIAAHsE&#10;AAAOAAAAAAAAAAEAIAAAACYBAABkcnMvZTJvRG9jLnhtbFBLBQYAAAAABgAGAFkBAADpBQAAAAA=&#10;">
                        <v:fill on="f" focussize="0,0"/>
                        <v:stroke weight="0.5pt" color="#000000" miterlimit="8" joinstyle="miter"/>
                        <v:imagedata o:title=""/>
                        <o:lock v:ext="edit" aspectratio="f"/>
                        <v:textbox>
                          <w:txbxContent>
                            <w:p>
                              <w:pPr>
                                <w:adjustRightInd w:val="0"/>
                                <w:snapToGrid w:val="0"/>
                                <w:jc w:val="center"/>
                              </w:pPr>
                              <w:r>
                                <w:rPr>
                                  <w:rFonts w:hint="eastAsia"/>
                                </w:rPr>
                                <w:t>烘烤固化</w:t>
                              </w:r>
                            </w:p>
                          </w:txbxContent>
                        </v:textbox>
                      </v:shape>
                      <v:shape id="直接箭头连接符 146" o:spid="_x0000_s1026" o:spt="32" type="#_x0000_t32" style="position:absolute;left:2522024;top:6637655;flip:y;height:0;width:267335;rotation:-5898240f;" filled="f" stroked="t" coordsize="21600,21600" o:gfxdata="UEsDBAoAAAAAAIdO4kAAAAAAAAAAAAAAAAAEAAAAZHJzL1BLAwQUAAAACACHTuJAAelmNtYAAAAG&#10;AQAADwAAAGRycy9kb3ducmV2LnhtbE2PQUvDQBCF74L/YRnBm92kFokxmx6UUBCsWAU9TrNjEszO&#10;huy2Tf69oxe9DAzvzZvvFevJ9epIY+g8G0gXCSji2tuOGwNvr9VVBipEZIu9ZzIwU4B1eX5WYG79&#10;iV/ouIuNkhAOORpoYxxyrUPdksOw8AOxaJ9+dBhlHRttRzxJuOv1MklutMOO5UOLA923VH/tDk4w&#10;qqfV9n27qabp42GOj89dtdrMxlxepMkdqEhT/DPDD77cQClMe39gG1RvQIrE3ylalmZLUHsxpbfX&#10;Geiy0P/xy29QSwMEFAAAAAgAh07iQA14NPoyAgAAIQQAAA4AAABkcnMvZTJvRG9jLnhtbK1TzXLT&#10;MBC+M8M7aHQndpzYYTxxekgolwKdaeGuyHKsQdZqJCVOXoIXYIYTcAJOvfM0UB6DlRxaWi494INH&#10;P7vfft+3q/nJvlNkJ6yToCs6HqWUCM2hlnpT0deXp0+eUuI80zVToEVFD8LRk8XjR/PelCKDFlQt&#10;LEEQ7creVLT13pRJ4ngrOuZGYITGywZsxzxu7SapLesRvVNJlqZF0oOtjQUunMPT1XBJj4j2IYDQ&#10;NJKLFfBtJ7QfUK1QzKMk10rj6CKybRrB/aumccITVVFU6uMfi+B6Hf7JYs7KjWWmlfxIgT2Ewj1N&#10;HZMai95ArZhnZGvlP1Cd5BYcNH7EoUsGIdERVDFO73lz0TIjoha02pkb093/g+Uvd+eWyLqi2Qwb&#10;r1mHLb9+f/Xz3afrb19/fLz69f1DWH/5TMbTItjVG1di1lKf2yCY7/WFOQP+1hENy5bpjYi0Lw8G&#10;kcYhI7mTEjbOYNF1/wJqjGFbD9G7fWM7YgF7lE/T8FHSKGneBJhQCt0ieySaZ1maTSk5VLQoJrMi&#10;z4c2ir0nPAQUs8kkp4RjQOxwwsqAHTCMdf65gI6ERUWdt0xuWr8ErXFWwA6V2O7M+cD8NiEkaziV&#10;SsWRUZr0WH6Sp5GaAyXrcBnCnN2sl8qSHQtDNygZwO6EWdjqOoJ5JtUzXRMfPfNWootK0FChEzUl&#10;SuBLDasBRelQRcTpPvL8Y+rQnjXUh3MbgsM5Tk5UcpzyMJp/72PU7cte/A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B6WY21gAAAAYBAAAPAAAAAAAAAAEAIAAAACIAAABkcnMvZG93bnJldi54bWxQ&#10;SwECFAAUAAAACACHTuJADXg0+jICAAAhBAAADgAAAAAAAAABACAAAAAlAQAAZHJzL2Uyb0RvYy54&#10;bWxQSwUGAAAAAAYABgBZAQAAyQUAAAAA&#10;">
                        <v:fill on="f" focussize="0,0"/>
                        <v:stroke weight="0.5pt" color="#000000" joinstyle="round" endarrow="block"/>
                        <v:imagedata o:title=""/>
                        <o:lock v:ext="edit" aspectratio="f"/>
                      </v:shape>
                      <v:shape id="文本框 132" o:spid="_x0000_s1026" o:spt="202" type="#_x0000_t202" style="position:absolute;left:2207699;top:6771005;height:248285;width:89662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CJDsw4UQIAAHsEAAAOAAAAZHJzL2Uyb0RvYy54bWytVEtu&#10;2zAQ3RfoHQjua8mKv0LkILWRokD6AdIegKYoiyjJYUnaUnqA5gZdddN9z5VzdEg5qZFusqgWAql5&#10;fDPz5lHnF71W5CCcl2AqOh7llAjDoZZmV9HPn65eLSjxgZmaKTCiorfC04vVyxfnnS1FAS2oWjiC&#10;JMaXna1oG4Its8zzVmjmR2CFwWADTrOAW7fLasc6ZNcqK/J8lnXgauuAC+/x62YI0iOjew4hNI3k&#10;YgN8r4UJA6sTigVsybfSerpK1TaN4OFD03gRiKoodhrSG5Pgehvf2eqclTvHbCv5sQT2nBKe9KSZ&#10;NJj0kWrDAiN7J/+h0pI78NCEEQedDY0kRbCLcf5Em5uWWZF6Qam9fRTd/z9a/v7w0RFZV7RYFJQY&#10;pnHk9z/u7n/+vv/1nYzPiihRZ32JyBuL2NC/hh6Nk9r19hr4F08MrFtmduLSOehawWoscRxPZidH&#10;Bx4fSbbdO6gxE9sHSER943TUDxUhyF4U+Xy2XFJyW9HZfD7O8+kwKtEHwhGwWM5mBQ6RI6CYLIpF&#10;imesfCCyzoc3AjSJi4o6dEJKxA7XPsTCWPkAiXkNXEmlkhuUIR1mPZvmQ4ugZB2DEebdbrtWjhxY&#10;9FN6UpcYOYVpGfCOKKmx0FOQMpFEJF8ey4j6REkGcUK/7Y96b6G+RaUcDJ7FG4uLFtw3Sjr0a0X9&#10;1z1zghL11qDay/FkEg2eNpPpPIrjTiPb0wgzHKkqGigZluswXIq9dXLXYqZhvgYucUKNTIrFUoeq&#10;jnNFTyYhj/cnmv50n1B//xmr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IyKPzXAAAABgEAAA8A&#10;AAAAAAAAAQAgAAAAIgAAAGRycy9kb3ducmV2LnhtbFBLAQIUABQAAAAIAIdO4kCJDsw4UQIAAHsE&#10;AAAOAAAAAAAAAAEAIAAAACYBAABkcnMvZTJvRG9jLnhtbFBLBQYAAAAABgAGAFkBAADpBQAAAAA=&#10;">
                        <v:fill on="f" focussize="0,0"/>
                        <v:stroke weight="0.5pt" color="#000000" miterlimit="8" joinstyle="miter"/>
                        <v:imagedata o:title=""/>
                        <o:lock v:ext="edit" aspectratio="f"/>
                        <v:textbox>
                          <w:txbxContent>
                            <w:p>
                              <w:pPr>
                                <w:adjustRightInd w:val="0"/>
                                <w:snapToGrid w:val="0"/>
                                <w:jc w:val="center"/>
                              </w:pPr>
                              <w:r>
                                <w:rPr>
                                  <w:rFonts w:hint="eastAsia"/>
                                </w:rPr>
                                <w:t>质检</w:t>
                              </w:r>
                            </w:p>
                          </w:txbxContent>
                        </v:textbox>
                      </v:shape>
                      <v:shape id="文本框 142" o:spid="_x0000_s1026" o:spt="202" type="#_x0000_t202" style="position:absolute;left:3893185;top:4551680;height:458470;width:96456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BnfZJpTQIAAGoEAAAOAAAAZHJzL2Uyb0RvYy54bWytVEtu2zAQ3Rfo&#10;HQjua0m27NhC5CCNkaJA+gHSHoCmKIuoyGFJ2pJ7gOYGXXXTfc+Vc3RIKamRbrKoFsKMZvhm5s2j&#10;zi961ZKDsE6CLmk2SSkRmkMl9a6knz9dv1pS4jzTFWtBi5IehaMX65cvzjtTiCk00FbCEgTRruhM&#10;SRvvTZEkjjdCMTcBIzQGa7CKeXTtLqks6xBdtck0TRdJB7YyFrhwDr9uhiAdEe1zAKGuJRcb4Hsl&#10;tB9QrWiZx5FcI42j69htXQvuP9S1E560JcVJfXxjEbS34Z2sz1mxs8w0ko8tsOe08GQmxaTGoo9Q&#10;G+YZ2Vv5D5SS3IKD2k84qGQYJDKCU2TpE25uG2ZEnAWpduaRdPf/YPn7w0dLZFXSWYqcaKZw5fc/&#10;7u5//r7/9Z1k+TRQ1BlXYOatwVzfv4YehRPHdeYG+BdHNFw1TO/EpbXQNYJV2GIWTiYnRwccF0C2&#10;3TuosBLbe4hAfW1V4A8ZIYg+W65m2XJOybGk+XyeLZbjqkTvCceE1SKfLzDOY8IyP4vxhBUPQMY6&#10;/0aAIsEoqUUlxELscON8aIwVDymhroZr2bZRDa0mXUkXs3kaD5xEwoENcw05MJRThdagHyU9XolW&#10;qpIu0/DEyVnR6gAtogzHqoGOwMDAhe+3/UjvFqojEmNhkCheUDQasN8o6VCeJXVf98wKStq3Gsld&#10;ZXke9BydfH42RceeRranEaY5QpXUUzKYV364A3tj5a7BSsM6NVziQmoZCQqtDl2Na0QJRt7G6xI0&#10;furHrL+/iPU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l1FGW9EAAAAGAQAADwAAAAAAAAABACAA&#10;AAAiAAAAZHJzL2Rvd25yZXYueG1sUEsBAhQAFAAAAAgAh07iQGd9kmlNAgAAagQAAA4AAAAAAAAA&#10;AQAgAAAAIAEAAGRycy9lMm9Eb2MueG1sUEsFBgAAAAAGAAYAWQEAAN8FAAAAAA==&#10;">
                        <v:fill on="f" focussize="0,0"/>
                        <v:stroke on="f" weight="0.5pt" miterlimit="8" joinstyle="miter" dashstyle="dash"/>
                        <v:imagedata o:title=""/>
                        <o:lock v:ext="edit" aspectratio="f"/>
                        <v:textbox>
                          <w:txbxContent>
                            <w:p>
                              <w:pPr>
                                <w:jc w:val="left"/>
                              </w:pPr>
                              <w:r>
                                <w:rPr>
                                  <w:rFonts w:hint="eastAsia"/>
                                </w:rPr>
                                <w:t>粉尘（颗粒物）、噪声</w:t>
                              </w:r>
                            </w:p>
                          </w:txbxContent>
                        </v:textbox>
                      </v:shape>
                      <v:shape id="直接箭头连接符 138" o:spid="_x0000_s1026" o:spt="32" type="#_x0000_t32" style="position:absolute;left:3122099;top:6361430;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A/7HWVLAIAACEEAAAOAAAAZHJzL2Uyb0RvYy54bWytU8Fy&#10;0zAQvTPDP2h0J7YTyLSeOD0klEuBzLR8gCLJtgZZq5GUOPkJfoAZTsAJOPXO10D5DFZyUkq59IAP&#10;npV39+3bp+fZ2a7TZCudV2AqWoxySqThIJRpKvrm6vzJCSU+MCOYBiMrupeens0fP5r1tpRjaEEL&#10;6QiCGF/2tqJtCLbMMs9b2TE/AisNJmtwHQt4dE0mHOsRvdPZOM+nWQ9OWAdceo9fl0OSHhDdQwCh&#10;rhWXS+CbTpowoDqpWcCVfKusp/PEtq4lD6/r2stAdEVx05DeOATjdXxn8xkrG8dsq/iBAnsIhXs7&#10;dUwZHHoLtWSBkY1T/0B1ijvwUIcRhy4bFkmK4BZFfk+by5ZZmXZBqb29Fd3/P1j+artyRImKTvKC&#10;EsM6vPKb99c/3326+fb1x8frX98/xPjLZ1JMTqJcvfUldi3MysWF+c5c2gvgbz0xsGiZaWSifbW3&#10;iFTEjuyvlnjwFoeu+5cgsIZtAiTtdrXrIiSqQnZIqBiP89NTSvYVnU6mxdPJ4brkLhAeCyY5GooS&#10;jgUplbHyiGGdDy8kdCQGFfXBMdW0YQHGoCfAFWki2174EBmy8tgQCRg4V1ona2hD+jj+WZ4aPGgl&#10;YjKWedesF9qRLYvmSk9aFzN3yyLykvl2qBMYDa5zsDEiDQlM6edGkJA0C06hilrSOLmTghIt8U+N&#10;0UBVmzhdJncf+B9FHa5nDWK/crE4fkfnpA0PLo/WvHtOVX/+7Pl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Arc5NcAAAAGAQAADwAAAAAAAAABACAAAAAiAAAAZHJzL2Rvd25yZXYueG1sUEsBAhQA&#10;FAAAAAgAh07iQD/sdZUsAgAAIQQAAA4AAAAAAAAAAQAgAAAAJgEAAGRycy9lMm9Eb2MueG1sUEsF&#10;BgAAAAAGAAYAWQEAAMQFAAAAAA==&#10;">
                        <v:fill on="f" focussize="0,0"/>
                        <v:stroke weight="0.5pt" color="#000000" joinstyle="round" dashstyle="dash" endarrow="block"/>
                        <v:imagedata o:title=""/>
                        <o:lock v:ext="edit" aspectratio="f"/>
                      </v:shape>
                      <v:shape id="文本框 142" o:spid="_x0000_s1026" o:spt="202" type="#_x0000_t202" style="position:absolute;left:3446145;top:5647690;height:471805;width:105918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CdYaEdTgIAAGsEAAAOAAAAZHJzL2Uyb0RvYy54bWytVEtu2zAQ3Rfo&#10;HQjuG0m25NhC5CCNkaJA+gHSHoCmKIuoyGFJ2lJ6gOYGXXXTfc+Vc3RIKamRbrKoFsKMZvhm5s2j&#10;zs4H1ZGDsE6Crmh2klIiNIda6l1FP3+6erWkxHmma9aBFhW9FY6er1++OOtNKWbQQlcLSxBEu7I3&#10;FW29N2WSON4KxdwJGKEx2IBVzKNrd0ltWY/oqktmabpIerC1scCFc/h1MwbphGifAwhNI7nYAN8r&#10;of2IakXHPI7kWmkcXcdum0Zw/6FpnPCkqyhO6uMbi6C9De9kfcbKnWWmlXxqgT2nhSczKSY1Fn2E&#10;2jDPyN7Kf6CU5BYcNP6Eg0rGQSIjOEWWPuHmpmVGxFmQamceSXf/D5a/P3y0RNYVnadzSjRTuPL7&#10;H3f3P3/f//pOsnwWKOqNKzHzxmCuH17DgMKJ4zpzDfyLIxouW6Z34sJa6FvBamwxCyeTo6Mjjgsg&#10;2/4d1FiJ7T1EoKGxKvCHjBBEn+f5IssLSm4rWizy08VqWpUYPOGhfFqssiVukWNGfopmEcux8gHJ&#10;WOffCFAkGBW1KIVYiR2unQ+dsfIhJRTWcCW7Lsqh06Sv6GJepPHAUSQc2DDXkgNDPdVojQJS0uOd&#10;6KSq6DINz9RLpwO0iDqcqgY+AgUjGX7YDhO/W6hvkRkLo0bxhqLRgv1GSY/6rKj7umdWUNK91cju&#10;KsvzIOjo5MXpDB17HNkeR5jmCFVRT8loXvrxEuyNlbsWK4371HCBG2lkJCi0OnY17RE1GHmb7ksQ&#10;+bEfs/7+I9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dRRlvRAAAABgEAAA8AAAAAAAAAAQAg&#10;AAAAIgAAAGRycy9kb3ducmV2LnhtbFBLAQIUABQAAAAIAIdO4kCdYaEdTgIAAGsEAAAOAAAAAAAA&#10;AAEAIAAAACABAABkcnMvZTJvRG9jLnhtbFBLBQYAAAAABgAGAFkBAADgBQAAAAA=&#10;">
                        <v:fill on="f" focussize="0,0"/>
                        <v:stroke on="f" weight="0.5pt" miterlimit="8" joinstyle="miter" dashstyle="dash"/>
                        <v:imagedata o:title=""/>
                        <o:lock v:ext="edit" aspectratio="f"/>
                        <v:textbox>
                          <w:txbxContent>
                            <w:p>
                              <w:pPr>
                                <w:jc w:val="left"/>
                              </w:pPr>
                              <w:r>
                                <w:rPr>
                                  <w:rFonts w:hint="eastAsia"/>
                                </w:rPr>
                                <w:t>粉尘（颗粒物）、噪声</w:t>
                              </w:r>
                            </w:p>
                          </w:txbxContent>
                        </v:textbox>
                      </v:shape>
                      <v:shape id="文本框 142" o:spid="_x0000_s1026" o:spt="202" type="#_x0000_t202" style="position:absolute;left:3433445;top:6163310;height:504825;width:132778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C7dHFLTQIAAGsEAAAOAAAAZHJzL2Uyb0RvYy54bWytVEtu2zAQ3Rfo&#10;HQjua0mWnLiC5SCNkaJA+gHSHoCmKIuoyGFJ2lJ6gPYGXXXTfc/lc3RIKamRbrKoFgKpGb438+ZR&#10;q4tBdeQgrJOgK5rNUkqE5lBLvavop4/XL5aUOM90zTrQoqJ3wtGL9fNnq96UYg4tdLWwBEG0K3tT&#10;0dZ7UyaJ461QzM3ACI3BBqxiHrd2l9SW9YiuumSepmdJD7Y2FrhwDr9uxiCdEO1TAKFpJBcb4Hsl&#10;tB9RreiYx5ZcK42j61ht0wju3zeNE550FcVOfXwjCa634Z2sV6zcWWZayacS2FNKeNSTYlIj6QPU&#10;hnlG9lb+A6Ukt+Cg8TMOKhkbiYpgF1n6SJvblhkRe0GpnXkQ3f0/WP7u8MESWVc0TwtKNFM48uOP&#10;78efv4+/vpGsmAeJeuNKzLw1mOuHVzCgcWK7ztwA/+yIhquW6Z24tBb6VrAaS8zCyeTk6IjjAsi2&#10;fws1MrG9hwg0NFYF/VARguh5kedFsaDkrqJn2VmeZ9OoxOAJD/T5/Px8iQkcMxZpsZwvIh0r75GM&#10;df61AEXCoqIWrRCZ2OHG+VAZK+9TArGGa9l10Q6dJj3S5os0HjiJhAMb5lpyYOinGlejgZT0eCc6&#10;qSq6TMMz1dLpAC2iDyfWoEeQYBTDD9th0ncL9R0qY2H0KN5QXLRgv1LSoz8r6r7smRWUdG80qvsy&#10;K4pg6LgpFudz3NjTyPY0wjRHqIp6SsbllR8vwd5YuWuRaZynhkucSCOjQKHUsappjujBqNt0X4LJ&#10;T/cx6+8/Yv0H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l1FGW9EAAAAGAQAADwAAAAAAAAABACAA&#10;AAAiAAAAZHJzL2Rvd25yZXYueG1sUEsBAhQAFAAAAAgAh07iQLt0cUtNAgAAawQAAA4AAAAAAAAA&#10;AQAgAAAAIAEAAGRycy9lMm9Eb2MueG1sUEsFBgAAAAAGAAYAWQEAAN8FAAAAAA==&#10;">
                        <v:fill on="f" focussize="0,0"/>
                        <v:stroke on="f" weight="0.5pt" miterlimit="8" joinstyle="miter" dashstyle="dash"/>
                        <v:imagedata o:title=""/>
                        <o:lock v:ext="edit" aspectratio="f"/>
                        <v:textbox>
                          <w:txbxContent>
                            <w:p>
                              <w:pPr>
                                <w:jc w:val="left"/>
                              </w:pPr>
                              <w:r>
                                <w:rPr>
                                  <w:rFonts w:hint="eastAsia"/>
                                </w:rPr>
                                <w:t>有机废气（VOCs）</w:t>
                              </w:r>
                              <w:r>
                                <w:rPr>
                                  <w:rFonts w:hint="eastAsia"/>
                                  <w:color w:val="0000FF"/>
                                </w:rPr>
                                <w:t>、</w:t>
                              </w:r>
                              <w:r>
                                <w:rPr>
                                  <w:rFonts w:hint="eastAsia"/>
                                </w:rPr>
                                <w:t>噪声</w:t>
                              </w:r>
                            </w:p>
                          </w:txbxContent>
                        </v:textbox>
                      </v:shape>
                      <v:shape id="直接箭头连接符 146" o:spid="_x0000_s1026" o:spt="32" type="#_x0000_t32" style="position:absolute;left:2522024;top:7171055;flip:y;height:0;width:267335;rotation:-5898240f;" filled="f" stroked="t" coordsize="21600,21600" o:gfxdata="UEsDBAoAAAAAAIdO4kAAAAAAAAAAAAAAAAAEAAAAZHJzL1BLAwQUAAAACACHTuJAAelmNtYAAAAG&#10;AQAADwAAAGRycy9kb3ducmV2LnhtbE2PQUvDQBCF74L/YRnBm92kFokxmx6UUBCsWAU9TrNjEszO&#10;huy2Tf69oxe9DAzvzZvvFevJ9epIY+g8G0gXCSji2tuOGwNvr9VVBipEZIu9ZzIwU4B1eX5WYG79&#10;iV/ouIuNkhAOORpoYxxyrUPdksOw8AOxaJ9+dBhlHRttRzxJuOv1MklutMOO5UOLA923VH/tDk4w&#10;qqfV9n27qabp42GOj89dtdrMxlxepMkdqEhT/DPDD77cQClMe39gG1RvQIrE3ylalmZLUHsxpbfX&#10;Geiy0P/xy29QSwMEFAAAAAgAh07iQICFC6EyAgAAIQQAAA4AAABkcnMvZTJvRG9jLnhtbK1TzW4T&#10;MRC+I/EOlu9kf5JN0CqbHhLKpUClFu6O15u18Hos28kmL8ELIHECTsCpd54GymMw9oaWlksP+GCN&#10;7Zlv5vtmPD/Zd4rshHUSdEWzUUqJ0BxqqTcVfX15+uQpJc4zXTMFWlT0IBw9WTx+NO9NKXJoQdXC&#10;EgTRruxNRVvvTZkkjreiY24ERmh8bMB2zOPRbpLash7RO5XkaTpNerC1scCFc3i7Gh7pEdE+BBCa&#10;RnKxAr7thPYDqhWKeaTkWmkcXcRqm0Zw/6ppnPBEVRSZ+rhjErTXYU8Wc1ZuLDOt5McS2ENKuMep&#10;Y1Jj0huoFfOMbK38B6qT3IKDxo84dMlAJCqCLLL0njYXLTMickGpnbkR3f0/WP5yd26JrCs6TgtK&#10;NOuw5dfvr36++3T97euPj1e/vn8I9pfPJJtMg1y9cSVGLfW5DYT5Xl+YM+BvHdGwbJneiFj25cEg&#10;UhYikjsh4eAMJl33L6BGH7b1ELXbN7YjFrBHxSQNi5JGSfMmwIRUqBbZVzQv8jzNJ5QcKjrLZlla&#10;FEMbxd4THhyms/EYyXB0iB1OWBmwA4axzj8X0JFgVNR5y+Sm9UvQGmcF7JCJ7c6cD5XfBoRgDadS&#10;qTgySpO+otNxkcbSHChZh8fg5uxmvVSW7FgYuoHJAHbHzcJW1xHMM6me6Zr4qJm3ElVUgoYMnagp&#10;UQJ/arAGFKVDFhGn+1jnH1GH9qyhPpzb4BzucXIik+OUh9H8+xy9bn/24jd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ChBAAAW0NvbnRlbnRfVHlw&#10;ZXNdLnhtbFBLAQIUAAoAAAAAAIdO4kAAAAAAAAAAAAAAAAAGAAAAAAAAAAAAEAAAAIMDAABfcmVs&#10;cy9QSwECFAAUAAAACACHTuJAihRmPNEAAACUAQAACwAAAAAAAAABACAAAACnAwAAX3JlbHMvLnJl&#10;bHNQSwECFAAKAAAAAACHTuJAAAAAAAAAAAAAAAAABAAAAAAAAAAAABAAAAAAAAAAZHJzL1BLAQIU&#10;ABQAAAAIAIdO4kAB6WY21gAAAAYBAAAPAAAAAAAAAAEAIAAAACIAAABkcnMvZG93bnJldi54bWxQ&#10;SwECFAAUAAAACACHTuJAgIULoTICAAAhBAAADgAAAAAAAAABACAAAAAlAQAAZHJzL2Uyb0RvYy54&#10;bWxQSwUGAAAAAAYABgBZAQAAyQUAAAAA&#10;">
                        <v:fill on="f" focussize="0,0"/>
                        <v:stroke weight="0.5pt" color="#000000" joinstyle="round" endarrow="block"/>
                        <v:imagedata o:title=""/>
                        <o:lock v:ext="edit" aspectratio="f"/>
                      </v:shape>
                      <v:shape id="文本框 132" o:spid="_x0000_s1026" o:spt="202" type="#_x0000_t202" style="position:absolute;left:2217224;top:7294880;height:248285;width:896620;"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C6e5wjUgIAAHsEAAAOAAAAZHJzL2Uyb0RvYy54bWytVEtu&#10;2zAQ3RfoHQjua9nyJ44QOUhtpCiQfoC0B6ApyiJKcliStpQeoLlBV91033P5HB1SSmqkmyyqhUBq&#10;Ht/MvHnUxWWnFTkI5yWYkk5GY0qE4VBJsyvp50/Xr5aU+MBMxRQYUdI74enl6uWLi9YWIocGVCUc&#10;QRLji9aWtAnBFlnmeSM08yOwwmCwBqdZwK3bZZVjLbJrleXj8SJrwVXWARfe49dNH6QDo3sOIdS1&#10;5GIDfK+FCT2rE4oFbMk30nq6StXWteDhQ117EYgqKXYa0huT4Hob39nqghU7x2wj+VACe04JT3rS&#10;TBpM+ki1YYGRvZP/UGnJHXiow4iDzvpGkiLYxWT8RJvbhlmRekGpvX0U3f8/Wv7+8NERWZV0Ol5Q&#10;YpjGkR9/3B9//j7++k4m0zxK1FpfIPLWIjZ0r6FD46R2vb0B/sUTA+uGmZ24cg7aRrAKS5zEk9nJ&#10;0Z7HR5Jt+w4qzMT2ARJRVzsd9UNFCLLn+eQsz2eU3JX0LD+fLZfDqEQXCEfA8nyxyHGIHAH5bJkv&#10;5ykbKx6IrPPhjQBN4qKkDp2QErHDjQ+xMFY8QGJeA9dSqeQGZUhb0sV0Pu5bBCWrGIww73bbtXLk&#10;wKKf0jPk9acwLQPeESU1FnoKUiaSiOTLoYyoT5SkFyd0227QewvVHSrloPcs3lhcNOC+UdKiX0vq&#10;v+6ZE5SotwbVPp/MZtHgaTObn0Vx3GlkexphhiNVSQMl/XId+kuxt07uGszUz9fAFU6olkmxWGpf&#10;1TBX9GQScrg/0fSn+4T6+89Y/QF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DCBAAAW0NvbnRlbnRfVHlwZXNdLnhtbFBLAQIUAAoAAAAAAIdO4kAA&#10;AAAAAAAAAAAAAAAGAAAAAAAAAAAAEAAAAKQDAABfcmVscy9QSwECFAAUAAAACACHTuJAihRmPNEA&#10;AACUAQAACwAAAAAAAAABACAAAADIAwAAX3JlbHMvLnJlbHNQSwECFAAKAAAAAACHTuJAAAAAAAAA&#10;AAAAAAAABAAAAAAAAAAAABAAAAAAAAAAZHJzL1BLAQIUABQAAAAIAIdO4kBiMij81wAAAAYBAAAP&#10;AAAAAAAAAAEAIAAAACIAAABkcnMvZG93bnJldi54bWxQSwECFAAUAAAACACHTuJAunucI1ICAAB7&#10;BAAADgAAAAAAAAABACAAAAAmAQAAZHJzL2Uyb0RvYy54bWxQSwUGAAAAAAYABgBZAQAA6gUAAAAA&#10;">
                        <v:fill on="f" focussize="0,0"/>
                        <v:stroke weight="0.5pt" color="#000000" miterlimit="8" joinstyle="miter"/>
                        <v:imagedata o:title=""/>
                        <o:lock v:ext="edit" aspectratio="f"/>
                        <v:textbox>
                          <w:txbxContent>
                            <w:p>
                              <w:pPr>
                                <w:adjustRightInd w:val="0"/>
                                <w:snapToGrid w:val="0"/>
                                <w:jc w:val="center"/>
                              </w:pPr>
                              <w:r>
                                <w:rPr>
                                  <w:rFonts w:hint="eastAsia"/>
                                </w:rPr>
                                <w:t>包装出货</w:t>
                              </w:r>
                            </w:p>
                          </w:txbxContent>
                        </v:textbox>
                      </v:shape>
                      <v:shape id="_x0000_s1026" o:spid="_x0000_s1026" o:spt="32" type="#_x0000_t32" style="position:absolute;left:3093524;top:3494405;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C3rARHLQIAACEEAAAOAAAAZHJzL2Uyb0RvYy54bWytU81y&#10;0zAQvjPDO2h0J3b+CvXE6SGhXApkpuUBFEm2NchajaTEyUvwAsxwAk7AqXeeBspjsJKTUsqlB3zw&#10;rKRvv93v02p2tms12UrnFZiSDgc5JdJwEMrUJX1zdf7kGSU+MCOYBiNLupeens0fP5p1tpAjaEAL&#10;6QiSGF90tqRNCLbIMs8b2TI/ACsNHlbgWhZw6epMONYhe6uzUZ6fZB04YR1w6T3uLvtDemB0DyGE&#10;qlJcLoFvWmlCz+qkZgEl+UZZT+ep26qSPLyuKi8D0SVFpSH9sQjG6/jP5jNW1I7ZRvFDC+whLdzT&#10;1DJlsOgt1ZIFRjZO/UPVKu7AQxUGHNqsF5IcQRXD/J43lw2zMmlBq729Nd3/P1r+artyRImSjvOn&#10;lBjW4pXfvL/++e7TzbevPz5e//r+IcZfPpMIQLs66wvMWpiVi4L5zlzaC+BvPTGwaJipZWr7am+R&#10;aRgzsr9S4sJbLLruXoJADNsESN7tKtdGSnSF7GJDp+PpaELJHuPJ6WSST/vrkrtAeASMcxwoSjgC&#10;0k1mrDhyWOfDCwktiUFJfXBM1U1YgDE4E+CGqSLbXvgQO2TFMSE2YOBcaZ1GQxvSlfRkPM1Tgget&#10;RDyMMO/q9UI7smVxuNKX5OLJXVhkXjLf9DiBUS/DwcaIVCQwpZ8bQULyLDiFLmpJY+VWCkq0xJca&#10;o75VbWJ1mab70P/R1P561iD2KxfBcR8nJyk8THkczbvrhPrzsue/A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EgK3OTXAAAABgEAAA8AAAAAAAAAAQAgAAAAIgAAAGRycy9kb3ducmV2LnhtbFBLAQIU&#10;ABQAAAAIAIdO4kC3rARHLQIAACEEAAAOAAAAAAAAAAEAIAAAACYBAABkcnMvZTJvRG9jLnhtbFBL&#10;BQYAAAAABgAGAFkBAADFBQAAAAA=&#10;">
                        <v:fill on="f" focussize="0,0"/>
                        <v:stroke weight="0.5pt" color="#000000" joinstyle="round" dashstyle="dash" endarrow="block"/>
                        <v:imagedata o:title=""/>
                        <o:lock v:ext="edit" aspectratio="f"/>
                      </v:shape>
                      <v:shape id="文本框 133" o:spid="_x0000_s1026" o:spt="202" type="#_x0000_t202" style="position:absolute;left:3503295;top:3389630;height:254000;width:128642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D0ugiXSwIAAGsEAAAOAAAAZHJzL2Uyb0RvYy54bWytVM2O0zAQviPx&#10;DpbvNGnTljZqulq2WoS0/EgLD+A6TmMRe4ztNikPAG/AiQt3nqvPwdjJlmq57IFLNO6Mv/nmm89d&#10;XXWqIQdhnQRd0PEopURoDqXUu4J++nj7YkGJ80yXrAEtCnoUjl6tnz9btSYXE6ihKYUlCKJd3pqC&#10;1t6bPEkcr4VibgRGaExWYBXzeLS7pLSsRXTVJJM0nSct2NJY4MI5/HXTJ+mAaJ8CCFUludgA3yuh&#10;fY9qRcM8juRqaRxdR7ZVJbh/X1VOeNIUFCf18YtNMN6Gb7JesXxnmaklHyiwp1B4NJNiUmPTM9SG&#10;eUb2Vv4DpSS34KDyIw4q6QeJiuAU4/SRNvc1MyLOglI7cxbd/T9Y/u7wwRJZFjRLcfGaKVz56cf3&#10;08/fp1/fyDjLgkStcTlW3hus9d0r6NA4cVxn7oB/dkTDTc30TlxbC20tWIkUx+FmcnG1x3EBZNu+&#10;hRI7sb2HCNRVVgX9UBGC6NkszSbLGSVHjLPFcp4NqxKdJzy0nyzm0wlukWPFZDZN01iQsPwByVjn&#10;XwtQJAQFtWiF2Ikd7pwPzFj+UBIaa7iVTRPt0GjSFnSOHOKFi0y4sGGuJgeGfiox6g2kpMc30UhV&#10;0AUyOXNpdIAW0YdD16BHkKAXw3fbbtB3C+URlbHQexRfKAY12K+UtOjPgrove2YFJc0bjeoux9Np&#10;MHQ8TGcvgxb2MrO9zDDNEaqgnpI+vPH9I9gbK3c1dur3qeEaN1LJKFCg2rMa9ogejLoN7yWY/PIc&#10;q/7+R6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JdRRlvRAAAABgEAAA8AAAAAAAAAAQAgAAAA&#10;IgAAAGRycy9kb3ducmV2LnhtbFBLAQIUABQAAAAIAIdO4kD0ugiXSwIAAGsEAAAOAAAAAAAAAAEA&#10;IAAAACABAABkcnMvZTJvRG9jLnhtbFBLBQYAAAAABgAGAFkBAADdBQAAAAA=&#10;">
                        <v:fill on="f" focussize="0,0"/>
                        <v:stroke on="f" weight="0.5pt" miterlimit="8" joinstyle="miter" dashstyle="dash"/>
                        <v:imagedata o:title=""/>
                        <o:lock v:ext="edit" aspectratio="f"/>
                        <v:textbox>
                          <w:txbxContent>
                            <w:p>
                              <w:pPr>
                                <w:adjustRightInd w:val="0"/>
                                <w:snapToGrid w:val="0"/>
                                <w:jc w:val="left"/>
                              </w:pPr>
                              <w:r>
                                <w:rPr>
                                  <w:rFonts w:hint="eastAsia"/>
                                </w:rPr>
                                <w:t>钻孔碎屑、噪声</w:t>
                              </w:r>
                            </w:p>
                          </w:txbxContent>
                        </v:textbox>
                      </v:shape>
                      <v:shape id="文本框 121" o:spid="_x0000_s1026" o:spt="202" type="#_x0000_t202" style="position:absolute;left:1169474;top:1236980;height:285750;width:725170;" filled="f" stroked="t" coordsize="21600,21600" o:gfxdata="UEsDBAoAAAAAAIdO4kAAAAAAAAAAAAAAAAAEAAAAZHJzL1BLAwQUAAAACACHTuJAcjcEA9YAAAAG&#10;AQAADwAAAGRycy9kb3ducmV2LnhtbE2PwU7DMBBE70j8g7VI3KgTIyoT4vQA6gEhJCj9ADfeJlHi&#10;dRQ7beDrWbjAZaTVjGbelpvFD+KEU+wCGchXGQikOriOGgP7j+2NBhGTJWeHQGjgEyNsqsuL0hYu&#10;nOkdT7vUCC6hWFgDbUpjIWWsW/Q2rsKIxN4xTN4mPqdGusmeudwPUmXZWnrbES+0dsTHFut+N3sD&#10;6+VNqRdVf8n59fj81Pd3er8djbm+yrMHEAmX9BeGH3xGh4qZDmEmF8VggB9Jv8qezrUCceBQfn+r&#10;QVal/I9ffQNQSwMEFAAAAAgAh07iQAl2QZpzAgAAwAQAAA4AAABkcnMvZTJvRG9jLnhtbK1UzY7T&#10;MBC+I/EOlu80TWibttp0tbRahLT8SAsP4DpOYuE/bLfJ8gDwBpy4cOe5+hyM7exSLZc9kEM0E4+/&#10;me+bmVxcDlKgI7OOa1XhfDLFiCmqa67aCn/6eP1iiZHzRNVEaMUqfMccvtw8f3bRmzUrdKdFzSwC&#10;EOXWvalw571ZZ5mjHZPETbRhCg4bbSXx4No2qy3pAV2KrJhOF1mvbW2spsw5+LpLh3hEtE8B1E3D&#10;KdtpepBM+YRqmSAeKLmOG4c3sdqmYdS/bxrHPBIVBqY+viEJ2PvwzjYXZN1aYjpOxxLIU0p4xEkS&#10;riDpA9SOeIIOlv8DJTm12unGT6iWWSISFQEW+fSRNrcdMSxyAamdeRDd/T9Y+u74wSJeV7iYzzBS&#10;RELLTz++n37+Pv36hvIiDxL1xq0h8tZArB9e6QEGJ9J15kbTzw4pve2IatmVtbrvGKmhxHgzO7ua&#10;cFwA2fdvdQ2ZyMHrCDQ0Vgb9QBEU0PPFalZCQXdgFy8Xq+XYKjZ4RCGgLOZ5CU2kEFAs5+U8nmdk&#10;fQ9krPOvmZYoGBW2MAkxETneOA+UIPQ+JORV+poLEadBKNSHrOU04EsD2jjVJrpa8DoEhivOtvut&#10;sOhIYLZmeZmvtimoIzVLX+dTeIKAkG0MT/Y5TihjR1yXrtRgpamU3MOiCS4rvAw490BChewsDvfI&#10;JYgcdE0K+2E/jE3b6/oO5LY6DT6sPRidtl8x6mHogdmXA7EMI/FGQctW+WwWtiQ6s3lZgGPPT/bn&#10;J0RRgKqwxyiZW58262AsbzvIlIZE6Stoc8Oj7KHUVBUoERwY7KjJuIRhc879GPX3x7P5A1BLAwQK&#10;AAAAAACHTuJAAAAAAAAAAAAAAAAABgAAAF9yZWxzL1BLAwQUAAAACACHTuJAihRmPNEAAACUAQAA&#10;CwAAAF9yZWxzLy5yZWxzpZDBasMwDIbvg72D0X1xmsMYo04vo9Br6R7A2IpjGltGMtn69vMOg2X0&#10;tqN+oe8T//7wmRa1IkukbGDX9aAwO/IxBwPvl+PTCyipNnu7UEYDNxQ4jI8P+zMutrYjmWMR1ShZ&#10;DMy1lletxc2YrHRUMLfNRJxsbSMHXay72oB66Ptnzb8ZMG6Y6uQN8MkPoC630sx/2Ck6JqGpdo6S&#10;pmmK7h5VB7Zlju7INuEbuUazHLAa8CwaB2pZ134EfV+/+6fe00c+47rVfoeM649Xb7ocvwBQSwME&#10;FAAAAAgAh07iQH7m5SD3AAAA4QEAABMAAABbQ29udGVudF9UeXBlc10ueG1slZFBTsMwEEX3SNzB&#10;8hYlTrtACCXpgrRLQKgcYGRPEotkbHlMaG+Pk7YbRJFY2jP/vye73BzGQUwY2Dqq5CovpEDSzljq&#10;Kvm+32UPUnAEMjA4wkoekeWmvr0p90ePLFKauJJ9jP5RKdY9jsC580hp0rowQkzH0CkP+gM6VOui&#10;uFfaUUSKWZw7ZF022MLnEMX2kK5PJgEHluLptDizKgneD1ZDTKZqIvODkp0JeUouO9xbz3dJQ6pf&#10;CfPkOuCce0lPE6xB8QohPsOYNJQJrIz7ooBT/nfJbDly5trWasybwE2KveF0sbrWjmvXOP3f8u2S&#10;unSr5YPqb1BLAQIUABQAAAAIAIdO4kB+5uUg9wAAAOEBAAATAAAAAAAAAAEAIAAAAOIEAABbQ29u&#10;dGVudF9UeXBlc10ueG1sUEsBAhQACgAAAAAAh07iQAAAAAAAAAAAAAAAAAYAAAAAAAAAAAAQAAAA&#10;xAMAAF9yZWxzL1BLAQIUABQAAAAIAIdO4kCKFGY80QAAAJQBAAALAAAAAAAAAAEAIAAAAOgDAABf&#10;cmVscy8ucmVsc1BLAQIUAAoAAAAAAIdO4kAAAAAAAAAAAAAAAAAEAAAAAAAAAAAAEAAAAAAAAABk&#10;cnMvUEsBAhQAFAAAAAgAh07iQHI3BAPWAAAABgEAAA8AAAAAAAAAAQAgAAAAIgAAAGRycy9kb3du&#10;cmV2LnhtbFBLAQIUABQAAAAIAIdO4kAJdkGacwIAAMAEAAAOAAAAAAAAAAEAIAAAACUBAABkcnMv&#10;ZTJvRG9jLnhtbFBLBQYAAAAABgAGAFkBAAAKBgAAAAA=&#10;">
                        <v:fill on="f" focussize="0,0"/>
                        <v:stroke weight="1pt" color="#41719C [3204]" miterlimit="8" joinstyle="miter" dashstyle="dash"/>
                        <v:imagedata o:title=""/>
                        <o:lock v:ext="edit" aspectratio="f"/>
                        <v:textbox>
                          <w:txbxContent>
                            <w:p>
                              <w:pPr>
                                <w:adjustRightInd w:val="0"/>
                                <w:snapToGrid w:val="0"/>
                                <w:jc w:val="center"/>
                              </w:pPr>
                              <w:r>
                                <w:rPr>
                                  <w:rFonts w:hint="eastAsia"/>
                                </w:rPr>
                                <w:t>脱模剂</w:t>
                              </w:r>
                            </w:p>
                          </w:txbxContent>
                        </v:textbox>
                      </v:shape>
                      <v:shape id="文本框 121" o:spid="_x0000_s1026" o:spt="202" type="#_x0000_t202" style="position:absolute;left:1178999;top:2884805;height:276225;width:725170;" filled="f" stroked="t" coordsize="21600,21600" o:gfxdata="UEsDBAoAAAAAAIdO4kAAAAAAAAAAAAAAAAAEAAAAZHJzL1BLAwQUAAAACACHTuJAcjcEA9YAAAAG&#10;AQAADwAAAGRycy9kb3ducmV2LnhtbE2PwU7DMBBE70j8g7VI3KgTIyoT4vQA6gEhJCj9ADfeJlHi&#10;dRQ7beDrWbjAZaTVjGbelpvFD+KEU+wCGchXGQikOriOGgP7j+2NBhGTJWeHQGjgEyNsqsuL0hYu&#10;nOkdT7vUCC6hWFgDbUpjIWWsW/Q2rsKIxN4xTN4mPqdGusmeudwPUmXZWnrbES+0dsTHFut+N3sD&#10;6+VNqRdVf8n59fj81Pd3er8djbm+yrMHEAmX9BeGH3xGh4qZDmEmF8VggB9Jv8qezrUCceBQfn+r&#10;QVal/I9ffQNQSwMEFAAAAAgAh07iQFyt3Mt0AgAAwAQAAA4AAABkcnMvZTJvRG9jLnhtbK1US27b&#10;MBDdF+gdCO5rfWpHthE5SG2kKJB+gLQHoClKIspfSdqSe4D2Bl11033P5XN0SDqpkW6yqBbCjGb4&#10;Zt7jjC6vRinQnlnHtapxMckxYorqhquuxp8+3ryYY+Q8UQ0RWrEaH5jDV6vnzy4Hs2Sl7rVomEUA&#10;otxyMDXuvTfLLHO0Z5K4iTZMQbDVVhIPru2yxpIB0KXIyjy/yAZtG2M1Zc7B100K4hOifQqgbltO&#10;2UbTnWTKJ1TLBPFAyfXcOLyK3bYto/592zrmkagxMPXxDUXA3oZ3troky84S03N6aoE8pYVHnCTh&#10;Coo+QG2IJ2hn+T9QklOrnW79hGqZJSJREWBR5I+0ueuJYZELSO3Mg+ju/8HSd/sPFvGmxi8L0EQR&#10;CVd+/PH9+PP38dc3VJRFkGgwbgmZdwZy/fhKjzA4ka4zt5p+dkjpdU9Ux66t1UPPSAMtxpPZ2dGE&#10;4wLIdnirG6hEdl5HoLG1MugHiqCAXlTzxWKB0aHG5Xw+neezdFVs9IhCQlXOigoapiGhuijLGM/I&#10;8h7IWOdfMy1RMGpsYRJiIbK/dR4oQep9Sqir9A0XIk6DUGiADsoqD/jSgDZOdYmuFrwJieGIs912&#10;LSzaE5itaVEVi3VK6knD0tdZDk9oHKqd0pN9jhPa2BDXpyMNWImq5B4WTXBZ43nAuQcSKlRncbhP&#10;XILIQdeksB+34+nStro5gNxWp8GHtQej1/YrRgMMPTD7siOWYSTeKLiyRTGdAmkfnemsKsGx55Ht&#10;eYQoClA19hglc+3TZu2M5V0PldKQKH0N19zyKHtoNXUFSgQHBjtqclrCsDnnfsz6++NZ/QF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DjBAAAW0Nv&#10;bnRlbnRfVHlwZXNdLnhtbFBLAQIUAAoAAAAAAIdO4kAAAAAAAAAAAAAAAAAGAAAAAAAAAAAAEAAA&#10;AMUDAABfcmVscy9QSwECFAAUAAAACACHTuJAihRmPNEAAACUAQAACwAAAAAAAAABACAAAADpAwAA&#10;X3JlbHMvLnJlbHNQSwECFAAKAAAAAACHTuJAAAAAAAAAAAAAAAAABAAAAAAAAAAAABAAAAAAAAAA&#10;ZHJzL1BLAQIUABQAAAAIAIdO4kByNwQD1gAAAAYBAAAPAAAAAAAAAAEAIAAAACIAAABkcnMvZG93&#10;bnJldi54bWxQSwECFAAUAAAACACHTuJAXK3cy3QCAADABAAADgAAAAAAAAABACAAAAAlAQAAZHJz&#10;L2Uyb0RvYy54bWxQSwUGAAAAAAYABgBZAQAACwYAAAAA&#10;">
                        <v:fill on="f" focussize="0,0"/>
                        <v:stroke weight="1pt" color="#41719C [3204]" miterlimit="8" joinstyle="miter" dashstyle="dash"/>
                        <v:imagedata o:title=""/>
                        <o:lock v:ext="edit" aspectratio="f"/>
                        <v:textbox>
                          <w:txbxContent>
                            <w:p>
                              <w:pPr>
                                <w:adjustRightInd w:val="0"/>
                                <w:snapToGrid w:val="0"/>
                                <w:jc w:val="center"/>
                              </w:pPr>
                              <w:r>
                                <w:rPr>
                                  <w:rFonts w:hint="eastAsia"/>
                                </w:rPr>
                                <w:t>切削液</w:t>
                              </w:r>
                            </w:p>
                          </w:txbxContent>
                        </v:textbox>
                      </v:shape>
                      <v:shape id="直接箭头连接符 124" o:spid="_x0000_s1026" o:spt="32" type="#_x0000_t32" style="position:absolute;left:1940999;top:3006725;flip:y;height:1905;width:222885;" filled="f" stroked="t" coordsize="21600,21600" o:gfxdata="UEsDBAoAAAAAAIdO4kAAAAAAAAAAAAAAAAAEAAAAZHJzL1BLAwQUAAAACACHTuJA/3B/rtUAAAAG&#10;AQAADwAAAGRycy9kb3ducmV2LnhtbE2PzU6EQBCE7ya+w6RNvLkDGA2LDHswkhhNUNd9gFnoBYTp&#10;IUzv39vbetFLJZ2qVH2dr05uVAecQ+/JQLyIQCHVvumpNbD5LG9SUIEtNXb0hAbOGGBVXF7kNmv8&#10;kT7wsOZWSQmFzBromKdM61B36GxY+AlJvJ2fnWU551Y3sz1KuRt1EkX32tmeZKGzEz52WA/rvTPw&#10;Vb08303ncijfXrmqdjxg8v5kzPVVHD2AYjzxXxh+8AUdCmHa+j01QY0G5BH+VfHSOE1AbSUUL29T&#10;0EWu/+MX31BLAwQUAAAACACHTuJAb7sWyzcCAAAuBAAADgAAAGRycy9lMm9Eb2MueG1srVO9chMx&#10;EO6Z4R006vH9JA62x+cUNqEJ4JkEelnS+TTotBpJ9tkvwQswQwVUQJWep4HwGKx0JgmhScEVN6vb&#10;3W+/79Pe9HTXarKVziswFS0GOSXScBDKrCv6+vLsyYgSH5gRTIORFd1LT09njx9NOzuRJTSghXQE&#10;QYyfdLaiTQh2kmWeN7JlfgBWGkzW4FoW8OjWmXCsQ/RWZ2Wen2QdOGEdcOk9fl30SXpAdA8BhLpW&#10;XC6Ab1ppQo/qpGYBJflGWU9niW1dSx5e1bWXgeiKotKQ3jgE41V8Z7Mpm6wds43iBwrsIRTuaWqZ&#10;Mjj0BmrBAiMbp/6BahV34KEOAw5t1gtJjqCKIr/nzUXDrExa0Gpvb0z3/w+Wv9wuHVGiokdFQYlh&#10;LV759furn+8+XX/7+uPj1a/vH2L85TMpyuNoV2f9BLvmZumiYL4zF/Yc+FtPDMwbZtYy0b7cW0Qq&#10;Ykf2V0s8eItDV90LEFjDNgGSd7vataTWyr6JjREc/SE7PIyP8/F4TMkeaeIKPS2H/cXJXSAcC8qy&#10;HI2GlHAsKMZ5ymZsEgEjjHU+PJfQkhhU1AfH1LoJczAGFwRcP4xtz32IdG8bYrOBM6V12hNtSFfR&#10;k6Nhnth50ErEZCzzbr2aa0e2LG5aepJ2zNwtiwwWzDd9ncCoV+JgY0QaEpjSz4wgIRkYnEJLtaRx&#10;cisFJVribxujnqo2cbpMq37g/8fh/q5WIPZLF4vjd1yjpPCw8nFP755T1e1vPvsN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pQQAAFtDb250ZW50&#10;X1R5cGVzXS54bWxQSwECFAAKAAAAAACHTuJAAAAAAAAAAAAAAAAABgAAAAAAAAAAABAAAACHAwAA&#10;X3JlbHMvUEsBAhQAFAAAAAgAh07iQIoUZjzRAAAAlAEAAAsAAAAAAAAAAQAgAAAAqwMAAF9yZWxz&#10;Ly5yZWxzUEsBAhQACgAAAAAAh07iQAAAAAAAAAAAAAAAAAQAAAAAAAAAAAAQAAAAAAAAAGRycy9Q&#10;SwECFAAUAAAACACHTuJA/3B/rtUAAAAGAQAADwAAAAAAAAABACAAAAAiAAAAZHJzL2Rvd25yZXYu&#10;eG1sUEsBAhQAFAAAAAgAh07iQG+7Fss3AgAALgQAAA4AAAAAAAAAAQAgAAAAJAEAAGRycy9lMm9E&#10;b2MueG1sUEsFBgAAAAAGAAYAWQEAAM0FAAAAAA==&#10;">
                        <v:fill on="f" focussize="0,0"/>
                        <v:stroke weight="0.5pt" color="#000000" joinstyle="round" dashstyle="dash" endarrow="block"/>
                        <v:imagedata o:title=""/>
                        <o:lock v:ext="edit" aspectratio="f"/>
                      </v:shape>
                      <v:shape id="文本框 121" o:spid="_x0000_s1026" o:spt="202" type="#_x0000_t202" style="position:absolute;left:1140899;top:5723255;height:276225;width:762635;" filled="f" stroked="t" coordsize="21600,21600" o:gfxdata="UEsDBAoAAAAAAIdO4kAAAAAAAAAAAAAAAAAEAAAAZHJzL1BLAwQUAAAACACHTuJAcjcEA9YAAAAG&#10;AQAADwAAAGRycy9kb3ducmV2LnhtbE2PwU7DMBBE70j8g7VI3KgTIyoT4vQA6gEhJCj9ADfeJlHi&#10;dRQ7beDrWbjAZaTVjGbelpvFD+KEU+wCGchXGQikOriOGgP7j+2NBhGTJWeHQGjgEyNsqsuL0hYu&#10;nOkdT7vUCC6hWFgDbUpjIWWsW/Q2rsKIxN4xTN4mPqdGusmeudwPUmXZWnrbES+0dsTHFut+N3sD&#10;6+VNqRdVf8n59fj81Pd3er8djbm+yrMHEAmX9BeGH3xGh4qZDmEmF8VggB9Jv8qezrUCceBQfn+r&#10;QVal/I9ffQNQSwMEFAAAAAgAh07iQHROLkB1AgAAwAQAAA4AAABkcnMvZTJvRG9jLnhtbK1US27b&#10;MBDdF+gdCO4bfWLHsRE5SG2kKNAfkPYANEVJREkOS9KW0wO0N+iqm+57rpyjQ9JJjXSTRbUQZjTD&#10;N/MeZ3RxudeK7ITzEkxDq5OSEmE4tNL0Df308frFOSU+MNMyBUY09FZ4erl8/uxitAtRwwCqFY4g&#10;iPGL0TZ0CMEuisLzQWjmT8AKg8EOnGYBXdcXrWMjomtV1GV5VozgWuuAC+/x6zoH6QHRPQUQuk5y&#10;sQa+1cKEjOqEYgEp+UFaT5ep264TPLzvOi8CUQ1FpiG9sQjam/gulhds0TtmB8kPLbCntPCIk2bS&#10;YNEHqDULjGyd/AdKS+7AQxdOOOgiE0mKIIuqfKTNzcCsSFxQam8fRPf/D5a/231wRLYNPa1qSgzT&#10;eOV3P77f/fx99+sbqeoqSjRav8DMG4u5Yf8S9jg4ia63b4B/9sTAamCmF1fOwTgI1mKL6WRxdDTj&#10;+AiyGd9Ci5XYNkAC2ndOR/1QERLRq0l5Pp9TctvQ6aw+rafTfFViHwjHhNlZfXY6pYRjQo1OneIF&#10;W9wDWefDKwGaRKOhDichFWK7Nz4gJUy9T4l1DVxLpdI0KENG7KCelTgkXFvUxps+0wUl25gYj3jX&#10;b1bKkR3D2ZpUs2q+ykkDa0X+Oi3xiY1jtUN6to9xYhtr5od8pEUrU9Uy4KIpqRt6HnHugZSJ1UUa&#10;7gOXKHLUNSsc9pv94dI20N6i3A7y4OPaozGA+0rJiEOPzL5smROUqNcGr2xeTSZxS5IzQeHRcceR&#10;zXGEGY5QDQ2UZHMV8mZtrZP9gJXykBi4wmvuZJI9tpq7QiWig4OdNDksYdycYz9l/f3xLP8A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5AQAAFtD&#10;b250ZW50X1R5cGVzXS54bWxQSwECFAAKAAAAAACHTuJAAAAAAAAAAAAAAAAABgAAAAAAAAAAABAA&#10;AADGAwAAX3JlbHMvUEsBAhQAFAAAAAgAh07iQIoUZjzRAAAAlAEAAAsAAAAAAAAAAQAgAAAA6gMA&#10;AF9yZWxzLy5yZWxzUEsBAhQACgAAAAAAh07iQAAAAAAAAAAAAAAAAAQAAAAAAAAAAAAQAAAAAAAA&#10;AGRycy9QSwECFAAUAAAACACHTuJAcjcEA9YAAAAGAQAADwAAAAAAAAABACAAAAAiAAAAZHJzL2Rv&#10;d25yZXYueG1sUEsBAhQAFAAAAAgAh07iQHROLkB1AgAAwAQAAA4AAAAAAAAAAQAgAAAAJQEAAGRy&#10;cy9lMm9Eb2MueG1sUEsFBgAAAAAGAAYAWQEAAAwGAAAAAA==&#10;">
                        <v:fill on="f" focussize="0,0"/>
                        <v:stroke weight="1pt" color="#41719C [3204]" miterlimit="8" joinstyle="miter" dashstyle="dash"/>
                        <v:imagedata o:title=""/>
                        <o:lock v:ext="edit" aspectratio="f"/>
                        <v:textbox>
                          <w:txbxContent>
                            <w:p>
                              <w:pPr>
                                <w:adjustRightInd w:val="0"/>
                                <w:snapToGrid w:val="0"/>
                                <w:jc w:val="center"/>
                              </w:pPr>
                              <w:r>
                                <w:rPr>
                                  <w:rFonts w:hint="eastAsia"/>
                                </w:rPr>
                                <w:t>粉末涂料</w:t>
                              </w:r>
                            </w:p>
                          </w:txbxContent>
                        </v:textbox>
                      </v:shape>
                      <v:shape id="直接箭头连接符 124" o:spid="_x0000_s1026" o:spt="32" type="#_x0000_t32" style="position:absolute;left:1931474;top:5866130;height:7620;width:260985;"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A33mYCMwIAACQEAAAOAAAAZHJzL2Uyb0RvYy54bWytU8Fy&#10;0zAQvTPDP2h0J46TNE09cXpIKJcCmWn5AEWSYw2yViMpcfIT/AAznIATcOqdr4HyGazkpJRy6QEf&#10;PCvv7tt9T8/T812jyVY6r8CUNO/1KZGGg1BmXdI31xfPJpT4wIxgGows6V56ej57+mTa2kIOoAYt&#10;pCMIYnzR2pLWIdgiyzyvZcN8D6w0mKzANSzg0a0z4ViL6I3OBv3+OGvBCeuAS+/x66JL0gOiewwg&#10;VJXicgF800gTOlQnNQtIydfKejpL21aV5OF1VXkZiC4pMg3pjUMwXsV3NpuyYu2YrRU/rMAes8ID&#10;Tg1TBofeQS1YYGTj1D9QjeIOPFShx6HJOiJJEWSR9x9oc1UzKxMXlNrbO9H9/4Plr7ZLR5Qo6TAf&#10;UmJYg1d++/7m57tPt9++/vh48+v7hxh/+UzywSjK1VpfYNfcLF0kzHfmyl4Cf+uJgXnNzFqmta/3&#10;FpHy2JH91RIP3uLQVfsSBNawTYCk3a5yTYREVcgOe8+G+eh0RMm+pCeT8TgfHq5L7gLhWDAY988m&#10;J5RwLDgdD1I2Y8URxjofXkhoSAxK6oNjal2HORiDtgCXp6Fse+lDXJIVx4a4g4ELpXVyhzakLel4&#10;eNJPDR60EjEZy7xbr+bakS2L/kpPYoyZ+2URecF83dUJjDrjOdgYkYYEpvRzI0hIsgWnUEgtaZzc&#10;SEGJlvizxqhbVZs4XSaDH/Y/6trd0ArEfulicfyO5kkMD0aP7rx/TlV/fu7Zb1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KMEAABbQ29udGVudF9U&#10;eXBlc10ueG1sUEsBAhQACgAAAAAAh07iQAAAAAAAAAAAAAAAAAYAAAAAAAAAAAAQAAAAhQMAAF9y&#10;ZWxzL1BLAQIUABQAAAAIAIdO4kCKFGY80QAAAJQBAAALAAAAAAAAAAEAIAAAAKkDAABfcmVscy8u&#10;cmVsc1BLAQIUAAoAAAAAAIdO4kAAAAAAAAAAAAAAAAAEAAAAAAAAAAAAEAAAAAAAAABkcnMvUEsB&#10;AhQAFAAAAAgAh07iQEgK3OTXAAAABgEAAA8AAAAAAAAAAQAgAAAAIgAAAGRycy9kb3ducmV2Lnht&#10;bFBLAQIUABQAAAAIAIdO4kA33mYCMwIAACQEAAAOAAAAAAAAAAEAIAAAACYBAABkcnMvZTJvRG9j&#10;LnhtbFBLBQYAAAAABgAGAFkBAADLBQAAAAA=&#10;">
                        <v:fill on="f" focussize="0,0"/>
                        <v:stroke weight="0.5pt" color="#000000" joinstyle="round" dashstyle="dash" endarrow="block"/>
                        <v:imagedata o:title=""/>
                        <o:lock v:ext="edit" aspectratio="f"/>
                      </v:shape>
                      <v:shape id="直接箭头连接符 124" o:spid="_x0000_s1026" o:spt="32" type="#_x0000_t32" style="position:absolute;left:1902899;top:1360805;flip:y;height:1905;width:222885;" filled="f" stroked="t" coordsize="21600,21600" o:gfxdata="UEsDBAoAAAAAAIdO4kAAAAAAAAAAAAAAAAAEAAAAZHJzL1BLAwQUAAAACACHTuJA/3B/rtUAAAAG&#10;AQAADwAAAGRycy9kb3ducmV2LnhtbE2PzU6EQBCE7ya+w6RNvLkDGA2LDHswkhhNUNd9gFnoBYTp&#10;IUzv39vbetFLJZ2qVH2dr05uVAecQ+/JQLyIQCHVvumpNbD5LG9SUIEtNXb0hAbOGGBVXF7kNmv8&#10;kT7wsOZWSQmFzBromKdM61B36GxY+AlJvJ2fnWU551Y3sz1KuRt1EkX32tmeZKGzEz52WA/rvTPw&#10;Vb08303ncijfXrmqdjxg8v5kzPVVHD2AYjzxXxh+8AUdCmHa+j01QY0G5BH+VfHSOE1AbSUUL29T&#10;0EWu/+MX31BLAwQUAAAACACHTuJAjOlq/zYCAAAuBAAADgAAAGRycy9lMm9Eb2MueG1srVPBctMw&#10;EL0zwz9odCd2nCaTZOL0kFAuBTLTwl2R5FiDrNVISpz8BD/ADCfoCTj1ztdA+QxWcmhLufSAD56V&#10;d/fte0/r2em+0WQnnVdgStrv5ZRIw0Eosynpm8uzZ2NKfGBGMA1GlvQgPT2dP30ya+1UFlCDFtIR&#10;BDF+2tqS1iHYaZZ5XsuG+R5YaTBZgWtYwKPbZMKxFtEbnRV5PspacMI64NJ7/LrskvSI6B4DCFWl&#10;uFwC3zbShA7VSc0CSvK1sp7OE9uqkjy8riovA9ElRaUhvXEIxuv4zuYzNt04ZmvFjxTYYyg80NQw&#10;ZXDoLdSSBUa2Tv0D1SjuwEMVehyarBOSHEEV/fyBNxc1szJpQau9vTXd/z9Y/mq3ckSJkg76J5QY&#10;1uCV33y4/vn+8823rz8+Xf/6/jHGX65IvziJdrXWT7FrYVYuCuZ7c2HPgb/zxMCiZmYjE+3Lg0Wk&#10;fuzI/mqJB29x6Lp9CQJr2DZA8m5fuYZUWtm3sTGCoz9kj4dJXownE0oOGA9G+Tgfdhcn94FwLCiK&#10;YjweUsJjwaTLZmwaASOMdT68kNCQGJTUB8fUpg4LMAYXBFw3jO3OfYh07xpis4EzpXXaE21IW9LR&#10;YJgndh60EjEZy7zbrBfakR2Lm5aepB0z98sigyXzdVcnMOqUONgakYYEpvRzI0hIBgan0FItaZzc&#10;SEGJlvjbxqijqk2cLtOqH/n/cbi7qzWIw8rF4vgd1ygpPK583NP751R195vPfwN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CkBAAAW0NvbnRlbnRf&#10;VHlwZXNdLnhtbFBLAQIUAAoAAAAAAIdO4kAAAAAAAAAAAAAAAAAGAAAAAAAAAAAAEAAAAIYDAABf&#10;cmVscy9QSwECFAAUAAAACACHTuJAihRmPNEAAACUAQAACwAAAAAAAAABACAAAACqAwAAX3JlbHMv&#10;LnJlbHNQSwECFAAKAAAAAACHTuJAAAAAAAAAAAAAAAAABAAAAAAAAAAAABAAAAAAAAAAZHJzL1BL&#10;AQIUABQAAAAIAIdO4kD/cH+u1QAAAAYBAAAPAAAAAAAAAAEAIAAAACIAAABkcnMvZG93bnJldi54&#10;bWxQSwECFAAUAAAACACHTuJAjOlq/zYCAAAuBAAADgAAAAAAAAABACAAAAAkAQAAZHJzL2Uyb0Rv&#10;Yy54bWxQSwUGAAAAAAYABgBZAQAAzAUAAAAA&#10;">
                        <v:fill on="f" focussize="0,0"/>
                        <v:stroke weight="0.5pt" color="#000000" joinstyle="round" dashstyle="dash" endarrow="block"/>
                        <v:imagedata o:title=""/>
                        <o:lock v:ext="edit" aspectratio="f"/>
                      </v:shape>
                      <v:shape id="文本框 119" o:spid="_x0000_s1026" o:spt="202" type="#_x0000_t202" style="position:absolute;left:150495;top:732155;height:538480;width:90868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CIRPL/TQIAAGgEAAAOAAAAZHJzL2Uyb0RvYy54bWytVEtu2zAQ3Rfo&#10;HQjua0m25diC5SCNkaJA+gHSHoCmKIuoyGFJ2pJ7gOYGXXXTfc/lc3RIOamRbrKoFsJQQ7558+ZR&#10;y8tetWQvrJOgS5qNUkqE5lBJvS3p5083r+aUOM90xVrQoqQH4ejl6uWLZWcKMYYG2kpYgiDaFZ0p&#10;aeO9KZLE8UYo5kZghMZkDVYxj0u7TSrLOkRXbTJO01nSga2MBS6cw6/rIUlPiPY5gFDXkos18J0S&#10;2g+oVrTMY0uukcbRVWRb14L7D3XthCdtSbFTH99YBONNeCerJSu2lplG8hMF9hwKT3pSTGos+gi1&#10;Zp6RnZX/QCnJLTio/YiDSoZGoiLYRZY+0eauYUbEXlBqZx5Fd/8Plr/ff7REViWdZDklmikc+fHH&#10;/fHn7+Ov7yTLFkGizrgCd94Z3Ov719CjcWK7ztwC/+KIhuuG6a24sha6RrAKKWbhZHJ2dMBxAWTT&#10;vYMKK7GdhwjU11YF/VAREtDzdLpAPoeSXkzGWZ4PgxK9JxzTi3Q+m2OaYz6fzKfzOMiEFQ8wxjr/&#10;RoAiISipRR/EMmx/63ygxYqHLaGqhhvZttELrSZdSWeTPI0HzjLhwJq5huwZmqnCaCClpMcL0UpV&#10;0nkantg3K1odoEU04alqECP0Pyjh+01/EncD1QFlsTAYFK8nBg3Yb5R0aM6Suq87ZgUl7VuN0i6y&#10;6TS4OS6m+cUYF/Y8sznPMM0RqqSekiG89sMN2Bkrtw1WGoap4QrHUcsoUKA6sDoNEQ0YdTtdluDw&#10;83Xc9fcHsfoD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twQAAFtDb250ZW50X1R5cGVzXS54bWxQSwECFAAKAAAAAACHTuJAAAAAAAAAAAAAAAAA&#10;BgAAAAAAAAAAABAAAACZAwAAX3JlbHMvUEsBAhQAFAAAAAgAh07iQIoUZjzRAAAAlAEAAAsAAAAA&#10;AAAAAQAgAAAAvQMAAF9yZWxzLy5yZWxzUEsBAhQACgAAAAAAh07iQAAAAAAAAAAAAAAAAAQAAAAA&#10;AAAAAAAQAAAAAAAAAGRycy9QSwECFAAUAAAACACHTuJAl1FGW9EAAAAGAQAADwAAAAAAAAABACAA&#10;AAAiAAAAZHJzL2Rvd25yZXYueG1sUEsBAhQAFAAAAAgAh07iQIhE8v9NAgAAaAQAAA4AAAAAAAAA&#10;AQAgAAAAIAEAAGRycy9lMm9Eb2MueG1sUEsFBgAAAAAGAAYAWQEAAN8FAAAAAA==&#10;">
                        <v:fill on="f" focussize="0,0"/>
                        <v:stroke on="f" weight="0.5pt" miterlimit="8" joinstyle="miter" dashstyle="dash"/>
                        <v:imagedata o:title=""/>
                        <o:lock v:ext="edit" aspectratio="f"/>
                        <v:textbox>
                          <w:txbxContent>
                            <w:p>
                              <w:pPr>
                                <w:adjustRightInd w:val="0"/>
                                <w:snapToGrid w:val="0"/>
                                <w:jc w:val="left"/>
                              </w:pPr>
                              <w:r>
                                <w:rPr>
                                  <w:rFonts w:hint="eastAsia"/>
                                </w:rPr>
                                <w:t>压铸机</w:t>
                              </w:r>
                            </w:p>
                            <w:p>
                              <w:pPr>
                                <w:pStyle w:val="2"/>
                                <w:rPr>
                                  <w:color w:val="auto"/>
                                  <w:sz w:val="21"/>
                                  <w:szCs w:val="21"/>
                                </w:rPr>
                              </w:pPr>
                              <w:r>
                                <w:rPr>
                                  <w:rFonts w:hint="eastAsia"/>
                                  <w:color w:val="auto"/>
                                  <w:sz w:val="21"/>
                                  <w:szCs w:val="21"/>
                                </w:rPr>
                                <w:t>感应电炉</w:t>
                              </w:r>
                            </w:p>
                          </w:txbxContent>
                        </v:textbox>
                      </v:shape>
                      <v:shape id="文本框 119" o:spid="_x0000_s1026" o:spt="202" type="#_x0000_t202" style="position:absolute;left:179070;top:1722755;height:445770;width:74866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DNrhcASQIAAGkEAAAOAAAAZHJzL2Uyb0RvYy54bWytVEtu2zAQ3Rfo&#10;HQjua0mOv4LlII2RokD6AdIegKYoi6jIYUnaknuA9gZdddN9z+VzdEgpiZFusqgWxJAzfDPz5lGr&#10;y0415CCsk6ALmo1SSoTmUEq9K+jnTzevFpQ4z3TJGtCioEfh6OX65YtVa3IxhhqaUliCINrlrSlo&#10;7b3Jk8TxWijmRmCERmcFVjGPW7tLSstaRFdNMk7TWdKCLY0FLpzD003vpAOifQ4gVJXkYgN8r4T2&#10;PaoVDfPYkqulcXQdq60qwf2HqnLCk6ag2KmPKyZBexvWZL1i+c4yU0s+lMCeU8KTnhSTGpM+QG2Y&#10;Z2Rv5T9QSnILDio/4qCSvpHICHaRpU+4uauZEbEXpNqZB9Ld/4Pl7w8fLZFlQS+yGSWaKRz56eeP&#10;068/p9/fSZYtA0WtcTlG3hmM9d1r6FA4sV1nboF/cUTDdc30TlxZC20tWIklZuFmcna1x3EBZNu+&#10;gxIzsb2HCNRVVgX+kBES0OfLdI4zOgZzPJ5Pp/2kROcJR/98spjNppRwDJhMpnOMDclYfo9jrPNv&#10;BCgSjIJaFELMww63zveh9yEhrYYb2TR4zvJGk7ags4tpGi+cecKFDXM1OTBUU4lWX5SSHl9EI1VB&#10;F2n4hloaHfBEVOGQNbARCOip8N22w5zhcAvlEXmx0CsU3ycaNdhvlLSozoK6r3tmBSXNW43cLrPJ&#10;JMg5brD/MW7suWd77mGaI1RBPSW9ee37J7A3Vu5qzNRPU8MVzqOSkaDHqoYpogIjxcNrCRI/38eo&#10;xz/E+i9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XUUZb0QAAAAYBAAAPAAAAAAAAAAEAIAAAACIA&#10;AABkcnMvZG93bnJldi54bWxQSwECFAAUAAAACACHTuJAza4XAEkCAABpBAAADgAAAAAAAAABACAA&#10;AAAgAQAAZHJzL2Uyb0RvYy54bWxQSwUGAAAAAAYABgBZAQAA2wUAAAAA&#10;">
                        <v:fill on="f" focussize="0,0"/>
                        <v:stroke on="f" weight="0.5pt" miterlimit="8" joinstyle="miter" dashstyle="dash"/>
                        <v:imagedata o:title=""/>
                        <o:lock v:ext="edit" aspectratio="f"/>
                        <v:textbox>
                          <w:txbxContent>
                            <w:p>
                              <w:pPr>
                                <w:adjustRightInd w:val="0"/>
                                <w:snapToGrid w:val="0"/>
                                <w:jc w:val="left"/>
                              </w:pPr>
                              <w:r>
                                <w:rPr>
                                  <w:rFonts w:hint="eastAsia"/>
                                </w:rPr>
                                <w:t>打磨机</w:t>
                              </w:r>
                            </w:p>
                            <w:p>
                              <w:pPr>
                                <w:adjustRightInd w:val="0"/>
                                <w:snapToGrid w:val="0"/>
                                <w:jc w:val="left"/>
                              </w:pPr>
                              <w:r>
                                <w:rPr>
                                  <w:rFonts w:hint="eastAsia"/>
                                </w:rPr>
                                <w:t>气动锉刀</w:t>
                              </w:r>
                            </w:p>
                          </w:txbxContent>
                        </v:textbox>
                      </v:shape>
                      <v:shape id="文本框 119" o:spid="_x0000_s1026" o:spt="202" type="#_x0000_t202" style="position:absolute;left:245549;top:2294255;height:254000;width:59563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DRsMqUSwIAAGkEAAAOAAAAZHJzL2Uyb0RvYy54bWytVEtu2zAQ3Rfo&#10;HQjuG0mO5MRC5CCNkaJA+gHSHoCmKIuoyGFJ2pJ7gOYGXXXTfc+Vc3RIKa6RbrLoRhh6hm/evHn0&#10;xeWgOrIT1knQFc1OUkqE5lBLvano5083r84pcZ7pmnWgRUX3wtHL5csXF70pxQxa6GphCYJoV/am&#10;oq33pkwSx1uhmDsBIzQmG7CKeTzaTVJb1iO66pJZms6THmxtLHDhHP66GpN0QrTPAYSmkVysgG+V&#10;0H5EtaJjHkdyrTSOLiPbphHcf2gaJzzpKoqT+vjFJhivwzdZXrByY5lpJZ8osOdQeDKTYlJj0wPU&#10;inlGtlb+A6Ukt+Cg8SccVDIOEhXBKbL0iTZ3LTMizoJSO3MQ3f0/WP5+99ESWVf0NDujRDOFK3/4&#10;cf/w8/fDr+8kyxZBot64EivvDNb64TUMaJw4rjO3wL84ouG6ZXojrqyFvhWsRopZuJkcXR1xXABZ&#10;9++gxk5s6yECDY1VQT9UhCD6LC+KfEHJHsPZIp8VxbgpMXjCMV8sivkp7pCHgiJP07jJhJWPOMY6&#10;/0aAIiGoqEUjxD5sd+t84MXKx5LQVsON7Lpohk6TvqLz0yKNF44y4cKKuZbsGLqpxmgkpaTHF9FJ&#10;VdFzZHLg0ukALaILp65BjSDAKIUf1sOk7hrqPepiYXQovk8MWrDfKOnRnRV1X7fMCkq6txq1XWR5&#10;HuwcD3lxNsODPc6sjzNMc4SqqKdkDK/9+AS2xspNi53GbWq4wn00MgoUqI6spi2iA6Nu02sJFj8+&#10;x6q//xDLP1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JdRRlvRAAAABgEAAA8AAAAAAAAAAQAgAAAA&#10;IgAAAGRycy9kb3ducmV2LnhtbFBLAQIUABQAAAAIAIdO4kDRsMqUSwIAAGkEAAAOAAAAAAAAAAEA&#10;IAAAACABAABkcnMvZTJvRG9jLnhtbFBLBQYAAAAABgAGAFkBAADdBQAAAAA=&#10;">
                        <v:fill on="f" focussize="0,0"/>
                        <v:stroke on="f" weight="0.5pt" miterlimit="8" joinstyle="miter" dashstyle="dash"/>
                        <v:imagedata o:title=""/>
                        <o:lock v:ext="edit" aspectratio="f"/>
                        <v:textbox>
                          <w:txbxContent>
                            <w:p>
                              <w:pPr>
                                <w:adjustRightInd w:val="0"/>
                                <w:snapToGrid w:val="0"/>
                                <w:jc w:val="left"/>
                              </w:pPr>
                              <w:r>
                                <w:rPr>
                                  <w:rFonts w:hint="eastAsia"/>
                                </w:rPr>
                                <w:t>冲床</w:t>
                              </w:r>
                            </w:p>
                          </w:txbxContent>
                        </v:textbox>
                      </v:shape>
                      <v:shape id="文本框 119" o:spid="_x0000_s1026" o:spt="202" type="#_x0000_t202" style="position:absolute;left:245549;top:2856230;height:254000;width:59563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C1yF4LSgIAAGkEAAAOAAAAZHJzL2Uyb0RvYy54bWytVEtu2zAQ3Rfo&#10;HQjuG0mO5MaC5SCNkaJA+gHSHoCmKIuoyGFJ2lJ6gPYGXXXTfc/lc3RIKa6RbrLoRhhyhm9m3rzR&#10;8nJQHdkL6yToimZnKSVCc6il3lb008ebFxeUOM90zTrQoqL3wtHL1fNny96UYgYtdLWwBEG0K3tT&#10;0dZ7UyaJ461QzJ2BERqdDVjFPB7tNqkt6xFddcksTedJD7Y2FrhwDm/Xo5NOiPYpgNA0kos18J0S&#10;2o+oVnTMY0uulcbRVay2aQT375vGCU+6imKnPn4xCdqb8E1WS1ZuLTOt5FMJ7CklPOpJMakx6RFq&#10;zTwjOyv/gVKSW3DQ+DMOKhkbiYxgF1n6iJu7lhkRe0GqnTmS7v4fLH+3/2CJrCt6nuHgNVM48sOP&#10;74efvw+/vpEsWwSKeuNKjLwzGOuHVzCgcGK7ztwC/+yIhuuW6a24shb6VrAaS8zCy+Tk6YjjAsim&#10;fws1ZmI7DxFoaKwK/CEjBNFneVHkC0ru0bwo5rPzaVJi8ISjv1gUc7wjPAQUeZpGf8LKBxxjnX8t&#10;QJFgVNSiEGIetr91PtTFyoeQkFbDjey6KIZOk76i8/MijQ9OPOHBmrmW7BmqqUZrlI+SHjeik6qi&#10;F1jJsZZOB2gRVThlDWwEAkYq/LAZJnY3UN8jLxZGheJ+otGC/UpJj+qsqPuyY1ZQ0r3RyO0iy/Mg&#10;53jIi5czPNhTz+bUwzRHqIp6Skbz2o8rsDNWblvMNE5TwxXOo5GRoFDqWNU0RVRg5G3aliDx03OM&#10;+vuHWP0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l1FGW9EAAAAGAQAADwAAAAAAAAABACAAAAAi&#10;AAAAZHJzL2Rvd25yZXYueG1sUEsBAhQAFAAAAAgAh07iQLXIXgtKAgAAaQQAAA4AAAAAAAAAAQAg&#10;AAAAIAEAAGRycy9lMm9Eb2MueG1sUEsFBgAAAAAGAAYAWQEAANwFAAAAAA==&#10;">
                        <v:fill on="f" focussize="0,0"/>
                        <v:stroke on="f" weight="0.5pt" miterlimit="8" joinstyle="miter" dashstyle="dash"/>
                        <v:imagedata o:title=""/>
                        <o:lock v:ext="edit" aspectratio="f"/>
                        <v:textbox>
                          <w:txbxContent>
                            <w:p>
                              <w:pPr>
                                <w:adjustRightInd w:val="0"/>
                                <w:snapToGrid w:val="0"/>
                                <w:jc w:val="left"/>
                              </w:pPr>
                              <w:r>
                                <w:rPr>
                                  <w:rFonts w:hint="eastAsia"/>
                                </w:rPr>
                                <w:t>CNC</w:t>
                              </w:r>
                            </w:p>
                          </w:txbxContent>
                        </v:textbox>
                      </v:shape>
                      <v:shape id="文本框 119" o:spid="_x0000_s1026" o:spt="202" type="#_x0000_t202" style="position:absolute;left:207449;top:3370580;height:254000;width:59563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DnTxiCSgIAAGkEAAAOAAAAZHJzL2Uyb0RvYy54bWytVEtu2zAQ3Rfo&#10;HQjua8l/W7AcpDFSFEg/QNoD0BRlERU5LElbcg/Q3KCrbrrvuXyODinFNdJNFt0IQw755s2bR62u&#10;WlWTg7BOgs7pcJBSIjSHQupdTj9/un21oMR5pgtWgxY5PQpHr9YvX6wak4kRVFAXwhIE0S5rTE4r&#10;702WJI5XQjE3ACM0Jkuwinlc2l1SWNYguqqTUZrOkgZsYSxw4Rzubrok7RHtcwChLCUXG+B7JbTv&#10;UK2omceWXCWNo+vItiwF9x/K0glP6pxipz5+sQjG2/BN1iuW7SwzleQ9BfYcCk96UkxqLHqG2jDP&#10;yN7Kf6CU5BYclH7AQSVdI1ER7GKYPtHmvmJGxF5QamfOorv/B8vfHz5aIoucjodLSjRTOPLTj4fT&#10;z9+nX9/JEDdRosa4DE/eGzzr29fQonFiu87cAf/iiIabiumduLYWmkqwAikOw83k4mqH4wLItnkH&#10;BVZiew8RqC2tCvqhIgTRR+l8MkE+R+Q1nqfTRT8p0XrCMT9dTmdjnCHHA6PpJE1jPmHZI46xzr8R&#10;oEgIcmrRCLEOO9w5H3ix7PFIKKvhVtZ1NEOtSZPT2XiaxgsXmXBhw1xFDgzdVGDU2UdJjy+iliqn&#10;C2Ry5lLrAC2iC/uqQY0gQCeFb7dtr+4WiiPqYqFzKL5PDCqw3yhp0J05dV/3zApK6rcatV0OJ5Ng&#10;57iYTOcjXNjLzPYywzRHqJx6SrrwxndPYG+s3FVYqZumhmucRymjQIFqx6qfIjow6ta/lmDxy3U8&#10;9fcPsf4D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l1FGW9EAAAAGAQAADwAAAAAAAAABACAAAAAi&#10;AAAAZHJzL2Rvd25yZXYueG1sUEsBAhQAFAAAAAgAh07iQOdPGIJKAgAAaQQAAA4AAAAAAAAAAQAg&#10;AAAAIAEAAGRycy9lMm9Eb2MueG1sUEsFBgAAAAAGAAYAWQEAANwFAAAAAA==&#10;">
                        <v:fill on="f" focussize="0,0"/>
                        <v:stroke on="f" weight="0.5pt" miterlimit="8" joinstyle="miter" dashstyle="dash"/>
                        <v:imagedata o:title=""/>
                        <o:lock v:ext="edit" aspectratio="f"/>
                        <v:textbox>
                          <w:txbxContent>
                            <w:p>
                              <w:pPr>
                                <w:adjustRightInd w:val="0"/>
                                <w:snapToGrid w:val="0"/>
                                <w:jc w:val="left"/>
                              </w:pPr>
                              <w:r>
                                <w:rPr>
                                  <w:rFonts w:hint="eastAsia"/>
                                </w:rPr>
                                <w:t>钻孔机</w:t>
                              </w:r>
                            </w:p>
                          </w:txbxContent>
                        </v:textbox>
                      </v:shape>
                      <v:shape id="文本框 119" o:spid="_x0000_s1026" o:spt="202" type="#_x0000_t202" style="position:absolute;left:216974;top:3913505;height:254000;width:59563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ClfGQMSgIAAGkEAAAOAAAAZHJzL2Uyb0RvYy54bWytVEtu2zAQ3Rfo&#10;HQjua0n+JRYsB2mMFAXSD5D2ADRFWURFDkvSltwDNDfoqpvuey6fo0NKcY10k0U3wtAzfPPmzaOX&#10;V51qyF5YJ0EXNBullAjNoZR6W9DPn25fXVLiPNMla0CLgh6Eo1erly+WrcnFGGpoSmEJgmiXt6ag&#10;tfcmTxLHa6GYG4ERGpMVWMU8Hu02KS1rEV01yThN50kLtjQWuHAOf133STog2ucAQlVJLtbAd0po&#10;36Na0TCPI7laGkdXkW1VCe4/VJUTnjQFxUl9/GITjDfhm6yWLN9aZmrJBwrsORSezKSY1Nj0BLVm&#10;npGdlf9AKcktOKj8iINK+kGiIjhFlj7R5r5mRsRZUGpnTqK7/wfL3+8/WiLLgk7GqIlmCld+/PFw&#10;/Pn7+Os7ybJFkKg1LsfKe4O1vnsNHRonjuvMHfAvjmi4qZneimtroa0FK5FiFm4mZ1d7HBdANu07&#10;KLET23mIQF1lVdAPFSGIPs7mi4spJQfktcgms3TWb0p0nnDMzxaz+QT5ciwYz6ZpGjeZsPwRx1jn&#10;3whQJAQFtWiE2Ift75wPvFj+WBLaariVTRPN0GjSFnSOPeOFs0y4sGauJnuGbiox6kkp6fFFNFIV&#10;9BKZnLg0OkCL6MKha1AjCNBL4btNN6i7gfKAuljoHYrvE4Ma7DdKWnRnQd3XHbOCkuatRm0X2XQa&#10;7BwP09lF2J09z2zOM0xzhCqop6QPb3z/BHbGym2NnfptarjGfVQyChSo9qyGLaIDo27DawkWPz/H&#10;qr//EKs/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tAQAAFtDb250ZW50X1R5cGVzXS54bWxQSwECFAAKAAAAAACHTuJAAAAAAAAAAAAAAAAABgAA&#10;AAAAAAAAABAAAACWAwAAX3JlbHMvUEsBAhQAFAAAAAgAh07iQIoUZjzRAAAAlAEAAAsAAAAAAAAA&#10;AQAgAAAAugMAAF9yZWxzLy5yZWxzUEsBAhQACgAAAAAAh07iQAAAAAAAAAAAAAAAAAQAAAAAAAAA&#10;AAAQAAAAAAAAAGRycy9QSwECFAAUAAAACACHTuJAl1FGW9EAAAAGAQAADwAAAAAAAAABACAAAAAi&#10;AAAAZHJzL2Rvd25yZXYueG1sUEsBAhQAFAAAAAgAh07iQKV8ZAxKAgAAaQQAAA4AAAAAAAAAAQAg&#10;AAAAIAEAAGRycy9lMm9Eb2MueG1sUEsFBgAAAAAGAAYAWQEAANwFAAAAAA==&#10;">
                        <v:fill on="f" focussize="0,0"/>
                        <v:stroke on="f" weight="0.5pt" miterlimit="8" joinstyle="miter" dashstyle="dash"/>
                        <v:imagedata o:title=""/>
                        <o:lock v:ext="edit" aspectratio="f"/>
                        <v:textbox>
                          <w:txbxContent>
                            <w:p>
                              <w:pPr>
                                <w:adjustRightInd w:val="0"/>
                                <w:snapToGrid w:val="0"/>
                                <w:jc w:val="left"/>
                              </w:pPr>
                              <w:r>
                                <w:rPr>
                                  <w:rFonts w:hint="eastAsia"/>
                                </w:rPr>
                                <w:t>攻牙机</w:t>
                              </w:r>
                            </w:p>
                          </w:txbxContent>
                        </v:textbox>
                      </v:shape>
                      <v:shape id="文本框 119" o:spid="_x0000_s1026" o:spt="202" type="#_x0000_t202" style="position:absolute;left:179070;top:4427855;height:600075;width:59499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AkmQy5TgIAAGkEAAAOAAAAZHJzL2Uyb0RvYy54bWytVEtu2zAQ3Rfo&#10;HQjua0mOFNuC5SCNkaJA+gHSHoCmKIuoyGFJ2lJ6gOYGXXXTfc/lc3RIOamRbrLoRhh6hm/evHn0&#10;8mJQHdkL6yToimaTlBKhOdRSbyv6+dP1qzklzjNdsw60qOidcPRi9fLFsjelmEILXS0sQRDtyt5U&#10;tPXelEnieCsUcxMwQmOyAauYx6PdJrVlPaKrLpmm6XnSg62NBS6cw1/XY5IeEe1zAKFpJBdr4Dsl&#10;tB9RreiYx5FcK42jq8i2aQT3H5rGCU+6iuKkPn6xCcab8E1WS1ZuLTOt5EcK7DkUnsykmNTY9BFq&#10;zTwjOyv/gVKSW3DQ+AkHlYyDREVwiix9os1ty4yIs6DUzjyK7v4fLH+//2iJrCt6Ns0o0Uzhyg8/&#10;7g8/fx9+fSdZtggS9caVWHlrsNYPr2FA48RxnbkB/sURDVct01txaS30rWA1UszCzeTk6ojjAsim&#10;fwc1dmI7DxFoaKwK+qEiJKDPFukMd3RX0TyfzuZFMW5KDJ5wzBeLfLEoKOFYcJ6m6SzmE1Y+4Bjr&#10;/BsBioSgohaNEPuw/Y3zgRcrH0pCWw3XsuuiGTpNegQ9K9J44SQTLqyZa8meoZtqjEZSSnp8EZ1U&#10;FZ0jlzS6Cht0OkCL6MJj16BGEGCUwg+b4ajuBuo71MXC6FB8nxi0YL9R0qM7K+q+7pgVlHRvNWq7&#10;yPI82Dke8mI2xYM9zWxOM0xzhKqop2QMr/z4BHbGym2LncZtarjEfTQyChSojqyOW0QHRt2OryVY&#10;/PQcq/7+Q6z+AF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JdRRlvRAAAABgEAAA8AAAAAAAAAAQAg&#10;AAAAIgAAAGRycy9kb3ducmV2LnhtbFBLAQIUABQAAAAIAIdO4kAkmQy5TgIAAGkEAAAOAAAAAAAA&#10;AAEAIAAAACABAABkcnMvZTJvRG9jLnhtbFBLBQYAAAAABgAGAFkBAADgBQAAAAA=&#10;">
                        <v:fill on="f" focussize="0,0"/>
                        <v:stroke on="f" weight="0.5pt" miterlimit="8" joinstyle="miter" dashstyle="dash"/>
                        <v:imagedata o:title=""/>
                        <o:lock v:ext="edit" aspectratio="f"/>
                        <v:textbox>
                          <w:txbxContent>
                            <w:p>
                              <w:pPr>
                                <w:adjustRightInd w:val="0"/>
                                <w:snapToGrid w:val="0"/>
                                <w:jc w:val="left"/>
                              </w:pPr>
                              <w:r>
                                <w:rPr>
                                  <w:rFonts w:hint="eastAsia"/>
                                </w:rPr>
                                <w:t>喷砂机研磨机抛光机</w:t>
                              </w:r>
                            </w:p>
                          </w:txbxContent>
                        </v:textbox>
                      </v:shape>
                      <v:shape id="文本框 119" o:spid="_x0000_s1026" o:spt="202" type="#_x0000_t202" style="position:absolute;left:188595;top:5637530;height:511175;width:59563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DGHYORSwIAAGkEAAAOAAAAZHJzL2Uyb0RvYy54bWytVEtu2zAQ3Rfo&#10;HQjua1m25diC5SCNkaJA+gHSHoCmKIuoyGFJ2pJ7gOYGXXXTfc/lc3RIKamRbrKoFsSQM3wz8+ZR&#10;q8tONeQgrJOgC5qOxpQIzaGUelfQz59uXi0ocZ7pkjWgRUGPwtHL9csXq9bkYgI1NKWwBEG0y1tT&#10;0Np7kyeJ47VQzI3ACI3OCqxiHrd2l5SWtYiummQyHs+TFmxpLHDhHJ5ueicdEO1zAKGqJBcb4Hsl&#10;tO9RrWiYx5ZcLY2j61htVQnuP1SVE540BcVOfVwxCdrbsCbrFct3lpla8qEE9pwSnvSkmNSY9BFq&#10;wzwjeyv/gVKSW3BQ+REHlfSNREawi3T8hJu7mhkRe0GqnXkk3f0/WP7+8NESWRZ0OplQopnCkZ9+&#10;3J9+/j79+k7SdBkoao3LMfLOYKzvXkOHwontOnML/IsjGq5rpnfiylpoa8FKLDENN5Ozqz2OCyDb&#10;9h2UmIntPUSgrrIq8IeMkIC+WGTLjJJjQbP59CKbDpMSnScc/eic4xnhISBN04ssJmP5A46xzr8R&#10;oEgwCmpRCDEPO9w6H+pi+UNISKvhRjZNFEOjSVvQ+TQbxwtnnnBhw1xNDgzVVKLVy0dJjy+ikaqg&#10;i3H4hloaHaBFVOGQNbARCOip8N22G9jdQnlEXiz0CsX3iUYN9hslLaqzoO7rnllBSfNWI7fLdDYL&#10;co6bWXYxwY0992zPPUxzhCqop6Q3r33/BPbGyl2NmfpparjCeVQyEhRK7asapogKjLwNryVI/Hwf&#10;o/7+IdZ/AF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JdRRlvRAAAABgEAAA8AAAAAAAAAAQAgAAAA&#10;IgAAAGRycy9kb3ducmV2LnhtbFBLAQIUABQAAAAIAIdO4kDGHYORSwIAAGkEAAAOAAAAAAAAAAEA&#10;IAAAACABAABkcnMvZTJvRG9jLnhtbFBLBQYAAAAABgAGAFkBAADdBQAAAAA=&#10;">
                        <v:fill on="f" focussize="0,0"/>
                        <v:stroke on="f" weight="0.5pt" miterlimit="8" joinstyle="miter" dashstyle="dash"/>
                        <v:imagedata o:title=""/>
                        <o:lock v:ext="edit" aspectratio="f"/>
                        <v:textbox>
                          <w:txbxContent>
                            <w:p>
                              <w:pPr>
                                <w:adjustRightInd w:val="0"/>
                                <w:snapToGrid w:val="0"/>
                                <w:jc w:val="left"/>
                              </w:pPr>
                              <w:r>
                                <w:rPr>
                                  <w:rFonts w:hint="eastAsia"/>
                                </w:rPr>
                                <w:t>喷粉柜</w:t>
                              </w:r>
                            </w:p>
                            <w:p>
                              <w:pPr>
                                <w:pStyle w:val="2"/>
                                <w:rPr>
                                  <w:sz w:val="21"/>
                                </w:rPr>
                              </w:pPr>
                              <w:r>
                                <w:rPr>
                                  <w:rFonts w:hint="eastAsia"/>
                                  <w:sz w:val="21"/>
                                </w:rPr>
                                <w:t>喷枪</w:t>
                              </w:r>
                            </w:p>
                          </w:txbxContent>
                        </v:textbox>
                      </v:shape>
                      <v:shape id="直接箭头连接符 138" o:spid="_x0000_s1026" o:spt="32" type="#_x0000_t32" style="position:absolute;left:3103049;top:6885305;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CEUvgCLgIAACEEAAAOAAAAZHJzL2Uyb0RvYy54bWytU8Fy&#10;0zAQvTPDP2h0J3Zi0gmeOD0klEuBzrR8gCLJtgZZq5GUOPkJfoAZTsAJOPXO10D5DFZyUkq59IAP&#10;npW0+/a9p9X8dNdpspXOKzAVHY9ySqThIJRpKvrm6uzJjBIfmBFMg5EV3UtPTxePH817W8oJtKCF&#10;dARBjC97W9E2BFtmmeet7JgfgZUGD2twHQu4dE0mHOsRvdPZJM9Psh6csA649B53V8MhPSC6hwBC&#10;XSsuV8A3nTRhQHVSs4CSfKusp4vEtq4lD6/r2stAdEVRaUh/bILxOv6zxZyVjWO2VfxAgT2Ewj1N&#10;HVMGm95CrVhgZOPUP1Cd4g481GHEocsGIckRVDHO73lz2TIrkxa02ttb0/3/g+WvtheOKFHRYlJQ&#10;YliHV37z/vrnu083377++Hj96/uHGH/5TMbFLNrVW19i1dJcuCiY78ylPQf+1hMDy5aZRibaV3uL&#10;SONYkf1VEhfeYtN1/xIE5rBNgOTdrnZdhERXyA4JjfMif/qMkn1FT2azaZFPh+uSu0B4TChyHChK&#10;OCakm8xYecSwzocXEjoSg4r64Jhq2rAEY3AmwI1TR7Y99yEyZOWxIBIwcKa0TqOhDemxfTHNU4EH&#10;rUQ8jGneNeuldmTL4nClL8nFk7tpEXnFfDvkCYwGGQ42RqQmgSn93AgSkmfBKXRRSxo7d1JQoiW+&#10;1BgNVLWJ3WWa7gP/o6nD9axB7C9cTI77ODlJ4WHK42jeXaesPy978Rt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ICtzk1wAAAAYBAAAPAAAAAAAAAAEAIAAAACIAAABkcnMvZG93bnJldi54bWxQSwEC&#10;FAAUAAAACACHTuJAhFL4Ai4CAAAhBAAADgAAAAAAAAABACAAAAAmAQAAZHJzL2Uyb0RvYy54bWxQ&#10;SwUGAAAAAAYABgBZAQAAxgUAAAAA&#10;">
                        <v:fill on="f" focussize="0,0"/>
                        <v:stroke weight="0.5pt" color="#000000" joinstyle="round" dashstyle="dash" endarrow="block"/>
                        <v:imagedata o:title=""/>
                        <o:lock v:ext="edit" aspectratio="f"/>
                      </v:shape>
                      <v:line id="_x0000_s1026" o:spid="_x0000_s1026" o:spt="20" style="position:absolute;left:2055934;top:5495925;flip:y;height:635;width:1113790;" filled="f" stroked="t" coordsize="21600,21600" o:gfxdata="UEsDBAoAAAAAAIdO4kAAAAAAAAAAAAAAAAAEAAAAZHJzL1BLAwQUAAAACACHTuJAtI1JBdUAAAAG&#10;AQAADwAAAGRycy9kb3ducmV2LnhtbE2PwW7CMBBE75X4B2sr9VYcQ1UlaRwESG1vSIVyN/E2iYjX&#10;IXaA/j3bXtrLSKsZzbwtFlfXiTMOofWkQU0TEEiVty3VGj53r48piBANWdN5Qg3fGGBRTu4Kk1t/&#10;oQ88b2MtuIRCbjQ0Mfa5lKFq0Jkw9T0Se19+cCbyOdTSDubC5a6TsyR5ls60xAuN6XHdYHXcjk7D&#10;apfN3+x+fD9usidcrjIVxtNe64d7lbyAiHiNf2H4wWd0KJnp4EeyQXQa+JH4q+ylKp2BOHBIZfMU&#10;ZFnI//jlDVBLAwQUAAAACACHTuJAIC+mzvoBAADJAwAADgAAAGRycy9lMm9Eb2MueG1srZPLjtMw&#10;FIb3SLyD5T1N0k6GadR0FlMNGwSVuOxdx04s+SYfT9O+BC+AxA5WLNnzNgyPwbFThmHYzIIsLF+O&#10;v3P+3yery4PRZC8CKGdbWs1KSoTlrlO2b+m7t9fPLiiByGzHtLOipUcB9HL99Mlq9I2Yu8HpTgSC&#10;EAvN6Fs6xOibogA+CMNg5ryweChdMCziMvRFF9iIdKOLeVmeF6MLnQ+OCwDc3UyH9EQMjwE6KRUX&#10;G8dvjLBxogahWURJMCgPdJ2rlVLw+FpKEJHolqLSmEdMgvNdGov1ijV9YH5Q/FQCe0wJDzQZpiwm&#10;vUNtWGTkJqh/UEbx4MDJOOPOFJOQ7AiqqMoH3rwZmBdZC1oN/s50+H9Y/mq/DUR1La0psczgg99+&#10;/Pbjw+ef3z/hePv1C6mTSaOHBmOv7DacVuC3ISk+yGCI1Mq/x27KHqAqcmjpvKzr5eKMkiPCz5b1&#10;cp5JrBGHSDgGVFW1eL7El+AYcb7Ip8UETGAfIL4QzpA0aalWNnnBGrZ/CRGLwNDfIWnbumuldX5P&#10;bcmYiYnNsEcl9gZOjUedYHtKmO6x+XkMmQhOqy7dThwI/e5KB7JnqWXylwzAbH+FpdQbBsMUl4+m&#10;ZjIq4v+hlWnpxf3b2iIk2TgZl2Y71x2zn3kfXzinOXVjaqH763z7zx+4/gV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0jUkF1QAAAAYBAAAPAAAAAAAAAAEAIAAAACIAAABkcnMvZG93bnJldi54bWxQ&#10;SwECFAAUAAAACACHTuJAIC+mzvoBAADJAwAADgAAAAAAAAABACAAAAAkAQAAZHJzL2Uyb0RvYy54&#10;bWxQSwUGAAAAAAYABgBZAQAAkAUAAAAA&#10;">
                        <v:fill on="f" focussize="0,0"/>
                        <v:stroke weight="0.5pt" color="#000000 [3213]" miterlimit="8" joinstyle="miter"/>
                        <v:imagedata o:title=""/>
                        <o:lock v:ext="edit" aspectratio="f"/>
                      </v:line>
                      <v:shape id="文本框 132" o:spid="_x0000_s1026" o:spt="202" type="#_x0000_t202" style="position:absolute;left:1728274;top:4618355;height:248285;width:649605;"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BBt1GiUQIAAHkEAAAOAAAAZHJzL2Uyb0RvYy54bWytVEtu&#10;2zAQ3RfoHQjuG9my7CiC5SBNkKJA+gHSHoCmKIsoyWFJ2lJ6gOYGXXXTfc/lc3RIOamRbrKoFgKp&#10;Gb6Z9+ZRy/NBK7ITzkswNZ2eTCgRhkMjzaamnz9dvyop8YGZhikwoqZ3wtPz1csXy95WIocOVCMc&#10;QRDjq97WtAvBVlnmeSc08ydghcFgC06zgFu3yRrHekTXKssnk0XWg2usAy68x69XY5AeEN1zAKFt&#10;JRdXwLdamDCiOqFYQEq+k9bTVeq2bQUPH9rWi0BUTZFpSG8sgut1fGerJas2jtlO8kML7DktPOGk&#10;mTRY9BHqigVGtk7+A6Uld+ChDSccdDYSSYogi+nkiTa3HbMicUGpvX0U3f8/WP5+99ER2dR0QYlh&#10;Gge+/3G///l7/+s7mc7yKFBvfYV5txYzw/AaBrRNIuvtDfAvnhi47JjZiAvnoO8Ea7DBaTyZHR0d&#10;cXwEWffvoMFKbBsgAQ2t01E91INE9NO8zE8LSu5qWiym5Ww+HwclhkA4JiyKs8VkTgnHhLwo8zLF&#10;M1Y9AFnnwxsBmsRFTR36IBViuxsfYmOsekiJdQ1cS6WSF5QhPRaYzScjRVCyicGY5t1mfakc2bHo&#10;pvQklhg5TtMy4A1RUte0PE5SJoKI5MpDG1GfKMkoThjWw0HvNTR3qJSD0bF4X3HRgftGSY9uran/&#10;umVOUKLeGlT7bFoU0d5pU8xPc9y448j6OMIMR6iaBkrG5WUYr8TWOrnpsNI4XwMXOKFWJsViq2NX&#10;h7miI5OQh9sTLX+8T1l//xirP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MEEAABbQ29udGVudF9UeXBlc10ueG1sUEsBAhQACgAAAAAAh07iQAAA&#10;AAAAAAAAAAAAAAYAAAAAAAAAAAAQAAAAowMAAF9yZWxzL1BLAQIUABQAAAAIAIdO4kCKFGY80QAA&#10;AJQBAAALAAAAAAAAAAEAIAAAAMcDAABfcmVscy8ucmVsc1BLAQIUAAoAAAAAAIdO4kAAAAAAAAAA&#10;AAAAAAAEAAAAAAAAAAAAEAAAAAAAAABkcnMvUEsBAhQAFAAAAAgAh07iQGIyKPzXAAAABgEAAA8A&#10;AAAAAAAAAQAgAAAAIgAAAGRycy9kb3ducmV2LnhtbFBLAQIUABQAAAAIAIdO4kBBt1GiUQIAAHkE&#10;AAAOAAAAAAAAAAEAIAAAACYBAABkcnMvZTJvRG9jLnhtbFBLBQYAAAAABgAGAFkBAADpBQAAAAA=&#10;">
                        <v:fill on="f" focussize="0,0"/>
                        <v:stroke weight="0.5pt" color="#000000" miterlimit="8" joinstyle="miter"/>
                        <v:imagedata o:title=""/>
                        <o:lock v:ext="edit" aspectratio="f"/>
                        <v:textbox>
                          <w:txbxContent>
                            <w:p>
                              <w:pPr>
                                <w:adjustRightInd w:val="0"/>
                                <w:snapToGrid w:val="0"/>
                                <w:jc w:val="center"/>
                              </w:pPr>
                              <w:r>
                                <w:rPr>
                                  <w:rFonts w:hint="eastAsia"/>
                                </w:rPr>
                                <w:t>喷砂</w:t>
                              </w:r>
                            </w:p>
                          </w:txbxContent>
                        </v:textbox>
                      </v:shape>
                      <v:shape id="文本框 132" o:spid="_x0000_s1026" o:spt="202" type="#_x0000_t202" style="position:absolute;left:2836349;top:5085080;height:248285;width:649605;"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A6or9nUAIAAHkEAAAOAAAAZHJzL2Uyb0RvYy54bWytVEtu&#10;2zAQ3RfoHQjuG8nyJ44QOUgdpCiQfoC0B6ApyiJKcliStpQeoLlBV91033P5HB1SSmqkmywqCAKp&#10;eXoz8+ZR5xe9VmQvnJdgKjo5ySkRhkMtzbainz9dv1pS4gMzNVNgREXvhKcXq5cvzjtbigJaULVw&#10;BEmMLztb0TYEW2aZ563QzJ+AFQaDDTjNAm7dNqsd65Bdq6zI80XWgautAy68x7dXQ5COjO45hNA0&#10;kosr4DstTBhYnVAsYEu+ldbTVaq2aQQPH5rGi0BURbHTkJ6YBNeb+MxW56zcOmZbyccS2HNKeNKT&#10;ZtJg0keqKxYY2Tn5D5WW3IGHJpxw0NnQSFIEu5jkT7S5bZkVqReU2ttH0f3/o+Xv9x8dkXVFTykx&#10;TOPADz/uDz9/H359J5NpEQXqrC8Rd2sRGfrX0KNtUrPe3gD/4omBdcvMVlw6B10rWI0FTuKX2dGn&#10;A4+PJJvuHdSYie0CJKK+cTqqh3oQZC+W08V0dkbJXUXn+RLvcVCiD4QjYDE7W+RzSjgCitmyWM5T&#10;NlY+EFnnwxsBmsRFRR36ICVi+xsfYmGsfIDEvAaupVLJC8qQDhNM5/nQIihZx2CEebfdrJUjexbd&#10;lK4xrz+GaRnwhCipK7o8BikTSURy5VhG1CdKMogT+k0/6r2B+g6VcjA4Fs8rLlpw3yjp0K0V9V93&#10;zAlK1FuDap9NZrNo77SZzU8L3LjjyOY4wgxHqooGSoblOgxHYmed3LaYaZivgUucUCOTYrHUoapx&#10;rujIJOR4eqLlj/cJ9fePsfoD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YjIo/NcAAAAGAQAADwAA&#10;AAAAAAABACAAAAAiAAAAZHJzL2Rvd25yZXYueG1sUEsBAhQAFAAAAAgAh07iQDqiv2dQAgAAeQQA&#10;AA4AAAAAAAAAAQAgAAAAJgEAAGRycy9lMm9Eb2MueG1sUEsFBgAAAAAGAAYAWQEAAOgFAAAAAA==&#10;">
                        <v:fill on="f" focussize="0,0"/>
                        <v:stroke weight="0.5pt" color="#000000" miterlimit="8" joinstyle="miter"/>
                        <v:imagedata o:title=""/>
                        <o:lock v:ext="edit" aspectratio="f"/>
                        <v:textbox>
                          <w:txbxContent>
                            <w:p>
                              <w:pPr>
                                <w:adjustRightInd w:val="0"/>
                                <w:snapToGrid w:val="0"/>
                                <w:jc w:val="center"/>
                              </w:pPr>
                              <w:r>
                                <w:rPr>
                                  <w:rFonts w:hint="eastAsia"/>
                                </w:rPr>
                                <w:t>研磨</w:t>
                              </w:r>
                            </w:p>
                          </w:txbxContent>
                        </v:textbox>
                      </v:shape>
                      <v:line id="_x0000_s1026" o:spid="_x0000_s1026" o:spt="20" style="position:absolute;left:3169724;top:5324475;flip:y;height:171450;width:0;" filled="f" stroked="t" coordsize="21600,21600" o:gfxdata="UEsDBAoAAAAAAIdO4kAAAAAAAAAAAAAAAAAEAAAAZHJzL1BLAwQUAAAACACHTuJAtI1JBdUAAAAG&#10;AQAADwAAAGRycy9kb3ducmV2LnhtbE2PwW7CMBBE75X4B2sr9VYcQ1UlaRwESG1vSIVyN/E2iYjX&#10;IXaA/j3bXtrLSKsZzbwtFlfXiTMOofWkQU0TEEiVty3VGj53r48piBANWdN5Qg3fGGBRTu4Kk1t/&#10;oQ88b2MtuIRCbjQ0Mfa5lKFq0Jkw9T0Se19+cCbyOdTSDubC5a6TsyR5ls60xAuN6XHdYHXcjk7D&#10;apfN3+x+fD9usidcrjIVxtNe64d7lbyAiHiNf2H4wWd0KJnp4EeyQXQa+JH4q+ylKp2BOHBIZfMU&#10;ZFnI//jlDVBLAwQUAAAACACHTuJAJGmw+vkBAADGAwAADgAAAGRycy9lMm9Eb2MueG1srVO9jhMx&#10;EO6ReAfLPdlsfi+rOFdcdDQIIvHTO17vriX/yePLJi/BCyDRQUVJf2/D8RiMveE4juYKXFhjz/ib&#10;+b4Zry+PRpODDKCcZbQcjSmRVrha2ZbR9++uX1xQApHbmmtnJaMnCfRy8/zZuveVnLjO6VoGgiAW&#10;qt4z2sXoq6IA0UnDYeS8tOhsXDA84jG0RR14j+hGF5PxeFH0LtQ+OCEB8HY7OOkZMTwF0DWNEnLr&#10;xI2RNg6oQWoekRJ0ygPd5GqbRor4pmlARqIZRaYx75gE7X3ai82aV23gvlPiXAJ/SgmPOBmuLCa9&#10;h9ryyMlNUP9AGSWCA9fEkXCmGIhkRZBFOX6kzduOe5m5oNTg70WH/wcrXh92gaia0RUllhts+N2n&#10;7z8+fvl5+xn3u29fySqJ1HuoMPbK7sL5BH4XEuNjEwxptPIfcJqyBsiKHBmdlovVcjKj5MTofDqZ&#10;zZbzQW55jERgAPZAoK9clrN57kQxoCVUHyC+lM6QZDCqlU1C8IofXkHECjD0d0i6tu5aaZ2bqS3p&#10;GV1MEZIIjgPa4GCgaTySBNtSwnWLky9iyIjgtKrT64QDod1f6UAOPM1LXqlmzPZXWEq95dANcdk1&#10;UDMq4ufQyjB68fC1tgiSNBxUS9be1acsZr7H9uY051FM8/PwnF//+X6bX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SNSQXVAAAABgEAAA8AAAAAAAAAAQAgAAAAIgAAAGRycy9kb3ducmV2LnhtbFBL&#10;AQIUABQAAAAIAIdO4kAkabD6+QEAAMYDAAAOAAAAAAAAAAEAIAAAACQBAABkcnMvZTJvRG9jLnht&#10;bFBLBQYAAAAABgAGAFkBAACPBQAAAAA=&#10;">
                        <v:fill on="f" focussize="0,0"/>
                        <v:stroke weight="0.5pt" color="#000000 [3213]" miterlimit="8" joinstyle="miter"/>
                        <v:imagedata o:title=""/>
                        <o:lock v:ext="edit" aspectratio="f"/>
                      </v:line>
                      <v:shape id="文本框 132" o:spid="_x0000_s1026" o:spt="202" type="#_x0000_t202" style="position:absolute;left:2836349;top:4608830;height:248285;width:649605;" filled="f" stroked="t" coordsize="21600,21600" o:gfxdata="UEsDBAoAAAAAAIdO4kAAAAAAAAAAAAAAAAAEAAAAZHJzL1BLAwQUAAAACACHTuJAYjIo/NcAAAAG&#10;AQAADwAAAGRycy9kb3ducmV2LnhtbE2PwU7DMBBE70j8g7VI3KidIiCEOD0gekBCSBTU9ugkSxxh&#10;r0PspoWvZ8sFLiOtZjTztlwcvBMTjrEPpCGbKRBITWh76jS8vS4vchAxGWqNC4QavjDCojo9KU3R&#10;hj294LRKneASioXRYFMaCiljY9GbOAsDEnvvYfQm8Tl2sh3Nnsu9k3OlrqU3PfGCNQPeW2w+Vjuv&#10;4Wm9+XxYPm/VBmvXX03uxj5+11qfn2XqDkTCQ/oLwxGf0aFipjrsqI3CaeBH0q+yl2f5HETNoez2&#10;MgdZlfI/fvUDUEsDBBQAAAAIAIdO4kDGRlqJUAIAAHoEAAAOAAAAZHJzL2Uyb0RvYy54bWytVEtu&#10;2zAQ3RfoHQjuG8my7CpC5CC1kaJA+gHSHoCmKIsoxWFJ2lJ6gPYGXXXTfc/lc3RIKamRbrKoFgKp&#10;eXwz8+ZRF5dDp8hBWCdBV3R2llIiNIda6l1FP328flFQ4jzTNVOgRUXvhKOXq+fPLnpTigxaULWw&#10;BEm0K3tT0dZ7UyaJ463omDsDIzQGG7Ad87i1u6S2rEf2TiVZmi6THmxtLHDhHH7djEE6MdqnEELT&#10;SC42wPed0H5ktUIxjy25VhpHV7HaphHcv28aJzxRFcVOfXxjElxvwztZXbByZ5lpJZ9KYE8p4VFP&#10;HZMakz5QbZhnZG/lP1Sd5BYcNP6MQ5eMjURFsItZ+kib25YZEXtBqZ15EN39P1r+7vDBElmjE1AS&#10;zTqc+PHH9+PP38df38hsngWFeuNKBN4ahPrhFQyIjt06cwP8syMa1i3TO3FlLfStYDVWOAsnk5Oj&#10;I48LJNv+LdSYie09RKKhsV2QDwUhyJ4V8+U8P6fkrqL5Mi2K+TQpMXjCEbDMz5fpghKOgCwvsmIR&#10;s7HynshY518L6EhYVNSiEWIidrhxPhTGyntIyKvhWioVzaA06THBfJGOLYKSdQgGmLO77VpZcmDB&#10;TvGZ8rpTWCc9XhElu4oWpyClA4mItpzKCPoESUZx/LAdJr23UN+hUhZGy+KFxUUL9islPdq1ou7L&#10;nllBiXqjUe3zWZ4Hf8dNvniZ4caeRranEaY5UlXUUzIu1368E3tj5a7FTON8NVzhhBoZFQuljlVN&#10;c0VLRiGn6xM8f7qPqL+/jNUf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wAQAAFtDb250ZW50X1R5cGVzXS54bWxQSwECFAAKAAAAAACHTuJAAAAA&#10;AAAAAAAAAAAABgAAAAAAAAAAABAAAACiAwAAX3JlbHMvUEsBAhQAFAAAAAgAh07iQIoUZjzRAAAA&#10;lAEAAAsAAAAAAAAAAQAgAAAAxgMAAF9yZWxzLy5yZWxzUEsBAhQACgAAAAAAh07iQAAAAAAAAAAA&#10;AAAAAAQAAAAAAAAAAAAQAAAAAAAAAGRycy9QSwECFAAUAAAACACHTuJAYjIo/NcAAAAGAQAADwAA&#10;AAAAAAABACAAAAAiAAAAZHJzL2Rvd25yZXYueG1sUEsBAhQAFAAAAAgAh07iQMZGWolQAgAAegQA&#10;AA4AAAAAAAAAAQAgAAAAJgEAAGRycy9lMm9Eb2MueG1sUEsFBgAAAAAGAAYAWQEAAOgFAAAAAA==&#10;">
                        <v:fill on="f" focussize="0,0"/>
                        <v:stroke weight="0.5pt" color="#000000" miterlimit="8" joinstyle="miter"/>
                        <v:imagedata o:title=""/>
                        <o:lock v:ext="edit" aspectratio="f"/>
                        <v:textbox>
                          <w:txbxContent>
                            <w:p>
                              <w:pPr>
                                <w:adjustRightInd w:val="0"/>
                                <w:snapToGrid w:val="0"/>
                                <w:jc w:val="center"/>
                              </w:pPr>
                              <w:r>
                                <w:rPr>
                                  <w:rFonts w:hint="eastAsia"/>
                                </w:rPr>
                                <w:t>抛光</w:t>
                              </w:r>
                            </w:p>
                          </w:txbxContent>
                        </v:textbox>
                      </v:shape>
                      <v:line id="_x0000_s1026" o:spid="_x0000_s1026" o:spt="20" style="position:absolute;left:2045774;top:4418330;flip:y;height:4445;width:1104900;" filled="f" stroked="t" coordsize="21600,21600" o:gfxdata="UEsDBAoAAAAAAIdO4kAAAAAAAAAAAAAAAAAEAAAAZHJzL1BLAwQUAAAACACHTuJAtI1JBdUAAAAG&#10;AQAADwAAAGRycy9kb3ducmV2LnhtbE2PwW7CMBBE75X4B2sr9VYcQ1UlaRwESG1vSIVyN/E2iYjX&#10;IXaA/j3bXtrLSKsZzbwtFlfXiTMOofWkQU0TEEiVty3VGj53r48piBANWdN5Qg3fGGBRTu4Kk1t/&#10;oQ88b2MtuIRCbjQ0Mfa5lKFq0Jkw9T0Se19+cCbyOdTSDubC5a6TsyR5ls60xAuN6XHdYHXcjk7D&#10;apfN3+x+fD9usidcrjIVxtNe64d7lbyAiHiNf2H4wWd0KJnp4EeyQXQa+JH4q+ylKp2BOHBIZfMU&#10;ZFnI//jlDVBLAwQUAAAACACHTuJAvU90LvsBAADMAwAADgAAAGRycy9lMm9Eb2MueG1srVPNjtMw&#10;EL4j8Q6W7zRJm+52o6Z72Gq5IKgE7H3qOIkl/8n2Nu1L8AJI3ODEkTtvw/IYjJ2wLMtlD+Rgjefn&#10;m/k+T9aXRyXJgTsvjK5pMcsp4ZqZRuiupu/fXb9YUeID6Aak0bymJ+7p5eb5s/VgKz43vZENdwRB&#10;tK8GW9M+BFtlmWc9V+BnxnKNwdY4BQGvrssaBwOiK5nN8/wsG4xrrDOMe4/e7RikE6J7CqBpW8H4&#10;1rBbxXUYUR2XEJCS74X1dJOmbVvOwpu29TwQWVNkGtKJTdDexzPbrKHqHNhesGkEeMoIjzgpEBqb&#10;3kNtIQC5deIfKCWYM960YcaMykYiSRFkUeSPtHnbg+WJC0rt7b3o/v/BsteHnSOiwU0oKNGg8MXv&#10;Pn778eHzz++f8Lz7+oVgBGUarK8w+0rv3HTzduci52PrFGmlsDeIklRAXuRY03leLs/PS0pONS3L&#10;YrVYTILzYyAME4oiLy9yfAuWMsplbJSNiBHZOh9ecqNINGoqhY5yQAWHVz6Mqb9TolubayEl+qGS&#10;mgw1PVssIzjgmra4Hmgqi1S97igB2eH+s+ASojdSNLE6FnvX7a+kIweIW5O+abC/0mLrLfh+zEuh&#10;mAaVEgF/ESlUTVcPq6VGdlHHUblo7U1zSoImPz5y4j8tZNyih/dU/ecn3Pw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tI1JBdUAAAAGAQAADwAAAAAAAAABACAAAAAiAAAAZHJzL2Rvd25yZXYueG1s&#10;UEsBAhQAFAAAAAgAh07iQL1PdC77AQAAzAMAAA4AAAAAAAAAAQAgAAAAJAEAAGRycy9lMm9Eb2Mu&#10;eG1sUEsFBgAAAAAGAAYAWQEAAJEFAAAAAA==&#10;">
                        <v:fill on="f" focussize="0,0"/>
                        <v:stroke weight="0.5pt" color="#000000 [3213]" miterlimit="8" joinstyle="miter"/>
                        <v:imagedata o:title=""/>
                        <o:lock v:ext="edit" aspectratio="f"/>
                      </v:line>
                      <v:line id="_x0000_s1026" o:spid="_x0000_s1026" o:spt="20" style="position:absolute;left:3153849;top:4427855;flip:y;height:171450;width:0;" filled="f" stroked="t" coordsize="21600,21600" o:gfxdata="UEsDBAoAAAAAAIdO4kAAAAAAAAAAAAAAAAAEAAAAZHJzL1BLAwQUAAAACACHTuJAtI1JBdUAAAAG&#10;AQAADwAAAGRycy9kb3ducmV2LnhtbE2PwW7CMBBE75X4B2sr9VYcQ1UlaRwESG1vSIVyN/E2iYjX&#10;IXaA/j3bXtrLSKsZzbwtFlfXiTMOofWkQU0TEEiVty3VGj53r48piBANWdN5Qg3fGGBRTu4Kk1t/&#10;oQ88b2MtuIRCbjQ0Mfa5lKFq0Jkw9T0Se19+cCbyOdTSDubC5a6TsyR5ls60xAuN6XHdYHXcjk7D&#10;apfN3+x+fD9usidcrjIVxtNe64d7lbyAiHiNf2H4wWd0KJnp4EeyQXQa+JH4q+ylKp2BOHBIZfMU&#10;ZFnI//jlDVBLAwQUAAAACACHTuJAdJb2nfkBAADIAwAADgAAAGRycy9lMm9Eb2MueG1srVO9bhQx&#10;EO6ReAfLPbf3m1xW50uRU2gQnASk93ntXUv+k8e5vXsJXgCJDipKet6G8BiMvUcIoUmBC2vsGX8z&#10;3zfj1eXBGrKXEbR3jE5GY0qkE77RrmX0/bvrF0tKIHHXcOOdZPQogV6unz9b9aGWU99508hIEMRB&#10;3QdGu5RCXVUgOmk5jHyQDp3KR8sTHmNbNZH3iG5NNR2Pz6rexyZELyQA3m4GJz0hxqcAeqW0kBsv&#10;bq10aUCN0vCElKDTAei6VKuUFOmNUiATMYwi01R2TIL2Lu/VesXrNvLQaXEqgT+lhEecLNcOk95D&#10;bXji5Dbqf6CsFtGDV2kkvK0GIkURZDEZP9LmbceDLFxQagj3osP/gxWv99tIdIOTMKXEcYsdv/v4&#10;7ceHzz+/f8L97usXgh6UqQ9QY/SV28bTCcI2Zs4HFS1RRocbRCkqIC9yYHQ2WcyW8wtKjozO59Pz&#10;5WIxCC4PiQgMwC4I9E3OJ/NF6UU1oGXUECG9lN6SbDBqtMtS8JrvX0HCCjD0d0i+dv5aG1PaaRzp&#10;GT2bISQRHEdU4WigaQPSBNdSwk2Lsy9SLIjgjW7y64wDsd1dmUj2PE9MWblmzPZXWE694dANccU1&#10;ULM64fcw2jK6fPjaOATJGg6qZWvnm2MRs9xjg0ua0zDmCXp4Lq//fMD1L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LSNSQXVAAAABgEAAA8AAAAAAAAAAQAgAAAAIgAAAGRycy9kb3ducmV2LnhtbFBL&#10;AQIUABQAAAAIAIdO4kB0lvad+QEAAMgDAAAOAAAAAAAAAAEAIAAAACQBAABkcnMvZTJvRG9jLnht&#10;bFBLBQYAAAAABgAGAFkBAACPBQAAAAA=&#10;">
                        <v:fill on="f" focussize="0,0"/>
                        <v:stroke weight="0.5pt" color="#000000 [3213]" miterlimit="8" joinstyle="miter"/>
                        <v:imagedata o:title=""/>
                        <o:lock v:ext="edit" aspectratio="f"/>
                      </v:line>
                      <v:line id="_x0000_s1026" o:spid="_x0000_s1026" o:spt="20" style="position:absolute;left:3161469;top:4857115;flip:y;height:227965;width:0;" filled="f" stroked="t" coordsize="21600,21600" o:gfxdata="UEsDBAoAAAAAAIdO4kAAAAAAAAAAAAAAAAAEAAAAZHJzL1BLAwQUAAAACACHTuJAtI1JBdUAAAAG&#10;AQAADwAAAGRycy9kb3ducmV2LnhtbE2PwW7CMBBE75X4B2sr9VYcQ1UlaRwESG1vSIVyN/E2iYjX&#10;IXaA/j3bXtrLSKsZzbwtFlfXiTMOofWkQU0TEEiVty3VGj53r48piBANWdN5Qg3fGGBRTu4Kk1t/&#10;oQ88b2MtuIRCbjQ0Mfa5lKFq0Jkw9T0Se19+cCbyOdTSDubC5a6TsyR5ls60xAuN6XHdYHXcjk7D&#10;apfN3+x+fD9usidcrjIVxtNe64d7lbyAiHiNf2H4wWd0KJnp4EeyQXQa+JH4q+ylKp2BOHBIZfMU&#10;ZFnI//jlDVBLAwQUAAAACACHTuJA2RmBShICAAAJBAAADgAAAGRycy9lMm9Eb2MueG1srZO7btsw&#10;FIb3An0Hgnsty4llR7CcwUa6FK2BXnaaoiQCvIGHseyX6AsU6NZOHbvnbZo+Rg8px3HTJUM1UCQP&#10;+fP8Hw8X13utyE54kNZUNB+NKRGG21qatqIfP9y8mlMCgZmaKWtERQ8C6PXy5YtF70oxsZ1VtfAE&#10;RQyUvatoF4Irswx4JzSDkXXCYLCxXrOAQ99mtWc9qmuVTcbjIuutr523XADg7HoI0qOif46gbRrJ&#10;xdryWy1MGFS9UCygJeikA7pM2TaN4OFd04AIRFUUnYbU4iHY38Y2Wy5Y2XrmOsmPKbDnpPDEk2bS&#10;4KEnqTULjNx6+Y+UltxbsE0YcauzwUgigi7y8RM27zvmRPKCqMGdoMP/k+VvdxtPZI2VUFBimMYb&#10;v//y89fnb7/vvmJ7/+M7wQhi6h2UuHplNj4ahbDam7RxRvG3P8EUpn6I5Eg5hSZRIPtLIQ7ADVr7&#10;xmvSKOk+YRoJI4IhKHmRF/llcUXJoaKX8+ksz6fDjYl9IDydSTjGJpPZVZFCGSujWszQeQivhdUk&#10;diqqpIksWcl2byDEfB6XxGljb6RSqR6UIX1Fi4sp5s8Z1niDtYVd7ZATmJYSplp8PDz4pAhWyTru&#10;TmB8u10pT3Ysllz6kntEdr4sJrVm0A3rUmiwpmXA96Wkruj8fLcyR4QDtchva+vDxj+gxQpJpo7V&#10;HEvwfJx2P77g5R9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ABAAAW0NvbnRlbnRfVHlwZXNdLnhtbFBLAQIUAAoAAAAAAIdO4kAAAAAAAAAAAAAA&#10;AAAGAAAAAAAAAAAAEAAAAGIDAABfcmVscy9QSwECFAAUAAAACACHTuJAihRmPNEAAACUAQAACwAA&#10;AAAAAAABACAAAACGAwAAX3JlbHMvLnJlbHNQSwECFAAKAAAAAACHTuJAAAAAAAAAAAAAAAAABAAA&#10;AAAAAAAAABAAAAAAAAAAZHJzL1BLAQIUABQAAAAIAIdO4kC0jUkF1QAAAAYBAAAPAAAAAAAAAAEA&#10;IAAAACIAAABkcnMvZG93bnJldi54bWxQSwECFAAUAAAACACHTuJA2RmBShICAAAJBAAADgAAAAAA&#10;AAABACAAAAAkAQAAZHJzL2Uyb0RvYy54bWxQSwUGAAAAAAYABgBZAQAAqAUAAAAA&#10;">
                        <v:fill on="f" focussize="0,0"/>
                        <v:stroke weight="0.5pt" color="#000000 [3213]" miterlimit="8" joinstyle="miter"/>
                        <v:imagedata o:title=""/>
                        <o:lock v:ext="edit" aspectratio="f"/>
                      </v:line>
                      <v:line id="_x0000_s1026" o:spid="_x0000_s1026" o:spt="20" style="position:absolute;left:2043234;top:4424045;flip:x y;height:175895;width:5080;" filled="f" stroked="t" coordsize="21600,21600" o:gfxdata="UEsDBAoAAAAAAIdO4kAAAAAAAAAAAAAAAAAEAAAAZHJzL1BLAwQUAAAACACHTuJA4PuDjtYAAAAG&#10;AQAADwAAAGRycy9kb3ducmV2LnhtbE2PzU7DMBCE70i8g7VIXFDrJAgaQpwKFYFybQH16sZLEjVe&#10;R7bTn7dn4VIuI61mNPNtuTzZQRzQh96RgnSegEBqnOmpVfD58TbLQYSoyejBESo4Y4BldX1V6sK4&#10;I63xsImt4BIKhVbQxTgWUoamQ6vD3I1I7H07b3Xk07fSeH3kcjvILEkepdU98UKnR1x12Ow3k1Vw&#10;d/7qqab1fvvut1P2sKhfX1a1Urc3afIMIuIpXsLwi8/oUDHTzk1kghgU8CPxT9nL0zwDseNQ+nSf&#10;g6xK+R+/+gFQSwMEFAAAAAgAh07iQL6hCcH/AQAA1QMAAA4AAABkcnMvZTJvRG9jLnhtbK1TvY4T&#10;MRDukXgHyz3ZTbI5wiqbKy46KBBEgqN3vPauJf/J48smL8ELINFBRUnP23A8xo294TiO5gpcWGPP&#10;zDfzfR6vzg9Gk70IoJxt6HRSUiIsd62yXUOv3l8+W1ICkdmWaWdFQ48C6Pn66ZPV4Gsxc73TrQgE&#10;QSzUg29oH6OviwJ4LwyDifPColO6YFjEY+iKNrAB0Y0uZmV5VgwutD44LgDwdjM66QkxPAbQSam4&#10;2Dh+bYSNI2oQmkWkBL3yQNe5WykFj2+lBBGJbigyjXnHImjv0l6sV6zuAvO94qcW2GNaeMDJMGWx&#10;6B3UhkVGroP6B8ooHhw4GSfcmWIkkhVBFtPygTbveuZF5oJSg78THf4fLH+z3wai2obOUBLLDL74&#10;zafvPz9++fXjM+43374S9KBMg4caoy/sNpxO4LchcT7IYIjUyr/CeaLZ+pCs5EOG5JDAq/lsXlFy&#10;bGhVzaqyWozSi0MkHAMW5RLrc3RPny+WL7K3GKETjA8QXwpnSDIaqpVNurCa7V9DxHYw9HdIurbu&#10;Ummd31ZbMjT0bL5I8AznVeKcoGk8cgbbUcJ0hx+Bx5ARwWnVpuyEA6HbXehA9iyNT16pbaz2V1gq&#10;vWHQj3HZNbIzKuJf0co0dHk/W1sESYKOEiZr59pjVjbf42vnMqfJTON0/5yz//zG9S1QSwMECgAA&#10;AAAAh07iQAAAAAAAAAAAAAAAAAYAAABfcmVscy9QSwMEFAAAAAgAh07iQIoUZjzRAAAAlAEAAAsA&#10;AABfcmVscy8ucmVsc6WQwWrDMAyG74O9g9F9cZrDGKNOL6PQa+kewNiKYxpbRjLZ+vbzDoNl9Laj&#10;fqHvE//+8JkWtSJLpGxg1/WgMDvyMQcD75fj0wsoqTZ7u1BGAzcUOIyPD/szLra2I5ljEdUoWQzM&#10;tZZXrcXNmKx0VDC3zUScbG0jB12su9qAeuj7Z82/GTBumOrkDfDJD6Aut9LMf9gpOiahqXaOkqZp&#10;iu4eVQe2ZY7uyDbhG7lGsxywGvAsGgdqWdd+BH1fv/un3tNHPuO61X6HjOuPV2+6HL8AUEsDBBQA&#10;AAAIAIdO4kB+5uUg9wAAAOEBAAATAAAAW0NvbnRlbnRfVHlwZXNdLnhtbJWRQU7DMBBF90jcwfIW&#10;JU67QAgl6YK0S0CoHGBkTxKLZGx5TGhvj5O2G0SRWNoz/78nu9wcxkFMGNg6quQqL6RA0s5Y6ir5&#10;vt9lD1JwBDIwOMJKHpHlpr69KfdHjyxSmriSfYz+USnWPY7AufNIadK6MEJMx9ApD/oDOlTrorhX&#10;2lFEilmcO2RdNtjC5xDF9pCuTyYBB5bi6bQ4syoJ3g9WQ0ymaiLzg5KdCXlKLjvcW893SUOqXwnz&#10;5DrgnHtJTxOsQfEKIT7DmDSUCayM+6KAU/53yWw5cuba1mrMm8BNir3hdLG61o5r1zj93/Ltkrp0&#10;q+WD6m9QSwECFAAUAAAACACHTuJAfublIPcAAADhAQAAEwAAAAAAAAABACAAAABuBAAAW0NvbnRl&#10;bnRfVHlwZXNdLnhtbFBLAQIUAAoAAAAAAIdO4kAAAAAAAAAAAAAAAAAGAAAAAAAAAAAAEAAAAFAD&#10;AABfcmVscy9QSwECFAAUAAAACACHTuJAihRmPNEAAACUAQAACwAAAAAAAAABACAAAAB0AwAAX3Jl&#10;bHMvLnJlbHNQSwECFAAKAAAAAACHTuJAAAAAAAAAAAAAAAAABAAAAAAAAAAAABAAAAAAAAAAZHJz&#10;L1BLAQIUABQAAAAIAIdO4kDg+4OO1gAAAAYBAAAPAAAAAAAAAAEAIAAAACIAAABkcnMvZG93bnJl&#10;di54bWxQSwECFAAUAAAACACHTuJAvqEJwf8BAADVAwAADgAAAAAAAAABACAAAAAlAQAAZHJzL2Uy&#10;b0RvYy54bWxQSwUGAAAAAAYABgBZAQAAlgUAAAAA&#10;">
                        <v:fill on="f" focussize="0,0"/>
                        <v:stroke weight="0.5pt" color="#000000 [3213]" miterlimit="8" joinstyle="miter"/>
                        <v:imagedata o:title=""/>
                        <o:lock v:ext="edit" aspectratio="f"/>
                      </v:line>
                      <v:line id="_x0000_s1026" o:spid="_x0000_s1026" o:spt="20" style="position:absolute;left:2053394;top:4866640;flip:x y;height:636270;width:2540;" filled="f" stroked="t" coordsize="21600,21600" o:gfxdata="UEsDBAoAAAAAAIdO4kAAAAAAAAAAAAAAAAAEAAAAZHJzL1BLAwQUAAAACACHTuJA4PuDjtYAAAAG&#10;AQAADwAAAGRycy9kb3ducmV2LnhtbE2PzU7DMBCE70i8g7VIXFDrJAgaQpwKFYFybQH16sZLEjVe&#10;R7bTn7dn4VIuI61mNPNtuTzZQRzQh96RgnSegEBqnOmpVfD58TbLQYSoyejBESo4Y4BldX1V6sK4&#10;I63xsImt4BIKhVbQxTgWUoamQ6vD3I1I7H07b3Xk07fSeH3kcjvILEkepdU98UKnR1x12Ow3k1Vw&#10;d/7qqab1fvvut1P2sKhfX1a1Urc3afIMIuIpXsLwi8/oUDHTzk1kghgU8CPxT9nL0zwDseNQ+nSf&#10;g6xK+R+/+gFQSwMEFAAAAAgAh07iQHxWkS8MAgAA/AMAAA4AAABkcnMvZTJvRG9jLnhtbK1Ty47T&#10;MBTdI/EPlvc0fYYSNZ1Fq4EFgpF47F3HTiz5JV9P0/4EP4DEDlYsZ8/fMHwG106ZKcNmFmThXPve&#10;e3LPyfHq4mA02YsAytmaTkZjSoTlrlG2remH95fPlpRAZLZh2llR06MAerF++mTV+0pMXed0IwJB&#10;EAtV72vaxeirogDeCcNg5LywmJQuGBZxG9qiCaxHdKOL6XhcFr0LjQ+OCwA83Q5JekIMjwF0Uiou&#10;to5fG2HjgBqEZhEpQac80HWeVkrB41spQUSia4pMY17xIxjv0lqsV6xqA/Od4qcR2GNGeMDJMGXx&#10;o3dQWxYZuQ7qHyijeHDgZBxxZ4qBSFYEWUzGD7R51zEvMheUGvyd6PD/YPmb/VUgqqnpdEKJZQb/&#10;+O3nm5+fvv768QXX2+/fCGZQpt5DhdUbexUSUWGbzcHmzpLi64AIqaz4qy5twA8dBxkMkVr5V2g7&#10;mqOPKUpoKARJCOPFbPZiTsmxpvNlWZbz0x8Sh0h4KljgCeGYLmfl9HnOFqxK0AnGB4gvhTMkBTXV&#10;yib5WMX2ryGm4e5L0rF1l0rrbAFtSZ9AFwmeoa0l2glD41EasC0lTLd4X3gMGRGcVk3qTjgQ2t1G&#10;B7JnyWX5yVJg5rwsDbVl0A11OTX4z6iIV0orU9Plebe2Jz0HCZOYO9ccr8IfndEUmdTJwMl15/vc&#10;fX9p178B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4PuDjtYAAAAGAQAADwAAAAAAAAABACAAAAAi&#10;AAAAZHJzL2Rvd25yZXYueG1sUEsBAhQAFAAAAAgAh07iQHxWkS8MAgAA/AMAAA4AAAAAAAAAAQAg&#10;AAAAJQEAAGRycy9lMm9Eb2MueG1sUEsFBgAAAAAGAAYAWQEAAKMFAAAAAA==&#10;">
                        <v:fill on="f" focussize="0,0"/>
                        <v:stroke weight="0.5pt" color="#000000 [3213]" miterlimit="8" joinstyle="miter"/>
                        <v:imagedata o:title=""/>
                        <o:lock v:ext="edit" aspectratio="f"/>
                      </v:line>
                      <v:shape id="直接箭头连接符 134" o:spid="_x0000_s1026" o:spt="32" type="#_x0000_t32" style="position:absolute;left:3512624;top:5218430;height:0;width:330200;" filled="f" stroked="t" coordsize="21600,21600" o:gfxdata="UEsDBAoAAAAAAIdO4kAAAAAAAAAAAAAAAAAEAAAAZHJzL1BLAwQUAAAACACHTuJASArc5NcAAAAG&#10;AQAADwAAAGRycy9kb3ducmV2LnhtbE2PzWrDMBCE74W8g9hCLyWRnZDiuJZDCDSXQqFuyVmxtrap&#10;tTKSnJ8+fTe5tJeBZYaZb4v12fbiiD50jhSkswQEUu1MR42Cz4+XaQYiRE1G945QwQUDrMvJXaFz&#10;4070jscqNoJLKORaQRvjkEsZ6hatDjM3ILH35bzVkU/fSOP1icttL+dJ8iSt7ogXWj3gtsX6uxqt&#10;gk2z8JeffW2X4277tvK76nX5WCn1cJ8mzyAinuNfGK74jA4lMx3cSCaIXgE/Em/KXpZmcxAHDqWr&#10;RQayLOR//PIXUEsDBBQAAAAIAIdO4kAaxp4wLgIAACAEAAAOAAAAZHJzL2Uyb0RvYy54bWytU81y&#10;0zAQvjPDO2h0J7bzN8UTp4eEcinQmZYHUCQ51iBrNZISJy/BCzDDCTgVTr3zNFAeg5WclFIuPeCD&#10;Z+Xd/Xa/T59np7tWk610XoGpaDHIKZGGg1BmXdG3V2fPTijxgRnBNBhZ0b309HT+9Mmss6UcQgNa&#10;SEcQxPiysxVtQrBllnneyJb5AVhpMFmDa1nAo1tnwrEO0VudDfN8mnXghHXApff4ddkn6QHRPQYQ&#10;6lpxuQS+aaUJPaqTmgWk5BtlPZ2nbeta8vCmrr0MRFcUmYb0xiEYr+I7m89YuXbMNoofVmCPWeEB&#10;p5Ypg0PvoJYsMLJx6h+oVnEHHuow4NBmPZGkCLIo8gfaXDbMysQFpfb2TnT//2D56+2FI0pUdPic&#10;EsNavPHbDzc/33++/fb1x6ebX98/xvj6CylG46hWZ32JTQtz4SJfvjOX9hz4O08MLBpm1jJtfbW3&#10;iFTEjuyvlnjwFmeuulcgsIZtAiTpdrVrIySKQnYVHU2K4XQ4pmRf0cmwOBmPDrcld4HwWDDK0U+U&#10;cCxIqYyVRwzrfHgpoSUxqKgPjql1ExZgDFoCXJEmsu25D3FDVh4b4gIGzpTWyRnakK6i09EkTw0e&#10;tBIxGcu8W68W2pEti95KT6KLmftlEXnJfNPXCYx60znYGJGGBKb0CyNISJoFp1BFLWmc3EpBiZb4&#10;o8aoX1WbOF0mcx/2P4raX88KxP7CxeL4HY2TGB5MHp15/5yq/vzY8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CeBAAAW0NvbnRlbnRfVHlwZXNd&#10;LnhtbFBLAQIUAAoAAAAAAIdO4kAAAAAAAAAAAAAAAAAGAAAAAAAAAAAAEAAAAIADAABfcmVscy9Q&#10;SwECFAAUAAAACACHTuJAihRmPNEAAACUAQAACwAAAAAAAAABACAAAACkAwAAX3JlbHMvLnJlbHNQ&#10;SwECFAAKAAAAAACHTuJAAAAAAAAAAAAAAAAABAAAAAAAAAAAABAAAAAAAAAAZHJzL1BLAQIUABQA&#10;AAAIAIdO4kBICtzk1wAAAAYBAAAPAAAAAAAAAAEAIAAAACIAAABkcnMvZG93bnJldi54bWxQSwEC&#10;FAAUAAAACACHTuJAGsaeMC4CAAAgBAAADgAAAAAAAAABACAAAAAmAQAAZHJzL2Uyb0RvYy54bWxQ&#10;SwUGAAAAAAYABgBZAQAAxgUAAAAA&#10;">
                        <v:fill on="f" focussize="0,0"/>
                        <v:stroke weight="0.5pt" color="#000000" joinstyle="round" dashstyle="dash" endarrow="block"/>
                        <v:imagedata o:title=""/>
                        <o:lock v:ext="edit" aspectratio="f"/>
                      </v:shape>
                      <v:shape id="文本框 136" o:spid="_x0000_s1026" o:spt="202" type="#_x0000_t202" style="position:absolute;left:3912870;top:5075555;height:307431;width:59245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DGvGwpTAIAAGkEAAAOAAAAZHJzL2Uyb0RvYy54bWytVEtu2zAQ3Rfo&#10;HQjua8l/W7AcpDFSFEg/QNoD0BRlERU5LElbSg/Q3KCrbrrvuXyODkknNdJNFtWCGHKGb2bePGp1&#10;0auWHIR1EnRJh4OcEqE5VFLvSvr50/WrBSXOM12xFrQo6Z1w9GL98sWqM4UYQQNtJSxBEO2KzpS0&#10;8d4UWeZ4IxRzAzBCo7MGq5jHrd1llWUdoqs2G+X5LOvAVsYCF87h6SY56QnRPgcQ6lpysQG+V0L7&#10;hGpFyzy25BppHF3HautacP+hrp3wpC0pdurjiknQ3oY1W69YsbPMNJKfSmDPKeFJT4pJjUkfoTbM&#10;M7K38h8oJbkFB7UfcFBZaiQygl0M8yfc3DbMiNgLUu3MI+nu/8Hy94ePlsiqpOMJJZopnPjxx/3x&#10;5+/jr+9kOJ4FhjrjCgy8NRjq+9fQo25it87cAP/iiIarhumduLQWukawCischpvZ2dWE4wLItnsH&#10;FWZiew8RqK+tCvQhIQTRx8vhaDHHGd2VdJrPp/ilSYneE44B0+VogmeEY8A4n0/GKRsrHoCMdf6N&#10;AEWCUVKLQoiJ2OHG+VAYKx5CQl4N17JtoxhaTbqSzsbTPF4484QLG+YacmCopgqtVJSSHl9EK1VJ&#10;F3n4YuesaHWAFlGFp6yBjsBA4sL32/5E7xaqOyTGQlIovk80GrDfKOlQnSV1X/fMCkratxrJXQ4n&#10;kyDnuJlM5yPc2HPP9tzDNEeoknpKknnl0xPYGyt3DWZK49RwiQOpZSQolJqqOo0RFRh5O72WIPHz&#10;fYz6+4dY/w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2BAAAW0NvbnRlbnRfVHlwZXNdLnhtbFBLAQIUAAoAAAAAAIdO4kAAAAAAAAAAAAAAAAAG&#10;AAAAAAAAAAAAEAAAAJgDAABfcmVscy9QSwECFAAUAAAACACHTuJAihRmPNEAAACUAQAACwAAAAAA&#10;AAABACAAAAC8AwAAX3JlbHMvLnJlbHNQSwECFAAKAAAAAACHTuJAAAAAAAAAAAAAAAAABAAAAAAA&#10;AAAAABAAAAAAAAAAZHJzL1BLAQIUABQAAAAIAIdO4kCXUUZb0QAAAAYBAAAPAAAAAAAAAAEAIAAA&#10;ACIAAABkcnMvZG93bnJldi54bWxQSwECFAAUAAAACACHTuJAxrxsKUwCAABpBAAADgAAAAAAAAAB&#10;ACAAAAAgAQAAZHJzL2Uyb0RvYy54bWxQSwUGAAAAAAYABgBZAQAA3gUAAAAA&#10;">
                        <v:fill on="f" focussize="0,0"/>
                        <v:stroke on="f" weight="0.5pt" miterlimit="8" joinstyle="miter" dashstyle="dash"/>
                        <v:imagedata o:title=""/>
                        <o:lock v:ext="edit" aspectratio="f"/>
                        <v:textbox>
                          <w:txbxContent>
                            <w:p>
                              <w:pPr>
                                <w:adjustRightInd w:val="0"/>
                                <w:snapToGrid w:val="0"/>
                                <w:jc w:val="left"/>
                              </w:pPr>
                              <w:r>
                                <w:rPr>
                                  <w:rFonts w:hint="eastAsia"/>
                                </w:rPr>
                                <w:t>噪声</w:t>
                              </w:r>
                            </w:p>
                          </w:txbxContent>
                        </v:textbox>
                      </v:shape>
                      <v:shape id="文本框 119" o:spid="_x0000_s1026" o:spt="202" type="#_x0000_t202" style="position:absolute;left:217170;top:6247130;height:254000;width:595630;"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AFJ7kxSQIAAGgEAAAOAAAAZHJzL2Uyb0RvYy54bWytVEtu2zAQ3Rfo&#10;HQjua0n+xoLlII2RokD6AdIegKYoi6jIYUnaUnqA5gZdddN9z+VzdEgprpFusuhGGHKGb2bevNHq&#10;slMNOQjrJOiCZqOUEqE5lFLvCvr5082rC0qcZ7pkDWhR0Hvh6OX65YtVa3IxhhqaUliCINrlrSlo&#10;7b3Jk8TxWijmRmCERmcFVjGPR7tLSstaRFdNMk7TedKCLY0FLpzD203vpAOifQ4gVJXkYgN8r4T2&#10;PaoVDfPYkqulcXQdq60qwf2HqnLCk6ag2KmPX0yC9jZ8k/WK5TvLTC35UAJ7TglPelJMakx6gtow&#10;z8jeyn+glOQWHFR+xEElfSOREewiS59wc1czI2IvSLUzJ9Ld/4Pl7w8fLZFlQSc4d80UTvz44+H4&#10;8/fx13eSZcvAUGtcjoF3BkN99xo61E3s1plb4F8c0XBdM70TV9ZCWwtWYoVZeJmcPe1xXADZtu+g&#10;xExs7yECdZVVgT4khCD6OFtkCxzRfUHn4+kimwyDEp0nHP2z5WyOd4RjwHg2TdPoT1j+iGOs828E&#10;KBKMglrUQczDDrfOh7pY/hgS0mq4kU0TtdBo0mLWySyND8484cGGuZocGIqpRKtXj5IeF6KRqqAX&#10;WMmplkYHaBFFOGQNbAQCeip8t+0GdrdQ3iMvFnqB4nqiUYP9RkmL4iyo+7pnVlDSvNXI7TKbToOa&#10;42E6W4zxYM8923MP0xyhCuop6c1r32/A3li5qzFTP00NVziPSkaCQql9VcMUUYCRt2FZgsLPzzHq&#10;7w9i/Q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XUUZb0QAAAAYBAAAPAAAAAAAAAAEAIAAAACIA&#10;AABkcnMvZG93bnJldi54bWxQSwECFAAUAAAACACHTuJABSe5MUkCAABoBAAADgAAAAAAAAABACAA&#10;AAAgAQAAZHJzL2Uyb0RvYy54bWxQSwUGAAAAAAYABgBZAQAA2wUAAAAA&#10;">
                        <v:fill on="f" focussize="0,0"/>
                        <v:stroke on="f" weight="0.5pt" miterlimit="8" joinstyle="miter" dashstyle="dash"/>
                        <v:imagedata o:title=""/>
                        <o:lock v:ext="edit" aspectratio="f"/>
                        <v:textbox>
                          <w:txbxContent>
                            <w:p>
                              <w:pPr>
                                <w:adjustRightInd w:val="0"/>
                                <w:snapToGrid w:val="0"/>
                                <w:jc w:val="left"/>
                              </w:pPr>
                              <w:r>
                                <w:rPr>
                                  <w:rFonts w:hint="eastAsia"/>
                                </w:rPr>
                                <w:t>烘烤炉</w:t>
                              </w:r>
                            </w:p>
                          </w:txbxContent>
                        </v:textbox>
                      </v:shape>
                      <v:shape id="直接箭头连接符 134" o:spid="_x0000_s1026" o:spt="32" type="#_x0000_t32" style="position:absolute;left:1560195;top:4737735;flip:x y;height:4445;width:181610;" filled="f" stroked="t" coordsize="21600,21600" o:gfxdata="UEsDBAoAAAAAAIdO4kAAAAAAAAAAAAAAAAAEAAAAZHJzL1BLAwQUAAAACACHTuJA2UH2KtMAAAAG&#10;AQAADwAAAGRycy9kb3ducmV2LnhtbE2PQU+EMBCF7yb+h2ZMvLkFTAyLlD1s4sXEgyj3QkcgS6cs&#10;7Rb23zt60ctLJu/lvW/Kw2YnEXHxoyMF6S4BgdQ5M1Kv4PPj5SEH4YMmoydHqOCKHg7V7U2pC+NW&#10;esdYh15wCflCKxhCmAspfTeg1X7nZiT2vtxideBz6aVZ9MrldpJZkjxJq0fihUHPeBywO9UXq+Ct&#10;idm6NPN5jFsbX/dN7a/bUan7uzR5BhFwC39h+MFndKiYqXUXMl5MCviR8Kvs5WmegWg5lO4fc5BV&#10;Kf/jV99QSwMEFAAAAAgAh07iQIywPbI6AgAANwQAAA4AAABkcnMvZTJvRG9jLnhtbK1TzXLTMBC+&#10;M8M7aHQnjpu/4onTQ0LhUCAzLdwVSY41yJJGUuLkJXgBZjgVTsCpd54GymOwK4e2lEsP+OBZeXe/&#10;/b5P6+nJrtFkK31Q1pQ07/UpkYZbocy6pG8uTp8cUxIiM4Jpa2RJ9zLQk9njR9PWFfLI1lYL6QmA&#10;mFC0rqR1jK7IssBr2bDQs04aSFbWNyzC0a8z4VkL6I3Ojvr9cdZaL5y3XIYAXxddkh4Q/UMAbVUp&#10;LheWbxppYofqpWYRJIVauUBniW1VSR5fV1WQkeiSgtKY3jAE4hW+s9mUFWvPXK34gQJ7CIV7mhqm&#10;DAy9gVqwyMjGq3+gGsW9DbaKPW6brBOSHAEVef+eN+c1czJpAauDuzE9/D9Y/mq79ESJkg6HlBjW&#10;wI1ff7j6+f7T9bevPy6vfn3/iPGXzyQfDNGt1oUCmuZm6VEv35lzd2b5u0CMndfMrGVifbF3gJRj&#10;R/ZXCx6Cg5mr9qUVUMM20SbrdpVvSKWVe4GNKXqLEY4Bo8gODqNxP386omQPfCeDyWQw6m5Q7iLh&#10;WHCcj3O4W44Fw2HKZqxAaIRxPsTn0jYEg5KG6Jla13FujYFNsb4bxrZnISLx2wZsNvZUaZ0WRhvS&#10;lnQ8GPUTu2C1EpjEsuDXq7n2ZMtw5dKTXIDM3TJksGCh7uoERJ0SbzdGpCGRKf3MCBKTldErMFdL&#10;ipMbKSjREv5fjDqq2uB0mXb+wP+P192trazYLz0W43fYp6TwsPu4sHfPqer2f5/9Bl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NlB9irTAAAABgEAAA8AAAAAAAAAAQAgAAAAIgAAAGRycy9kb3ducmV2&#10;LnhtbFBLAQIUABQAAAAIAIdO4kCMsD2yOgIAADcEAAAOAAAAAAAAAAEAIAAAACIBAABkcnMvZTJv&#10;RG9jLnhtbFBLBQYAAAAABgAGAFkBAADOBQAAAAA=&#10;">
                        <v:fill on="f" focussize="0,0"/>
                        <v:stroke weight="0.5pt" color="#000000" joinstyle="round" dashstyle="dash" endarrow="block"/>
                        <v:imagedata o:title=""/>
                        <o:lock v:ext="edit" aspectratio="f"/>
                      </v:shape>
                      <v:shape id="文本框 142" o:spid="_x0000_s1026" o:spt="202" type="#_x0000_t202" style="position:absolute;left:779780;top:4494530;height:480060;width:97853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B2hySRSwIAAGgEAAAOAAAAZHJzL2Uyb0RvYy54bWytVM1u2zAMvg/Y&#10;Owi6r05Sp0mNOkXXoMOA7gfo9gCMLMfCLFGTlNjdA6xvsNMuu++5+hyjZLcLuksP88EgTeoj+fGT&#10;z8573bK9dF6hKfn0aMKZNAIrZbYl//zp6tWSMx/AVNCikSW/lZ6fr16+OOtsIWfYYFtJxwjE+KKz&#10;JW9CsEWWedFIDf4IrTQUrNFpCOS6bVY56Ahdt9lsMjnJOnSVdSik9/R1PQT5iOieA4h1rYRco9hp&#10;acKA6mQLgUbyjbKer1K3dS1F+FDXXgbWlpwmDelNRcjexHe2OoNi68A2SowtwHNaeDKTBmWo6CPU&#10;GgKwnVP/QGklHHqsw5FAnQ2DJEZoiunkCTc3DViZZiGqvX0k3f8/WPF+/9ExVZU8P+HMgKaN3/+4&#10;u//5+/7XdzbNZ5GhzvqCEm8spYb+NfakmzStt9covnhm8LIBs5UXzmHXSKiow2k8mR0cHXB8BNl0&#10;77CiSrALmID62ulIHxHCCH2xOF0saUW31FZ+ms+Px0XJPjBBcYrOj+eciZiwJFGleAbFA451PryR&#10;qFk0Su5IB6kO7K99iH1B8ZASyxq8Um2btNAa1pX85Hg+SQcOIvHAGnzD9kBiqsga1KNVoAvRKl1y&#10;aoWeNDgUrYnQMolwrBrZiAQMVIR+04/sbrC6JV4cDgKl60lGg+4bZx2Js+T+6w6c5Kx9a4jb02me&#10;RzUnJ58vZuS4w8jmMAJGEFTJA2eDeRmGG7CzTm0bqjRs0+AF7aNWiaDY6tDVuEUSYOJtvCxR4Yd+&#10;yvr7g1j9A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LUEAABbQ29udGVudF9UeXBlc10ueG1sUEsBAhQACgAAAAAAh07iQAAAAAAAAAAAAAAAAAYA&#10;AAAAAAAAAAAQAAAAlwMAAF9yZWxzL1BLAQIUABQAAAAIAIdO4kCKFGY80QAAAJQBAAALAAAAAAAA&#10;AAEAIAAAALsDAABfcmVscy8ucmVsc1BLAQIUAAoAAAAAAIdO4kAAAAAAAAAAAAAAAAAEAAAAAAAA&#10;AAAAEAAAAAAAAABkcnMvUEsBAhQAFAAAAAgAh07iQJdRRlvRAAAABgEAAA8AAAAAAAAAAQAgAAAA&#10;IgAAAGRycy9kb3ducmV2LnhtbFBLAQIUABQAAAAIAIdO4kB2hySRSwIAAGgEAAAOAAAAAAAAAAEA&#10;IAAAACABAABkcnMvZTJvRG9jLnhtbFBLBQYAAAAABgAGAFkBAADdBQAAAAA=&#10;">
                        <v:fill on="f" focussize="0,0"/>
                        <v:stroke on="f" weight="0.5pt" miterlimit="8" joinstyle="miter" dashstyle="dash"/>
                        <v:imagedata o:title=""/>
                        <o:lock v:ext="edit" aspectratio="f"/>
                        <v:textbox>
                          <w:txbxContent>
                            <w:p>
                              <w:pPr>
                                <w:jc w:val="left"/>
                              </w:pPr>
                              <w:r>
                                <w:rPr>
                                  <w:rFonts w:hint="eastAsia"/>
                                </w:rPr>
                                <w:t>粉尘（颗粒物）、噪声</w:t>
                              </w:r>
                            </w:p>
                          </w:txbxContent>
                        </v:textbox>
                      </v:shape>
                      <v:shape id="直接箭头连接符 138" o:spid="_x0000_s1026" o:spt="32" type="#_x0000_t32" style="position:absolute;left:3913505;top:6893560;height:5080;width:1072515;" filled="f" stroked="t" coordsize="21600,21600" o:gfxdata="UEsDBAoAAAAAAIdO4kAAAAAAAAAAAAAAAAAEAAAAZHJzL1BLAwQUAAAACACHTuJALPv979QAAAAG&#10;AQAADwAAAGRycy9kb3ducmV2LnhtbE2PQUvDQBCF70L/wzKCF7GbpFJizKaQQqRXW/G8zY5JbHY2&#10;7G7a+u8dvejlwfAe731Tbq52FGf0YXCkIF0mIJBaZwbqFLwdmoccRIiajB4doYIvDLCpFjelLoy7&#10;0Cue97ETXEKh0Ar6GKdCytD2aHVYugmJvQ/nrY58+k4ary9cbkeZJclaWj0QL/R6wm2P7Wk/WwX3&#10;ztafoTm91PNj2/h6/b7DLlPq7jZNnkFEvMa/MPzgMzpUzHR0M5kgRgX8SPxV9vI0z0AcOZQ+rXKQ&#10;VSn/41ffUEsDBBQAAAAIAIdO4kCyFEcROQIAADEEAAAOAAAAZHJzL2Uyb0RvYy54bWytU8Fy0zAQ&#10;vTPDP2h0p7aTSZN64vSQUC4FOtPyAYos2xokrUZS4uQn+AFmOAEn4NQ7XwPlM1jJaSnl0gM+eCTt&#10;7tt9T0/z051WZCucl2AqWhzllAjDoZamreibq7NnM0p8YKZmCoyo6F54erp4+mTe21KMoANVC0cQ&#10;xPiytxXtQrBllnneCc38EVhhMNiA0yzg1rVZ7ViP6Fplozw/znpwtXXAhfd4uhqC9IDoHgMITSO5&#10;WAHfaGHCgOqEYgEp+U5aTxdp2qYRPLxuGi8CURVFpiH9sQmu1/GfLeasbB2zneSHEdhjRnjASTNp&#10;sOkd1IoFRjZO/gOlJXfgoQlHHHQ2EEmKIIsif6DNZcesSFxQam/vRPf/D5a/2l44IuuKTqeUGKbx&#10;xm/eX/989+nm29cfH69/ff8Q118+k2I8i2r11pdYtDQXLvLlO3Npz4G/9cTAsmOmFWnqq71FpCJW&#10;ZH+VxI232HPdv4Qac9gmQJJu1zgdIVEUsqvo+KQYT/IJJfuKHs9OxpPjw22JXSAcE4p8OpoUmMAx&#10;Y5LPUjhj5S2OdT68EKBJXFTUB8dk24UlGIO2AFekrmx77kOckpW3BXEIA2dSqeQOZUiP3UbTHE3D&#10;tUWtvGlTsQcl65gYS7xr10vlyJZFr6Uv0cfI/bTYZcV8N+Sl0OBCBxtTp46BSfXc1CQkEYOTKKsS&#10;NI6hRU2JEvhy42qYW5nYXiS3H8jcqjzc1xrq/YWLyfEcnZToHlwfrXp/n7L+vPTFb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KYEAABbQ29udGVu&#10;dF9UeXBlc10ueG1sUEsBAhQACgAAAAAAh07iQAAAAAAAAAAAAAAAAAYAAAAAAAAAAAAQAAAAiAMA&#10;AF9yZWxzL1BLAQIUABQAAAAIAIdO4kCKFGY80QAAAJQBAAALAAAAAAAAAAEAIAAAAKwDAABfcmVs&#10;cy8ucmVsc1BLAQIUAAoAAAAAAIdO4kAAAAAAAAAAAAAAAAAEAAAAAAAAAAAAEAAAAAAAAABkcnMv&#10;UEsBAhQAFAAAAAgAh07iQCz7/e/UAAAABgEAAA8AAAAAAAAAAQAgAAAAIgAAAGRycy9kb3ducmV2&#10;LnhtbFBLAQIUABQAAAAIAIdO4kCyFEcROQIAADEEAAAOAAAAAAAAAAEAIAAAACMBAABkcnMvZTJv&#10;RG9jLnhtbFBLBQYAAAAABgAGAFkBAADOBQAAAAA=&#10;">
                        <v:fill on="f" focussize="0,0"/>
                        <v:stroke weight="1pt" color="#000000 [3213]" joinstyle="round" endarrow="block"/>
                        <v:imagedata o:title=""/>
                        <o:lock v:ext="edit" aspectratio="f"/>
                      </v:shape>
                      <v:shape id="直接箭头连接符 138" o:spid="_x0000_s1026" o:spt="32" type="#_x0000_t32" style="position:absolute;left:4979670;top:450850;flip:y;height:6443345;width:23495;" filled="f" stroked="t" coordsize="21600,21600" o:gfxdata="UEsDBAoAAAAAAIdO4kAAAAAAAAAAAAAAAAAEAAAAZHJzL1BLAwQUAAAACACHTuJA4IAffdcAAAAG&#10;AQAADwAAAGRycy9kb3ducmV2LnhtbE2OTUvEMBCG74L/IYzgpbhJV5Bam+5BkEUEYdcP8JZtxqbY&#10;TLpNtt39945e9DLw8j6881Sro+/FhGPsAmnIFwoEUhNsR62G15eHqwJETIas6QOhhhNGWNXnZ5Up&#10;bZhpg9M2tYJHKJZGg0tpKKWMjUNv4iIMSNx9htGbxHFspR3NzOO+l0ulbqQ3HfEHZwa8d9h8bQ9e&#10;g/p42z+tu2ly2Wmd7Z+zx838Pmh9eZGrOxAJj+kPhh99VoeanXbhQDaKnjeY+73cFXmxBLFjKL+9&#10;LkDWlfyvX38DUEsDBBQAAAAIAIdO4kBTOIC7PQIAADwEAAAOAAAAZHJzL2Uyb0RvYy54bWytU71y&#10;EzEQ7pnhHTTq8fk/zo3PKWxCEyAzCfSyTnenQX8jyT77JXgBZqgIFVCl52kgPAa7OpOQ0KTgipuV&#10;dvfbb79dzU92WpGt8EFaU9BBr0+JMNyW0tQFfXN5+mxGSYjMlExZIwq6F4GeLJ4+mbcuF0PbWFUK&#10;TwDEhLx1BW1idHmWBd4IzULPOmHAWVmvWYSjr7PSsxbQtcqG/f40a60vnbdchAC3q85JD4j+MYC2&#10;qiQXK8s3WpjYoXqhWISWQiNdoIvEtqoEj6+rKohIVEGh05j+UATsNf6zxZzltWeukfxAgT2GwoOe&#10;NJMGit5CrVhkZOPlP1Bacm+DrWKPW511jSRFoItB/4E2Fw1zIvUCUgd3K3r4f7D81fbcE1nCJgyn&#10;lBimYeQ3H65/vr+6+fb1x6frX98/ov3lMxmMZihX60IOWUtz7rFhvjMX7szyd4EYu2yYqUWifbl3&#10;gDTAjOxeCh6Cg6Lr9qUtIYZtok3a7SqvSaWke4uJCA76kF1Bx8dHx9MjGNke7El/NjnMTewi4eAf&#10;jsbHE0o4uKfj8Wg0nqSyLEdExHE+xBfCaoJGQUP0TNZNXFpjYEOs76qx7VmIyPcuAZONPZVKpUVR&#10;hrSo1FEfyHDtQLZg6kQ1WCVLDMSU4Ov1UnmyZbh26TswuheGbFYsNF1ccmEYy73dmDJZkUn13JQk&#10;JjmjlyCwEhRpaFFSogQ8YrQ63spgukiLf2jmj97d5Na23J97DMZ7WKrU7uEB4Nb+fU5Rd49+8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DggB991wAAAAYBAAAPAAAAAAAAAAEAIAAAACIAAABkcnMv&#10;ZG93bnJldi54bWxQSwECFAAUAAAACACHTuJAUziAuz0CAAA8BAAADgAAAAAAAAABACAAAAAmAQAA&#10;ZHJzL2Uyb0RvYy54bWxQSwUGAAAAAAYABgBZAQAA1QUAAAAA&#10;">
                        <v:fill on="f" focussize="0,0"/>
                        <v:stroke weight="1pt" color="#000000 [3213]" joinstyle="round" endarrow="block"/>
                        <v:imagedata o:title=""/>
                        <o:lock v:ext="edit" aspectratio="f"/>
                      </v:shape>
                      <v:shape id="直接箭头连接符 138" o:spid="_x0000_s1026" o:spt="32" type="#_x0000_t32" style="position:absolute;left:2573020;top:449580;flip:x y;height:8890;width:2424430;" filled="f" stroked="t" coordsize="21600,21600" o:gfxdata="UEsDBAoAAAAAAIdO4kAAAAAAAAAAAAAAAAAEAAAAZHJzL1BLAwQUAAAACACHTuJAaG3LPNUAAAAG&#10;AQAADwAAAGRycy9kb3ducmV2LnhtbE2PzU7DMBCE70i8g7WVuCBqp5UgTeP0gAjiSvk5u/E2jhqv&#10;o9htwtuzcIHLSKsZzXxb7mbfiwuOsQukIVsqEEhNsB21Gt7f6rscREyGrOkDoYYvjLCrrq9KU9gw&#10;0Ste9qkVXEKxMBpcSkMhZWwcehOXYUBi7xhGbxKfYyvtaCYu971cKXUvvemIF5wZ8NFhc9qfvYbn&#10;h+P8ZOpN429f1p8n6T6UnGqtbxaZ2oJIOKe/MPzgMzpUzHQIZ7JR9Br4kfSr7OVZvgJx4FC2Wecg&#10;q1L+x6++AVBLAwQUAAAACACHTuJAAvyfwEECAABFBAAADgAAAGRycy9lMm9Eb2MueG1srVO9chMx&#10;EO6Z4R006snZZ4c4Nz6nsAkUATyTQC/rdHca9DeS7LNfghdghipQAVV6ngbCY7CrM0kITQquuFlp&#10;d7/99tPu9GSrFdkIH6Q1JR0eDCgRhttKmqakby5On0woCZGZiilrREl3ItCT2eNH084VIretVZXw&#10;BEBMKDpX0jZGV2RZ4K3QLBxYJww4a+s1i3D0TVZ51gG6Vlk+GDzNOusr5y0XIcDtonfSPaJ/CKCt&#10;a8nFwvK1Fib2qF4oFqGl0EoX6CyxrWvB4+u6DiISVVLoNKY/FAF7hf9sNmVF45lrJd9TYA+hcK8n&#10;zaSBojdQCxYZWXv5D5SW3Ntg63jArc76RpIi0MVwcE+b85Y5kXoBqYO7ET38P1j+arP0RFYwCeOc&#10;EsM0PPn1h6uf7z9df/v64/Lq1/ePaH/5TIajCcrVuVBA1twsPTbMt+bcnVn+LhBj5y0zjUi0L3YO&#10;kIaYkf2VgofgoOiqe2kriGHraJN229prUivpXmBist6ihWVAKbItaX54NBrk8Hi7ko7Hx4eT/QuK&#10;bSQc/eN8PB6Bn0PAZHKc3BkrEBphnA/xubCaoFHSED2TTRvn1hgYFev7YmxzFiISv03AZGNPpVJp&#10;YpQhHVDLjwZYSzvQL5gmMQ1WyQoDMSX4ZjVXnmwYzl/6kiLguRuGbBYstH1ccvWT6e3aVKliZFI9&#10;MxWJSdfoJSitBEUaWlSUKAHbjFbPWxksL9IG7Jv5I3z/hCtb7ZYeg/Eepiu1u98EHN+75xR1u/2z&#10;31BLAwQKAAAAAACHTuJAAAAAAAAAAAAAAAAABgAAAF9yZWxzL1BLAwQUAAAACACHTuJAihRmPNEA&#10;AACUAQAACwAAAF9yZWxzLy5yZWxzpZDBasMwDIbvg72D0X1xmsMYo04vo9Br6R7A2IpjGltGMtn6&#10;9vMOg2X0tqN+oe8T//7wmRa1IkukbGDX9aAwO/IxBwPvl+PTCyipNnu7UEYDNxQ4jI8P+zMutrYj&#10;mWMR1ShZDMy1lletxc2YrHRUMLfNRJxsbSMHXay72oB66Ptnzb8ZMG6Y6uQN8MkPoC630sx/2Ck6&#10;JqGpdo6SpmmK7h5VB7Zlju7INuEbuUazHLAa8CwaB2pZ134EfV+/+6fe00c+47rVfoeM649Xb7oc&#10;vwBQSwMEFAAAAAgAh07iQH7m5SD3AAAA4QEAABMAAABbQ29udGVudF9UeXBlc10ueG1slZFBTsMw&#10;EEX3SNzB8hYlTrtACCXpgrRLQKgcYGRPEotkbHlMaG+Pk7YbRJFY2jP/vye73BzGQUwY2Dqq5Cov&#10;pEDSzljqKvm+32UPUnAEMjA4wkoekeWmvr0p90ePLFKauJJ9jP5RKdY9jsC580hp0rowQkzH0CkP&#10;+gM6VOuiuFfaUUSKWZw7ZF022MLnEMX2kK5PJgEHluLptDizKgneD1ZDTKZqIvODkp0JeUouO9xb&#10;z3dJQ6pfCfPkOuCce0lPE6xB8QohPsOYNJQJrIz7ooBT/nfJbDly5trWasybwE2KveF0sbrWjmvX&#10;OP3f8u2SunSr5YPqb1BLAQIUABQAAAAIAIdO4kB+5uUg9wAAAOEBAAATAAAAAAAAAAEAIAAAAK8E&#10;AABbQ29udGVudF9UeXBlc10ueG1sUEsBAhQACgAAAAAAh07iQAAAAAAAAAAAAAAAAAYAAAAAAAAA&#10;AAAQAAAAkQMAAF9yZWxzL1BLAQIUABQAAAAIAIdO4kCKFGY80QAAAJQBAAALAAAAAAAAAAEAIAAA&#10;ALUDAABfcmVscy8ucmVsc1BLAQIUAAoAAAAAAIdO4kAAAAAAAAAAAAAAAAAEAAAAAAAAAAAAEAAA&#10;AAAAAABkcnMvUEsBAhQAFAAAAAgAh07iQGhtyzzVAAAABgEAAA8AAAAAAAAAAQAgAAAAIgAAAGRy&#10;cy9kb3ducmV2LnhtbFBLAQIUABQAAAAIAIdO4kAC/J/AQQIAAEUEAAAOAAAAAAAAAAEAIAAAACQB&#10;AABkcnMvZTJvRG9jLnhtbFBLBQYAAAAABgAGAFkBAADXBQAAAAA=&#10;">
                        <v:fill on="f" focussize="0,0"/>
                        <v:stroke weight="1pt" color="#000000 [3213]" joinstyle="round" endarrow="block"/>
                        <v:imagedata o:title=""/>
                        <o:lock v:ext="edit" aspectratio="f"/>
                      </v:shape>
                      <v:shape id="文本框 118" o:spid="_x0000_s1026" o:spt="202" type="#_x0000_t202" style="position:absolute;left:3703955;top:179705;height:244475;width:729615;" filled="f" stroked="f" coordsize="21600,21600" o:gfxdata="UEsDBAoAAAAAAIdO4kAAAAAAAAAAAAAAAAAEAAAAZHJzL1BLAwQUAAAACACHTuJAUj13vNQAAAAG&#10;AQAADwAAAGRycy9kb3ducmV2LnhtbE2PS0/DMBCE70j8B2uRuFE75aE0jdMDiCuI8pC4beNtEjVe&#10;R7HbhH/PwgUuI61mNPNtuZl9r040xi6whWxhQBHXwXXcWHh7fbzKQcWE7LAPTBa+KMKmOj8rsXBh&#10;4hc6bVOjpIRjgRbalIZC61i35DEuwkAs3j6MHpOcY6PdiJOU+14vjbnTHjuWhRYHum+pPmyP3sL7&#10;0/7z48Y8Nw/+dpjCbDT7lbb28iIza1CJ5vQXhh98QYdKmHbhyC6q3oI8kn5VvDzLl6B2EspW1zno&#10;qtT/8atvUEsDBBQAAAAIAIdO4kBrV1MAKQIAADEEAAAOAAAAZHJzL2Uyb0RvYy54bWytU0tu2zAQ&#10;3RfoHQjua0mObMeC5SCNkaJA+gHSHoCmKIuoxGFJ2lJ6gPYGXXXTfc/lc3RIKqmbbrLohhhyhm/m&#10;PT6uLoauJQdhrARV0mySUiIUh0qqXUk/frh+cU6JdUxVrAUlSnonLL1YP3+26nUhptBAWwlDEETZ&#10;otclbZzTRZJY3oiO2QlooTBZg+mYw63ZJZVhPaJ3bTJN03nSg6m0AS6sxdNNTNIR0TwFEOpacrEB&#10;vu+EchHViJY5pGQbqS1dh2nrWnD3rq6tcKQtKTJ1YcUmGG/9mqxXrNgZphvJxxHYU0Z4xKljUmHT&#10;B6gNc4zsjfwHqpPcgIXaTTh0SSQSFEEWWfpIm9uGaRG4oNRWP4hu/x8sf3t4b4is0AnzJSWKdfjk&#10;x+/fjj9+HX9+JVl27iXqtS2w8lZjrRtewoDlga7VN8A/WaLgqmFqJy6Ngb4RrMIRM38zObkacawH&#10;2fZvoMJObO8gAA216bx+qAhB9LNFeraczSi5Q5zFcpHO4kuJwRGO+cV0Oc8wzTE/zfN8EfIJK+5x&#10;tLHulYCO+KCkBo0Q+rDDjXV+Llbcl/i2Cq5l2wYztOqvAyyMJyK4abztWXkikZIbtsOo0haqO+Rn&#10;IDoN/xkGDZgvlPTospLaz3tmBCXta4UaLbM897YMm3y2mOLGnGa2pxmmOEKV1FESwysXrbzXRu4a&#10;7BRfRcEl6lrLQNSPGqcaXwOdFPiPrvdWPd2Hqj8/ff0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Uj13vNQAAAAGAQAADwAAAAAAAAABACAAAAAiAAAAZHJzL2Rvd25yZXYueG1sUEsBAhQAFAAAAAgA&#10;h07iQGtXUwApAgAAMQQAAA4AAAAAAAAAAQAgAAAAIwEAAGRycy9lMm9Eb2MueG1sUEsFBgAAAAAG&#10;AAYAWQEAAL4FAAAAAA==&#10;">
                        <v:fill on="f" focussize="0,0"/>
                        <v:stroke on="f"/>
                        <v:imagedata o:title=""/>
                        <o:lock v:ext="edit" aspectratio="f"/>
                        <v:textbox>
                          <w:txbxContent>
                            <w:p>
                              <w:pPr>
                                <w:adjustRightInd w:val="0"/>
                                <w:snapToGrid w:val="0"/>
                                <w:jc w:val="center"/>
                              </w:pPr>
                              <w:r>
                                <w:rPr>
                                  <w:rFonts w:hint="eastAsia"/>
                                </w:rPr>
                                <w:t>回收熔融</w:t>
                              </w:r>
                            </w:p>
                          </w:txbxContent>
                        </v:textbox>
                      </v:shape>
                      <v:shape id="连接符: 肘形 224" o:spid="_x0000_s1026" o:spt="35" type="#_x0000_t35" style="position:absolute;left:2936680;top:5108893;flip:x;height:324803;width:124142;rotation:-5898240f;" filled="f" stroked="t" coordsize="21600,21600" o:gfxdata="UEsDBAoAAAAAAIdO4kAAAAAAAAAAAAAAAAAEAAAAZHJzL1BLAwQUAAAACACHTuJAxV3DYNUAAAAG&#10;AQAADwAAAGRycy9kb3ducmV2LnhtbE2PQUsDMRCF74L/IYzgzSbbgqzbzRYR9KBQtGrP6WbcXZpM&#10;liTb1n/v6MVeHgzv8d439erknThgTEMgDcVMgUBqgx2o0/Dx/nhTgkjZkDUuEGr4xgSr5vKiNpUN&#10;R3rDwyZ3gksoVUZDn/NYSZnaHr1JszAisfcVojeZz9hJG82Ry72Tc6VupTcD8UJvRnzosd1vJq/h&#10;OWYfnqZ9unevi8+Bti9rtY5aX18Vagki4yn/h+EXn9GhYaZdmMgm4TTwI/lP2SuLcg5ix6HiblGC&#10;bGp5jt/8AFBLAwQUAAAACACHTuJAwkVGmWYCAACYBAAADgAAAGRycy9lMm9Eb2MueG1srVTNctMw&#10;EL4zwztodG/8EzdxPXF6SCgcGOgM8ACKLNti9DeSmp8rD8CZEwdmyolXYHgaoI/BSnbTUi49kIMj&#10;eXe/3f2+XS/O91KgLbOOa1XjbJJixBTVDVddjd+9vTgpMXKeqIYIrViND8zh8+XTJ4udqViuey0a&#10;ZhGAKFftTI17702VJI72TBI30YYpMLbaSuLharuksWQH6FIkeZrOkp22jbGaMufg7Xow4hHRPgZQ&#10;ty2nbK3plWTKD6iWCeKhJddz4/AyVtu2jPrXbeuYR6LG0KmPT0gC5014JssFqTpLTM/pWAJ5TAkP&#10;epKEK0h6hFoTT9CV5f9ASU6tdrr1E6plMjQSGYEusvQBN296YljsBah25ki6+3+w9NX20iLe1DjP&#10;C4wUkSD5zY/Pvz5e//72tUI3Hz79/P4FBSNQtTOugoiVurShWedXexWD5xj+9gAyEMpU89CSBUvy&#10;F0C4ODNA7VsrkdWgz2mRhh9GreDmBUxo5BWYQgH/bDqblWA8gGOWluXZdMy494iCQ5YXWZFjRMFh&#10;mhdlGu0JqUKCULOxzj9nWqJwqPEGBmillYJB0baIqcj2pfNRy2bkgzTvM6hHChiNLRHoZF6cTiMh&#10;IPg9J8h755TN02k5dE2qERPquM0fEih9wYWIIygU2tV4Nj2F3iiBtWphnOEoDUjjVIcRER3sK/U2&#10;Fum04E2IjjrYbrMSFkFtMNMDfYFtUOi+W0i9Jq4f/KJpIE9yDystuKxxeYwmlSdcPFMN8gcDQ+Et&#10;J6oTLOpIKqFGOQcFg5Yb3Rwu7a3MMLCxhHG5wkbcv8fouw/K8g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DFXcNg1QAAAAYBAAAPAAAAAAAAAAEAIAAAACIAAABkcnMvZG93bnJldi54bWxQSwECFAAU&#10;AAAACACHTuJAwkVGmWYCAACYBAAADgAAAAAAAAABACAAAAAkAQAAZHJzL2Uyb0RvYy54bWxQSwUG&#10;AAAAAAYABgBZAQAA/AUAAAAA&#10;" adj="-16099,36802">
                        <v:fill on="f" focussize="0,0"/>
                        <v:stroke weight="0.5pt" color="#000000 [3213]" miterlimit="8" joinstyle="miter" endarrow="block"/>
                        <v:imagedata o:title=""/>
                        <o:lock v:ext="edit" aspectratio="f"/>
                      </v:shape>
                      <v:shape id="文本框 136" o:spid="_x0000_s1026" o:spt="202" type="#_x0000_t202" style="position:absolute;left:2140246;top:5176543;height:307340;width:592455;" filled="f" stroked="f" coordsize="21600,21600" o:gfxdata="UEsDBAoAAAAAAIdO4kAAAAAAAAAAAAAAAAAEAAAAZHJzL1BLAwQUAAAACACHTuJAl1FGW9EAAAAG&#10;AQAADwAAAGRycy9kb3ducmV2LnhtbE2PS07EMBBE90jcwWokdoyTYUAhxJkFKAdg4ACeuIkj4naw&#10;nR+np2EDm5JaVap6XR1XN4gZQ+w9Kch3GQik1pueOgVvr81NASImTUYPnlDBhhGO9eVFpUvjF3rB&#10;+ZQ6wSUUS63ApjSWUsbWotNx50ck9t59cDrxGTppgl643A1yn2X30umeeMHqEZ8sth+nySmY75bt&#10;YGWzTE3EGD7Xr3Y7PCt1fZVnjyASrukvDD/4jA41M539RCaKQQE/kn6VvSIv9iDOHMofbguQdSX/&#10;49ffUEsDBBQAAAAIAIdO4kDwjjh/UAIAAGoEAAAOAAAAZHJzL2Uyb0RvYy54bWytVEtu2zAQ3Rfo&#10;HQjua30sOYkQOUhjpCiQfoC0B6ApyiIqcliStuQeoLlBV91033PlHB1STmqkmyyqhTCjGb5582ao&#10;84tR9WQnrJOga5rNUkqE5tBIvanp50/Xr04pcZ7phvWgRU33wtGL5csX54OpRA4d9I2wBEG0qwZT&#10;0857UyWJ451QzM3ACI3BFqxiHl27SRrLBkRXfZKn6SIZwDbGAhfO4dfVFKQHRPscQGhbycUK+FYJ&#10;7SdUK3rmsSXXSePoMrJtW8H9h7Z1wpO+ptipj28sgvY6vJPlOas2lplO8gMF9hwKT3pSTGos+gi1&#10;Yp6RrZX/QCnJLTho/YyDSqZGoiLYRZY+0ea2Y0bEXlBqZx5Fd/8Plr/ffbRENjXN85ISzRSO/P7H&#10;3f3P3/e/vpNsvggSDcZVmHlrMNePr2HExYntOnMD/IsjGq46pjfi0loYOsEapJiFk8nR0QnHBZD1&#10;8A4arMS2HiLQ2FoV9ENFCKLnWZHmxYKSfU3L7GRRFvNpVGL0hGNCeZYXJRLmmDBPT+ZFHGXCqgcg&#10;Y51/I0CRYNTU4ibEQmx343wgxqqHlFBXw7Xs+7gNvSZDTRfzMo0HjiLhwIq5juwYrlOD1kRKSY9X&#10;opeqpqdpeGLnrOp1gBZxDQ9VgxxBgUkLP67Hg7xraPYojIVpRfGCotGB/UbJgOtZU/d1y6ygpH+r&#10;UdyzrMCWiY9OUZ7k6NjjyPo4wjRHqJp6Sibzyk93YGus3HRYaRqnhkscSCujQIHqxOowRlzBqNvh&#10;uoQdP/Zj1t9fxPIP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l1FGW9EAAAAGAQAADwAAAAAAAAAB&#10;ACAAAAAiAAAAZHJzL2Rvd25yZXYueG1sUEsBAhQAFAAAAAgAh07iQPCOOH9QAgAAagQAAA4AAAAA&#10;AAAAAQAgAAAAIAEAAGRycy9lMm9Eb2MueG1sUEsFBgAAAAAGAAYAWQEAAOIFAAAAAA==&#10;">
                        <v:fill on="f" focussize="0,0"/>
                        <v:stroke on="f" weight="0.5pt" miterlimit="8" joinstyle="miter" dashstyle="dash"/>
                        <v:imagedata o:title=""/>
                        <o:lock v:ext="edit" aspectratio="f"/>
                        <v:textbox>
                          <w:txbxContent>
                            <w:p>
                              <w:pPr>
                                <w:rPr>
                                  <w:sz w:val="18"/>
                                  <w:szCs w:val="18"/>
                                </w:rPr>
                              </w:pPr>
                              <w:r>
                                <w:rPr>
                                  <w:rFonts w:hint="eastAsia"/>
                                  <w:sz w:val="18"/>
                                  <w:szCs w:val="18"/>
                                </w:rPr>
                                <w:t>循环水</w:t>
                              </w:r>
                            </w:p>
                          </w:txbxContent>
                        </v:textbox>
                      </v:shape>
                      <w10:wrap type="none"/>
                      <w10:anchorlock/>
                    </v:group>
                  </w:pict>
                </mc:Fallback>
              </mc:AlternateContent>
            </w:r>
          </w:p>
          <w:p>
            <w:pPr>
              <w:autoSpaceDE w:val="0"/>
              <w:autoSpaceDN w:val="0"/>
              <w:adjustRightInd w:val="0"/>
              <w:jc w:val="center"/>
              <w:rPr>
                <w:b/>
                <w:bCs/>
              </w:rPr>
            </w:pPr>
            <w:r>
              <w:rPr>
                <w:b/>
                <w:bCs/>
              </w:rPr>
              <w:t>图2-2 项目生产工艺流程图</w:t>
            </w:r>
          </w:p>
          <w:p>
            <w:pPr>
              <w:widowControl/>
              <w:adjustRightInd w:val="0"/>
              <w:snapToGrid w:val="0"/>
              <w:spacing w:before="120" w:beforeLines="50" w:line="360" w:lineRule="auto"/>
              <w:rPr>
                <w:b/>
                <w:bCs/>
              </w:rPr>
            </w:pPr>
            <w:r>
              <w:rPr>
                <w:b/>
                <w:bCs/>
              </w:rPr>
              <w:t>工艺流程说明：</w:t>
            </w:r>
          </w:p>
          <w:p>
            <w:pPr>
              <w:adjustRightInd w:val="0"/>
              <w:snapToGrid w:val="0"/>
              <w:spacing w:line="360" w:lineRule="auto"/>
              <w:ind w:firstLine="422" w:firstLineChars="200"/>
              <w:rPr>
                <w:bCs/>
              </w:rPr>
            </w:pPr>
            <w:r>
              <w:rPr>
                <w:b/>
              </w:rPr>
              <w:t>电熔：</w:t>
            </w:r>
            <w:r>
              <w:rPr>
                <w:rFonts w:hint="eastAsia"/>
                <w:bCs/>
              </w:rPr>
              <w:t>使用压铸机配套的感应电炉对原料进行电熔，铝合金锭熔化温度在650℃左右，锌合金锭熔化温度在400℃左右，原料熔化时间约3小时，熔化后自动保温，该工序会产生烟尘（以颗粒物表征）、铝合金渣、锌合金渣及噪声。根据原料成分报告，项目铝合金锭、锌合金锭中有毒有害重金属含量极低，可忽略不计，因此本环评不予分析</w:t>
            </w:r>
            <w:r>
              <w:rPr>
                <w:bCs/>
              </w:rPr>
              <w:t>。</w:t>
            </w:r>
          </w:p>
          <w:p>
            <w:pPr>
              <w:spacing w:line="360" w:lineRule="auto"/>
              <w:ind w:firstLine="422" w:firstLineChars="200"/>
              <w:rPr>
                <w:bCs/>
              </w:rPr>
            </w:pPr>
            <w:r>
              <w:rPr>
                <w:b/>
              </w:rPr>
              <w:t>压铸成型：</w:t>
            </w:r>
            <w:r>
              <w:rPr>
                <w:bCs/>
              </w:rPr>
              <w:t>压铸机通过管道自动吸入一定量的</w:t>
            </w:r>
            <w:r>
              <w:rPr>
                <w:rFonts w:hint="eastAsia"/>
                <w:bCs/>
              </w:rPr>
              <w:t>铝合金、</w:t>
            </w:r>
            <w:r>
              <w:rPr>
                <w:bCs/>
              </w:rPr>
              <w:t>锌合金液倒入模具中，依靠压铸机压力使金属液成型，通过循环冷却水间接冷却</w:t>
            </w:r>
            <w:r>
              <w:rPr>
                <w:rFonts w:hint="eastAsia"/>
                <w:bCs/>
              </w:rPr>
              <w:t>凝固</w:t>
            </w:r>
            <w:r>
              <w:rPr>
                <w:bCs/>
              </w:rPr>
              <w:t>后打开模具，取出铸件，为了便于铸件脱膜，预先采用气动喷枪在钢模具表面喷涂脱模剂，在高温下脱模剂挥发，该工序会产生烟尘（以颗粒物表征）、有机废气（以TVOC表征）及噪声。根据原料成分报告，项目铝合金锭、锌合金锭中有毒有害重金属含量极低，可忽略不计，因此本环评不予分析。</w:t>
            </w:r>
          </w:p>
          <w:p>
            <w:pPr>
              <w:pStyle w:val="16"/>
              <w:spacing w:line="360" w:lineRule="auto"/>
              <w:ind w:left="0" w:firstLine="422" w:firstLineChars="200"/>
              <w:rPr>
                <w:rFonts w:ascii="Times New Roman" w:hAnsi="Times New Roman"/>
                <w:lang w:eastAsia="zh-CN"/>
              </w:rPr>
            </w:pPr>
            <w:r>
              <w:rPr>
                <w:rFonts w:ascii="Times New Roman" w:hAnsi="Times New Roman"/>
                <w:b/>
                <w:bCs/>
              </w:rPr>
              <w:t>打磨</w:t>
            </w:r>
            <w:r>
              <w:rPr>
                <w:rFonts w:ascii="Times New Roman" w:hAnsi="Times New Roman"/>
                <w:b/>
                <w:bCs/>
                <w:lang w:eastAsia="zh-CN"/>
              </w:rPr>
              <w:t>批锋</w:t>
            </w:r>
            <w:r>
              <w:rPr>
                <w:rFonts w:ascii="Times New Roman" w:hAnsi="Times New Roman"/>
                <w:b/>
                <w:bCs/>
              </w:rPr>
              <w:t>：</w:t>
            </w:r>
            <w:r>
              <w:rPr>
                <w:rFonts w:ascii="Times New Roman" w:hAnsi="Times New Roman"/>
                <w:lang w:eastAsia="zh-CN"/>
              </w:rPr>
              <w:t>压铸</w:t>
            </w:r>
            <w:r>
              <w:rPr>
                <w:rFonts w:ascii="Times New Roman" w:hAnsi="Times New Roman"/>
              </w:rPr>
              <w:t>完成的</w:t>
            </w:r>
            <w:r>
              <w:rPr>
                <w:rFonts w:ascii="Times New Roman" w:hAnsi="Times New Roman"/>
                <w:lang w:eastAsia="zh-CN"/>
              </w:rPr>
              <w:t>工件在模具连接处有锐利的批锋以及不规则的边缘水口等，使用打磨机</w:t>
            </w:r>
            <w:r>
              <w:rPr>
                <w:rFonts w:hint="eastAsia" w:ascii="Times New Roman" w:hAnsi="Times New Roman"/>
                <w:lang w:eastAsia="zh-CN"/>
              </w:rPr>
              <w:t>、气动锉刀</w:t>
            </w:r>
            <w:r>
              <w:rPr>
                <w:rFonts w:ascii="Times New Roman" w:hAnsi="Times New Roman"/>
                <w:lang w:eastAsia="zh-CN"/>
              </w:rPr>
              <w:t>将工件</w:t>
            </w:r>
            <w:r>
              <w:rPr>
                <w:rFonts w:ascii="Times New Roman" w:hAnsi="Times New Roman"/>
              </w:rPr>
              <w:t>打磨</w:t>
            </w:r>
            <w:r>
              <w:rPr>
                <w:rFonts w:ascii="Times New Roman" w:hAnsi="Times New Roman"/>
                <w:lang w:eastAsia="zh-CN"/>
              </w:rPr>
              <w:t>以便进一步加工。此工序会产生粉尘和噪声。</w:t>
            </w:r>
          </w:p>
          <w:p>
            <w:pPr>
              <w:pStyle w:val="16"/>
              <w:spacing w:line="360" w:lineRule="auto"/>
              <w:ind w:left="0" w:firstLine="422" w:firstLineChars="200"/>
              <w:rPr>
                <w:rFonts w:ascii="Times New Roman" w:hAnsi="Times New Roman"/>
                <w:lang w:eastAsia="zh-CN"/>
              </w:rPr>
            </w:pPr>
            <w:r>
              <w:rPr>
                <w:rFonts w:ascii="Times New Roman" w:hAnsi="Times New Roman"/>
                <w:b/>
                <w:bCs/>
                <w:lang w:eastAsia="zh-CN"/>
              </w:rPr>
              <w:t>冲压：</w:t>
            </w:r>
            <w:r>
              <w:rPr>
                <w:rFonts w:ascii="Times New Roman" w:hAnsi="Times New Roman"/>
                <w:lang w:eastAsia="zh-CN"/>
              </w:rPr>
              <w:t>将打磨好的铸件放进冲压机进行冲压固定形状，此工序会产生边角料和噪声。</w:t>
            </w:r>
          </w:p>
          <w:p>
            <w:pPr>
              <w:widowControl/>
              <w:spacing w:line="360" w:lineRule="auto"/>
              <w:ind w:firstLine="422" w:firstLineChars="200"/>
              <w:jc w:val="left"/>
            </w:pPr>
            <w:r>
              <w:rPr>
                <w:b/>
                <w:bCs/>
              </w:rPr>
              <w:t>CNC加工：</w:t>
            </w:r>
            <w:r>
              <w:t>也叫做数控加工，工件在数控机床的控制下进行精密加工，工件加工成型的过程中需要用到切削液进行冷却，该工序会产生含切削液碎屑、废切削液、废抹布和废手套和噪声。</w:t>
            </w:r>
          </w:p>
          <w:p>
            <w:pPr>
              <w:adjustRightInd w:val="0"/>
              <w:snapToGrid w:val="0"/>
              <w:spacing w:line="360" w:lineRule="auto"/>
              <w:ind w:firstLine="422" w:firstLineChars="200"/>
            </w:pPr>
            <w:r>
              <w:rPr>
                <w:b/>
                <w:bCs/>
              </w:rPr>
              <w:t>钻孔：</w:t>
            </w:r>
            <w:r>
              <w:t>使用钻床对</w:t>
            </w:r>
            <w:r>
              <w:rPr>
                <w:rFonts w:hint="eastAsia"/>
              </w:rPr>
              <w:t>CNC加工</w:t>
            </w:r>
            <w:r>
              <w:t>后的半成品进行钻孔，该工序会产生金属碎屑及噪声。</w:t>
            </w:r>
          </w:p>
          <w:p>
            <w:pPr>
              <w:adjustRightInd w:val="0"/>
              <w:snapToGrid w:val="0"/>
              <w:spacing w:line="360" w:lineRule="auto"/>
              <w:ind w:firstLine="422" w:firstLineChars="200"/>
            </w:pPr>
            <w:r>
              <w:rPr>
                <w:b/>
                <w:bCs/>
              </w:rPr>
              <w:t>攻牙：</w:t>
            </w:r>
            <w:r>
              <w:t>使用攻牙机在孔内侧加工出螺纹，该工序会产生金属碎屑及噪声。</w:t>
            </w:r>
          </w:p>
          <w:p>
            <w:pPr>
              <w:adjustRightInd w:val="0"/>
              <w:snapToGrid w:val="0"/>
              <w:spacing w:line="360" w:lineRule="auto"/>
              <w:ind w:firstLine="422" w:firstLineChars="200"/>
            </w:pPr>
            <w:r>
              <w:rPr>
                <w:b/>
                <w:bCs/>
              </w:rPr>
              <w:t>喷砂/抛光：</w:t>
            </w:r>
            <w:r>
              <w:t>根据客户的需求，铝合金产品追求磨砂质感，锌合金产品追求光亮效果。进行喷砂处理，需将半成品的铸件放置在喷砂机内对工件进行喷砂处理，此过程会产生喷砂粉尘（以颗粒物表征）及噪声；进行抛光处理的工件，采用抛光机对半成品表面进行打磨加工，增加表面光滑度，此过程会产生金属粉尘（以颗粒物表征）及噪声。</w:t>
            </w:r>
          </w:p>
          <w:p>
            <w:pPr>
              <w:adjustRightInd w:val="0"/>
              <w:snapToGrid w:val="0"/>
              <w:spacing w:line="360" w:lineRule="auto"/>
              <w:ind w:firstLine="422" w:firstLineChars="200"/>
            </w:pPr>
            <w:r>
              <w:rPr>
                <w:b/>
                <w:bCs/>
              </w:rPr>
              <w:t>研磨：</w:t>
            </w:r>
            <w:r>
              <w:t>为了进一步提高工件光亮度，抛光处理后的工件需要进行湿式研磨，此过程不会产生研磨粉尘，会产生研磨水和噪声，</w:t>
            </w:r>
            <w:r>
              <w:rPr>
                <w:rStyle w:val="112"/>
                <w:rFonts w:hint="eastAsia"/>
              </w:rPr>
              <w:t>研磨</w:t>
            </w:r>
            <w:r>
              <w:rPr>
                <w:rFonts w:hint="eastAsia"/>
              </w:rPr>
              <w:t>用水经设备配套的过滤设施过滤后循环使用</w:t>
            </w:r>
            <w:r>
              <w:t>，不外排，需要定期补充新鲜水。</w:t>
            </w:r>
          </w:p>
          <w:p>
            <w:pPr>
              <w:adjustRightInd w:val="0"/>
              <w:snapToGrid w:val="0"/>
              <w:spacing w:line="360" w:lineRule="auto"/>
              <w:ind w:firstLine="422" w:firstLineChars="200"/>
              <w:rPr>
                <w:b/>
                <w:bCs/>
              </w:rPr>
            </w:pPr>
            <w:r>
              <w:rPr>
                <w:b/>
                <w:bCs/>
              </w:rPr>
              <w:t>喷粉：</w:t>
            </w:r>
            <w:r>
              <w:t>将待喷粉的工件挂在流水线上后送入喷粉柜，项目采用手动喷粉，采用静电喷粉工艺，基本原理：在喷枪与工件之间形成一个高压电晕放电电场，当粉末粒子由喷枪口喷出经过放电区时，便捕集了大量的电子，成为带负电的微粒，在静电吸引的作用下，被吸附到带正电荷的工件上去。当粉末附着到一定厚度时，则会发生“同性相斥”的作用，不能再吸附粉末，从而使各部分的粉层厚度均匀。此工序会产生喷粉粉尘和噪声。</w:t>
            </w:r>
          </w:p>
          <w:p>
            <w:pPr>
              <w:spacing w:line="360" w:lineRule="auto"/>
              <w:ind w:firstLine="422" w:firstLineChars="200"/>
              <w:rPr>
                <w:b/>
                <w:bCs/>
              </w:rPr>
            </w:pPr>
            <w:r>
              <w:rPr>
                <w:b/>
                <w:bCs/>
              </w:rPr>
              <w:t>烘烤固化：</w:t>
            </w:r>
            <w:r>
              <w:t>工件经加温烘烤固化后粉层流平成为均匀的膜层，固化温度约为150～170℃，烘烤固化工序采用烤箱进行，使用电能加热，固化时间约15-20min，此工序会产生烘烤固化有机废气、噪声等。</w:t>
            </w:r>
          </w:p>
          <w:p>
            <w:pPr>
              <w:adjustRightInd w:val="0"/>
              <w:snapToGrid w:val="0"/>
              <w:spacing w:line="360" w:lineRule="auto"/>
              <w:ind w:firstLine="422" w:firstLineChars="200"/>
            </w:pPr>
            <w:r>
              <w:rPr>
                <w:b/>
                <w:bCs/>
              </w:rPr>
              <w:t>质检：</w:t>
            </w:r>
            <w:r>
              <w:t>对成品进行质量检查，其中不合格的次品会重新回到电熔工序进行电熔处理。</w:t>
            </w:r>
          </w:p>
          <w:p>
            <w:pPr>
              <w:spacing w:line="360" w:lineRule="auto"/>
              <w:jc w:val="center"/>
              <w:rPr>
                <w:b/>
              </w:rPr>
            </w:pPr>
            <w:r>
              <w:rPr>
                <w:b/>
              </w:rPr>
              <w:t>表2-</w:t>
            </w:r>
            <w:r>
              <w:rPr>
                <w:rFonts w:hint="eastAsia"/>
                <w:b/>
              </w:rPr>
              <w:t>11</w:t>
            </w:r>
            <w:r>
              <w:rPr>
                <w:b/>
              </w:rPr>
              <w:t xml:space="preserve"> 项目产污环节一览表</w:t>
            </w:r>
          </w:p>
          <w:tbl>
            <w:tblPr>
              <w:tblStyle w:val="10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53"/>
              <w:gridCol w:w="953"/>
              <w:gridCol w:w="1944"/>
              <w:gridCol w:w="4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906" w:type="dxa"/>
                  <w:gridSpan w:val="2"/>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污染物类别</w:t>
                  </w:r>
                </w:p>
              </w:tc>
              <w:tc>
                <w:tcPr>
                  <w:tcW w:w="1944" w:type="dxa"/>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污染源</w:t>
                  </w:r>
                </w:p>
              </w:tc>
              <w:tc>
                <w:tcPr>
                  <w:tcW w:w="4327" w:type="dxa"/>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906" w:type="dxa"/>
                  <w:gridSpan w:val="2"/>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废气</w:t>
                  </w:r>
                </w:p>
              </w:tc>
              <w:tc>
                <w:tcPr>
                  <w:tcW w:w="1944"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电熔</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烟尘（颗粒物）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906" w:type="dxa"/>
                  <w:gridSpan w:val="2"/>
                  <w:vMerge w:val="continue"/>
                  <w:vAlign w:val="center"/>
                </w:tcPr>
                <w:p>
                  <w:pPr>
                    <w:pStyle w:val="2"/>
                    <w:jc w:val="center"/>
                    <w:rPr>
                      <w:rFonts w:ascii="Times New Roman" w:hAnsi="Times New Roman" w:cs="Times New Roman"/>
                      <w:color w:val="auto"/>
                      <w:sz w:val="21"/>
                      <w:szCs w:val="21"/>
                    </w:rPr>
                  </w:pPr>
                </w:p>
              </w:tc>
              <w:tc>
                <w:tcPr>
                  <w:tcW w:w="1944"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压铸工序</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烟尘（颗粒物）、有机废气（非甲烷总烃）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906" w:type="dxa"/>
                  <w:gridSpan w:val="2"/>
                  <w:vMerge w:val="continue"/>
                  <w:vAlign w:val="center"/>
                </w:tcPr>
                <w:p>
                  <w:pPr>
                    <w:pStyle w:val="2"/>
                    <w:jc w:val="center"/>
                    <w:rPr>
                      <w:rFonts w:ascii="Times New Roman" w:hAnsi="Times New Roman" w:cs="Times New Roman"/>
                      <w:color w:val="auto"/>
                      <w:sz w:val="21"/>
                      <w:szCs w:val="21"/>
                    </w:rPr>
                  </w:pPr>
                </w:p>
              </w:tc>
              <w:tc>
                <w:tcPr>
                  <w:tcW w:w="1944"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打磨、喷砂、抛光、喷粉工序</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粉尘（颗粒物）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1906" w:type="dxa"/>
                  <w:gridSpan w:val="2"/>
                  <w:vMerge w:val="continue"/>
                  <w:vAlign w:val="center"/>
                </w:tcPr>
                <w:p>
                  <w:pPr>
                    <w:pStyle w:val="2"/>
                    <w:jc w:val="center"/>
                    <w:rPr>
                      <w:rFonts w:ascii="Times New Roman" w:hAnsi="Times New Roman" w:cs="Times New Roman"/>
                      <w:color w:val="auto"/>
                      <w:sz w:val="21"/>
                      <w:szCs w:val="21"/>
                    </w:rPr>
                  </w:pPr>
                </w:p>
              </w:tc>
              <w:tc>
                <w:tcPr>
                  <w:tcW w:w="1944"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烘烤固化</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有机废气（VOCs）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53" w:type="dxa"/>
                  <w:vMerge w:val="restart"/>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固体废物</w:t>
                  </w:r>
                </w:p>
              </w:tc>
              <w:tc>
                <w:tcPr>
                  <w:tcW w:w="953" w:type="dxa"/>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一般固废</w:t>
                  </w:r>
                </w:p>
              </w:tc>
              <w:tc>
                <w:tcPr>
                  <w:tcW w:w="1944" w:type="dxa"/>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电熔</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锌合金渣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53" w:type="dxa"/>
                  <w:vMerge w:val="continue"/>
                  <w:vAlign w:val="center"/>
                </w:tcPr>
                <w:p>
                  <w:pPr>
                    <w:pStyle w:val="2"/>
                    <w:jc w:val="center"/>
                    <w:rPr>
                      <w:rFonts w:ascii="Times New Roman" w:hAnsi="Times New Roman" w:cs="Times New Roman"/>
                      <w:color w:val="auto"/>
                      <w:sz w:val="21"/>
                      <w:szCs w:val="21"/>
                    </w:rPr>
                  </w:pPr>
                </w:p>
              </w:tc>
              <w:tc>
                <w:tcPr>
                  <w:tcW w:w="953" w:type="dxa"/>
                  <w:vMerge w:val="continue"/>
                  <w:vAlign w:val="center"/>
                </w:tcPr>
                <w:p>
                  <w:pPr>
                    <w:pStyle w:val="2"/>
                    <w:jc w:val="center"/>
                    <w:rPr>
                      <w:rFonts w:ascii="Times New Roman" w:hAnsi="Times New Roman" w:cs="Times New Roman"/>
                      <w:color w:val="auto"/>
                      <w:sz w:val="21"/>
                      <w:szCs w:val="21"/>
                    </w:rPr>
                  </w:pPr>
                </w:p>
              </w:tc>
              <w:tc>
                <w:tcPr>
                  <w:tcW w:w="1944"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冲压、钻孔、攻牙</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合金碎屑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953" w:type="dxa"/>
                  <w:vMerge w:val="continue"/>
                  <w:vAlign w:val="center"/>
                </w:tcPr>
                <w:p>
                  <w:pPr>
                    <w:pStyle w:val="2"/>
                    <w:jc w:val="center"/>
                    <w:rPr>
                      <w:rFonts w:ascii="Times New Roman" w:hAnsi="Times New Roman" w:cs="Times New Roman"/>
                      <w:color w:val="auto"/>
                      <w:sz w:val="21"/>
                      <w:szCs w:val="21"/>
                    </w:rPr>
                  </w:pPr>
                </w:p>
              </w:tc>
              <w:tc>
                <w:tcPr>
                  <w:tcW w:w="953" w:type="dxa"/>
                  <w:vMerge w:val="continue"/>
                  <w:vAlign w:val="center"/>
                </w:tcPr>
                <w:p>
                  <w:pPr>
                    <w:pStyle w:val="2"/>
                    <w:jc w:val="center"/>
                    <w:rPr>
                      <w:rFonts w:ascii="Times New Roman" w:hAnsi="Times New Roman" w:cs="Times New Roman"/>
                      <w:color w:val="auto"/>
                      <w:sz w:val="21"/>
                      <w:szCs w:val="21"/>
                    </w:rPr>
                  </w:pPr>
                </w:p>
              </w:tc>
              <w:tc>
                <w:tcPr>
                  <w:tcW w:w="1944"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研磨</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研磨水沉渣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9" w:hRule="atLeast"/>
                <w:jc w:val="center"/>
              </w:trPr>
              <w:tc>
                <w:tcPr>
                  <w:tcW w:w="953" w:type="dxa"/>
                  <w:vMerge w:val="continue"/>
                  <w:vAlign w:val="center"/>
                </w:tcPr>
                <w:p>
                  <w:pPr>
                    <w:pStyle w:val="2"/>
                    <w:jc w:val="center"/>
                    <w:rPr>
                      <w:rFonts w:ascii="Times New Roman" w:hAnsi="Times New Roman" w:cs="Times New Roman"/>
                      <w:color w:val="auto"/>
                      <w:sz w:val="21"/>
                      <w:szCs w:val="21"/>
                    </w:rPr>
                  </w:pPr>
                </w:p>
              </w:tc>
              <w:tc>
                <w:tcPr>
                  <w:tcW w:w="953" w:type="dxa"/>
                  <w:vMerge w:val="continue"/>
                  <w:vAlign w:val="center"/>
                </w:tcPr>
                <w:p>
                  <w:pPr>
                    <w:pStyle w:val="2"/>
                    <w:jc w:val="center"/>
                    <w:rPr>
                      <w:rFonts w:ascii="Times New Roman" w:hAnsi="Times New Roman" w:cs="Times New Roman"/>
                      <w:color w:val="auto"/>
                      <w:sz w:val="21"/>
                      <w:szCs w:val="21"/>
                    </w:rPr>
                  </w:pPr>
                </w:p>
              </w:tc>
              <w:tc>
                <w:tcPr>
                  <w:tcW w:w="1944"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废气处理设施</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布袋除尘器收集的粉尘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953" w:type="dxa"/>
                  <w:vMerge w:val="continue"/>
                  <w:vAlign w:val="center"/>
                </w:tcPr>
                <w:p>
                  <w:pPr>
                    <w:pStyle w:val="2"/>
                    <w:jc w:val="center"/>
                    <w:rPr>
                      <w:rFonts w:ascii="Times New Roman" w:hAnsi="Times New Roman" w:cs="Times New Roman"/>
                      <w:color w:val="auto"/>
                      <w:sz w:val="21"/>
                      <w:szCs w:val="21"/>
                    </w:rPr>
                  </w:pPr>
                </w:p>
              </w:tc>
              <w:tc>
                <w:tcPr>
                  <w:tcW w:w="953" w:type="dxa"/>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危险废物</w:t>
                  </w:r>
                </w:p>
              </w:tc>
              <w:tc>
                <w:tcPr>
                  <w:tcW w:w="1944" w:type="dxa"/>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电熔</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铝合金渣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953" w:type="dxa"/>
                  <w:vMerge w:val="continue"/>
                  <w:vAlign w:val="center"/>
                </w:tcPr>
                <w:p>
                  <w:pPr>
                    <w:pStyle w:val="2"/>
                    <w:jc w:val="center"/>
                    <w:rPr>
                      <w:rFonts w:ascii="Times New Roman" w:hAnsi="Times New Roman" w:cs="Times New Roman"/>
                      <w:color w:val="auto"/>
                      <w:sz w:val="21"/>
                      <w:szCs w:val="21"/>
                    </w:rPr>
                  </w:pPr>
                </w:p>
              </w:tc>
              <w:tc>
                <w:tcPr>
                  <w:tcW w:w="953" w:type="dxa"/>
                  <w:vMerge w:val="continue"/>
                  <w:vAlign w:val="center"/>
                </w:tcPr>
                <w:p>
                  <w:pPr>
                    <w:pStyle w:val="2"/>
                    <w:jc w:val="center"/>
                    <w:rPr>
                      <w:rFonts w:ascii="Times New Roman" w:hAnsi="Times New Roman" w:cs="Times New Roman"/>
                      <w:color w:val="auto"/>
                      <w:sz w:val="21"/>
                      <w:szCs w:val="21"/>
                    </w:rPr>
                  </w:pPr>
                </w:p>
              </w:tc>
              <w:tc>
                <w:tcPr>
                  <w:tcW w:w="1944"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CNC加工</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含切削油碎屑、废切削油、废抹布和废手套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jc w:val="center"/>
              </w:trPr>
              <w:tc>
                <w:tcPr>
                  <w:tcW w:w="953" w:type="dxa"/>
                  <w:vMerge w:val="continue"/>
                  <w:vAlign w:val="center"/>
                </w:tcPr>
                <w:p>
                  <w:pPr>
                    <w:pStyle w:val="2"/>
                    <w:jc w:val="center"/>
                    <w:rPr>
                      <w:rFonts w:ascii="Times New Roman" w:hAnsi="Times New Roman" w:cs="Times New Roman"/>
                      <w:color w:val="auto"/>
                      <w:sz w:val="21"/>
                      <w:szCs w:val="21"/>
                    </w:rPr>
                  </w:pPr>
                </w:p>
              </w:tc>
              <w:tc>
                <w:tcPr>
                  <w:tcW w:w="953" w:type="dxa"/>
                  <w:vMerge w:val="continue"/>
                  <w:vAlign w:val="center"/>
                </w:tcPr>
                <w:p>
                  <w:pPr>
                    <w:pStyle w:val="2"/>
                    <w:jc w:val="center"/>
                    <w:rPr>
                      <w:rFonts w:ascii="Times New Roman" w:hAnsi="Times New Roman" w:cs="Times New Roman"/>
                      <w:color w:val="auto"/>
                      <w:sz w:val="21"/>
                      <w:szCs w:val="21"/>
                    </w:rPr>
                  </w:pPr>
                </w:p>
              </w:tc>
              <w:tc>
                <w:tcPr>
                  <w:tcW w:w="1944"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废气处理设施</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废活性炭、喷淋废水及沉渣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906" w:type="dxa"/>
                  <w:gridSpan w:val="2"/>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噪声</w:t>
                  </w:r>
                </w:p>
              </w:tc>
              <w:tc>
                <w:tcPr>
                  <w:tcW w:w="1944"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生产设备</w:t>
                  </w:r>
                </w:p>
              </w:tc>
              <w:tc>
                <w:tcPr>
                  <w:tcW w:w="4327" w:type="dxa"/>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设备运行噪声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1906" w:type="dxa"/>
                  <w:gridSpan w:val="2"/>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废水</w:t>
                  </w:r>
                </w:p>
              </w:tc>
              <w:tc>
                <w:tcPr>
                  <w:tcW w:w="1944" w:type="dxa"/>
                  <w:vAlign w:val="center"/>
                </w:tcPr>
                <w:p>
                  <w:pPr>
                    <w:jc w:val="center"/>
                  </w:pPr>
                  <w:r>
                    <w:t>员工办公生活污水</w:t>
                  </w:r>
                </w:p>
              </w:tc>
              <w:tc>
                <w:tcPr>
                  <w:tcW w:w="4327" w:type="dxa"/>
                  <w:vAlign w:val="center"/>
                </w:tcPr>
                <w:p>
                  <w:pPr>
                    <w:jc w:val="center"/>
                  </w:pPr>
                  <w:r>
                    <w:t>COD</w:t>
                  </w:r>
                  <w:r>
                    <w:rPr>
                      <w:vertAlign w:val="subscript"/>
                    </w:rPr>
                    <w:t>Cr</w:t>
                  </w:r>
                  <w:r>
                    <w:t>、BOD</w:t>
                  </w:r>
                  <w:r>
                    <w:rPr>
                      <w:vertAlign w:val="subscript"/>
                    </w:rPr>
                    <w:t>5</w:t>
                  </w:r>
                  <w:r>
                    <w:t>、SS、氨氮</w:t>
                  </w:r>
                </w:p>
              </w:tc>
            </w:tr>
          </w:tbl>
          <w:p>
            <w:pPr>
              <w:spacing w:line="360" w:lineRule="auto"/>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795" w:hRule="atLeast"/>
          <w:jc w:val="center"/>
        </w:trPr>
        <w:tc>
          <w:tcPr>
            <w:tcW w:w="233" w:type="pct"/>
            <w:vAlign w:val="center"/>
          </w:tcPr>
          <w:p>
            <w:pPr>
              <w:pStyle w:val="93"/>
              <w:adjustRightInd w:val="0"/>
              <w:snapToGrid w:val="0"/>
              <w:spacing w:before="0" w:beforeAutospacing="0" w:after="0" w:afterAutospacing="0"/>
              <w:jc w:val="center"/>
              <w:rPr>
                <w:rFonts w:ascii="Times New Roman" w:hAnsi="Times New Roman"/>
                <w:sz w:val="21"/>
                <w:szCs w:val="21"/>
              </w:rPr>
            </w:pPr>
            <w:r>
              <w:rPr>
                <w:rFonts w:ascii="Times New Roman" w:hAnsi="Times New Roman"/>
                <w:bCs/>
                <w:kern w:val="2"/>
                <w:sz w:val="21"/>
                <w:szCs w:val="21"/>
              </w:rPr>
              <w:t>与项目有关的原有环境污染问题</w:t>
            </w:r>
          </w:p>
        </w:tc>
        <w:tc>
          <w:tcPr>
            <w:tcW w:w="4766" w:type="pct"/>
            <w:vAlign w:val="center"/>
          </w:tcPr>
          <w:p>
            <w:pPr>
              <w:adjustRightInd w:val="0"/>
              <w:snapToGrid w:val="0"/>
              <w:spacing w:line="440" w:lineRule="exact"/>
              <w:ind w:firstLine="420" w:firstLineChars="200"/>
              <w:jc w:val="center"/>
            </w:pPr>
            <w:r>
              <w:rPr>
                <w:bCs/>
              </w:rPr>
              <w:t>无</w:t>
            </w:r>
          </w:p>
        </w:tc>
      </w:tr>
    </w:tbl>
    <w:p>
      <w:pPr>
        <w:pStyle w:val="93"/>
        <w:jc w:val="center"/>
        <w:rPr>
          <w:rFonts w:ascii="Times New Roman" w:hAnsi="Times New Roman"/>
          <w:snapToGrid w:val="0"/>
          <w:color w:val="000000" w:themeColor="text1"/>
          <w:sz w:val="36"/>
          <w:szCs w:val="36"/>
          <w14:textFill>
            <w14:solidFill>
              <w14:schemeClr w14:val="tx1"/>
            </w14:solidFill>
          </w14:textFill>
        </w:rPr>
        <w:sectPr>
          <w:footerReference r:id="rId6" w:type="default"/>
          <w:pgSz w:w="11906" w:h="16838"/>
          <w:pgMar w:top="1701" w:right="1531" w:bottom="1701" w:left="1531" w:header="851" w:footer="851" w:gutter="0"/>
          <w:cols w:space="720" w:num="1"/>
          <w:docGrid w:linePitch="312" w:charSpace="0"/>
        </w:sectPr>
      </w:pPr>
    </w:p>
    <w:p>
      <w:pPr>
        <w:pStyle w:val="93"/>
        <w:jc w:val="center"/>
        <w:outlineLvl w:val="0"/>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三、区域环境质量现状、环境保护目标及评价标准</w:t>
      </w:r>
    </w:p>
    <w:tbl>
      <w:tblPr>
        <w:tblStyle w:val="100"/>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695"/>
        <w:gridCol w:w="926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349"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区域</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环境</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质量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现状</w:t>
            </w:r>
          </w:p>
        </w:tc>
        <w:tc>
          <w:tcPr>
            <w:tcW w:w="4650" w:type="pct"/>
            <w:vAlign w:val="center"/>
          </w:tcPr>
          <w:p>
            <w:pPr>
              <w:widowControl/>
              <w:adjustRightInd w:val="0"/>
              <w:snapToGri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1、大气环境</w:t>
            </w:r>
          </w:p>
          <w:p>
            <w:pPr>
              <w:adjustRightInd w:val="0"/>
              <w:snapToGri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（1）常规因子环境质量现状</w:t>
            </w:r>
          </w:p>
          <w:p>
            <w:pPr>
              <w:widowControl/>
              <w:shd w:val="clear" w:color="auto" w:fill="FFFFFF"/>
              <w:adjustRightInd w:val="0"/>
              <w:snapToGrid w:val="0"/>
              <w:spacing w:line="360" w:lineRule="auto"/>
              <w:ind w:firstLine="420" w:firstLineChars="200"/>
              <w:rPr>
                <w:color w:val="000000" w:themeColor="text1"/>
                <w14:textFill>
                  <w14:solidFill>
                    <w14:schemeClr w14:val="tx1"/>
                  </w14:solidFill>
                </w14:textFill>
              </w:rPr>
            </w:pPr>
            <w:r>
              <w:rPr>
                <w:bCs/>
                <w:color w:val="000000" w:themeColor="text1"/>
                <w14:textFill>
                  <w14:solidFill>
                    <w14:schemeClr w14:val="tx1"/>
                  </w14:solidFill>
                </w14:textFill>
              </w:rPr>
              <w:t>根据《2021年惠州市生态环境状况公报》表明：</w:t>
            </w:r>
            <w:r>
              <w:rPr>
                <w:color w:val="000000" w:themeColor="text1"/>
                <w14:textFill>
                  <w14:solidFill>
                    <w14:schemeClr w14:val="tx1"/>
                  </w14:solidFill>
                </w14:textFill>
              </w:rPr>
              <w:t>2021年，各县（区）环境空气优良率（达标率）范围在92.6%~99.1%之间；综合指数范围在2.33~3.31之间，主要的污染物均为臭氧，次要污染物以可吸入颗粒物PM10为主；与2020年相比，环境空气质量综合指数除龙门县下降5.7%外，其余各县（区）上升幅度为2.0%～12.2%；优良率龙门县上升0.3%，博罗县持平，其余县（区）略有下降，下降幅度为0.5%～4.3%。</w:t>
            </w:r>
          </w:p>
          <w:p>
            <w:pPr>
              <w:pStyle w:val="938"/>
              <w:ind w:firstLine="0" w:firstLineChars="0"/>
              <w:rPr>
                <w:rFonts w:cs="Times New Roman"/>
                <w:color w:val="000000" w:themeColor="text1"/>
                <w14:textFill>
                  <w14:solidFill>
                    <w14:schemeClr w14:val="tx1"/>
                  </w14:solidFill>
                </w14:textFill>
              </w:rPr>
            </w:pPr>
            <w:r>
              <w:rPr>
                <w:rFonts w:cs="Times New Roman"/>
                <w:color w:val="000000" w:themeColor="text1"/>
                <w:lang w:eastAsia="zh-CN"/>
                <w14:textFill>
                  <w14:solidFill>
                    <w14:schemeClr w14:val="tx1"/>
                  </w14:solidFill>
                </w14:textFill>
              </w:rPr>
              <w:drawing>
                <wp:inline distT="0" distB="0" distL="114300" distR="114300">
                  <wp:extent cx="5257800" cy="3562350"/>
                  <wp:effectExtent l="0" t="0" r="0" b="6350"/>
                  <wp:docPr id="47"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3"/>
                          <pic:cNvPicPr>
                            <a:picLocks noChangeAspect="1"/>
                          </pic:cNvPicPr>
                        </pic:nvPicPr>
                        <pic:blipFill>
                          <a:blip r:embed="rId15"/>
                          <a:stretch>
                            <a:fillRect/>
                          </a:stretch>
                        </pic:blipFill>
                        <pic:spPr>
                          <a:xfrm>
                            <a:off x="0" y="0"/>
                            <a:ext cx="5257800" cy="3562350"/>
                          </a:xfrm>
                          <a:prstGeom prst="rect">
                            <a:avLst/>
                          </a:prstGeom>
                          <a:noFill/>
                          <a:ln>
                            <a:noFill/>
                          </a:ln>
                        </pic:spPr>
                      </pic:pic>
                    </a:graphicData>
                  </a:graphic>
                </wp:inline>
              </w:drawing>
            </w:r>
          </w:p>
          <w:p>
            <w:pPr>
              <w:adjustRightInd w:val="0"/>
              <w:snapToGrid w:val="0"/>
              <w:spacing w:line="360" w:lineRule="auto"/>
              <w:ind w:firstLine="422" w:firstLineChars="200"/>
              <w:jc w:val="center"/>
              <w:rPr>
                <w:b/>
                <w:color w:val="000000" w:themeColor="text1"/>
                <w14:textFill>
                  <w14:solidFill>
                    <w14:schemeClr w14:val="tx1"/>
                  </w14:solidFill>
                </w14:textFill>
              </w:rPr>
            </w:pPr>
            <w:r>
              <w:rPr>
                <w:b/>
                <w:bCs/>
                <w:color w:val="000000" w:themeColor="text1"/>
                <w14:textFill>
                  <w14:solidFill>
                    <w14:schemeClr w14:val="tx1"/>
                  </w14:solidFill>
                </w14:textFill>
              </w:rPr>
              <w:t xml:space="preserve">图3-1  </w:t>
            </w:r>
            <w:r>
              <w:rPr>
                <w:b/>
                <w:color w:val="000000" w:themeColor="text1"/>
                <w14:textFill>
                  <w14:solidFill>
                    <w14:schemeClr w14:val="tx1"/>
                  </w14:solidFill>
                </w14:textFill>
              </w:rPr>
              <w:t>2021年惠州市环境质量状况公报截图</w:t>
            </w:r>
          </w:p>
          <w:p>
            <w:pPr>
              <w:adjustRightInd w:val="0"/>
              <w:snapToGri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（2）特征污染物环境质量现状</w:t>
            </w:r>
          </w:p>
          <w:p>
            <w:pPr>
              <w:widowControl/>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为进一步了解项目所在地环境空气的现状，</w:t>
            </w:r>
            <w:r>
              <w:t>本项目特征污染因子TSP、TVOC环境质量现状引用《博罗县智能装备产业园起步区规划环境影响报告书》中委托东莞市中鼎检测技术有限公司于2020年7月20日至2020年7月26日对该项目周边区域的环境空气质量现状进行采样监测，引用监测点位于G1规划区所在地，距离本项目西南面约2.3km，</w:t>
            </w:r>
            <w:r>
              <w:rPr>
                <w:color w:val="000000" w:themeColor="text1"/>
                <w14:textFill>
                  <w14:solidFill>
                    <w14:schemeClr w14:val="tx1"/>
                  </w14:solidFill>
                </w14:textFill>
              </w:rPr>
              <w:t>符合导则规定的厂址外5km范围内，区域污染结构未发生重大改变，引用的数据监测时间不超过三年，即引用监测数据有效，现状监测点位图详见下图，现状监测结果详见下表。</w:t>
            </w:r>
          </w:p>
          <w:p>
            <w:pPr>
              <w:snapToGrid w:val="0"/>
              <w:jc w:val="center"/>
              <w:rPr>
                <w:b/>
                <w:color w:val="000000" w:themeColor="text1"/>
                <w14:textFill>
                  <w14:solidFill>
                    <w14:schemeClr w14:val="tx1"/>
                  </w14:solidFill>
                </w14:textFill>
              </w:rPr>
            </w:pPr>
            <w:r>
              <w:rPr>
                <w:color w:val="000000" w:themeColor="text1"/>
                <w14:textFill>
                  <w14:solidFill>
                    <w14:schemeClr w14:val="tx1"/>
                  </w14:solidFill>
                </w14:textFill>
              </w:rPr>
              <w:drawing>
                <wp:anchor distT="0" distB="0" distL="114300" distR="114300" simplePos="0" relativeHeight="251666432" behindDoc="0" locked="0" layoutInCell="1" allowOverlap="1">
                  <wp:simplePos x="0" y="0"/>
                  <wp:positionH relativeFrom="column">
                    <wp:posOffset>4732655</wp:posOffset>
                  </wp:positionH>
                  <wp:positionV relativeFrom="paragraph">
                    <wp:posOffset>-635</wp:posOffset>
                  </wp:positionV>
                  <wp:extent cx="725170" cy="680085"/>
                  <wp:effectExtent l="0" t="0" r="11430" b="5715"/>
                  <wp:wrapNone/>
                  <wp:docPr id="130" name="图片 1" descr="博罗2001-2020风向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1" descr="博罗2001-2020风向标"/>
                          <pic:cNvPicPr>
                            <a:picLocks noChangeAspect="1"/>
                          </pic:cNvPicPr>
                        </pic:nvPicPr>
                        <pic:blipFill>
                          <a:blip r:embed="rId16"/>
                          <a:stretch>
                            <a:fillRect/>
                          </a:stretch>
                        </pic:blipFill>
                        <pic:spPr>
                          <a:xfrm>
                            <a:off x="0" y="0"/>
                            <a:ext cx="725170" cy="680085"/>
                          </a:xfrm>
                          <a:prstGeom prst="rect">
                            <a:avLst/>
                          </a:prstGeom>
                          <a:noFill/>
                          <a:ln w="9525" cap="flat" cmpd="sng">
                            <a:noFill/>
                            <a:prstDash val="solid"/>
                            <a:miter/>
                            <a:headEnd type="none" w="med" len="med"/>
                            <a:tailEnd type="none" w="med" len="med"/>
                          </a:ln>
                        </pic:spPr>
                      </pic:pic>
                    </a:graphicData>
                  </a:graphic>
                </wp:anchor>
              </w:drawing>
            </w:r>
            <w:r>
              <mc:AlternateContent>
                <mc:Choice Requires="wps">
                  <w:drawing>
                    <wp:anchor distT="0" distB="0" distL="114300" distR="114300" simplePos="0" relativeHeight="251667456" behindDoc="0" locked="0" layoutInCell="1" allowOverlap="1">
                      <wp:simplePos x="0" y="0"/>
                      <wp:positionH relativeFrom="column">
                        <wp:posOffset>365760</wp:posOffset>
                      </wp:positionH>
                      <wp:positionV relativeFrom="paragraph">
                        <wp:posOffset>1669415</wp:posOffset>
                      </wp:positionV>
                      <wp:extent cx="1235710" cy="247650"/>
                      <wp:effectExtent l="0" t="0" r="0" b="0"/>
                      <wp:wrapNone/>
                      <wp:docPr id="30" name="文本框 30"/>
                      <wp:cNvGraphicFramePr/>
                      <a:graphic xmlns:a="http://schemas.openxmlformats.org/drawingml/2006/main">
                        <a:graphicData uri="http://schemas.microsoft.com/office/word/2010/wordprocessingShape">
                          <wps:wsp>
                            <wps:cNvSpPr txBox="1"/>
                            <wps:spPr>
                              <a:xfrm>
                                <a:off x="2046605" y="3992880"/>
                                <a:ext cx="1235710" cy="2476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G1规划区所在地</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8.8pt;margin-top:131.45pt;height:19.5pt;width:97.3pt;z-index:251667456;mso-width-relative:page;mso-height-relative:page;" filled="f" stroked="f" coordsize="21600,21600" o:gfxdata="UEsDBAoAAAAAAIdO4kAAAAAAAAAAAAAAAAAEAAAAZHJzL1BLAwQUAAAACACHTuJA520lqtsAAAAK&#10;AQAADwAAAGRycy9kb3ducmV2LnhtbE2Py07DMBBF90j8gzVI7Kgdo4Q2jVOhSBUSgkVLN+wm8TSJ&#10;Gtshdh/w9ZhVWY7u0b1nitXFDOxEk++dVZDMBDCyjdO9bRXsPtYPc2A+oNU4OEsKvsnDqry9KTDX&#10;7mw3dNqGlsUS63NU0IUw5pz7piODfuZGsjHbu8lgiOfUcj3hOZabgUshMm6wt3Ghw5GqjprD9mgU&#10;vFbrd9zU0sx/hurlbf88fu0+U6Xu7xKxBBboEq4w/OlHdSijU+2OVns2KEifskgqkJlcAIuATKUE&#10;Vit4FMkCeFnw/y+Uv1BLAwQUAAAACACHTuJAq9YoNkgCAAB0BAAADgAAAGRycy9lMm9Eb2MueG1s&#10;rVRLbtswEN0X6B0I7hvZiu04huXATZCiQNAESIuuaYqKBPBXko6UHqC9QVbddN9z5Rx9pOTETbvI&#10;oht6yBm9mfdmxsuTTklyK5xvjC7o+GBEidDclI2+Keinj+dv5pT4wHTJpNGioHfC05PV61fL1i5E&#10;bmojS+EIQLRftLagdQh2kWWe10Ixf2Cs0HBWxikWcHU3WelYC3Qls3w0mmWtcaV1hgvv8XrWO+mA&#10;6F4CaKqq4eLM8K0SOvSoTkgWQMnXjfV0laqtKsHDZVV5EYgsKJiGdCIJ7E08s9WSLW4cs3XDhxLY&#10;S0p4xkmxRiPpI9QZC4xsXfMXlGq4M95U4YAblfVEkiJgMR490+a6ZlYkLpDa20fR/f+D5R9urxxp&#10;yoIeQhLNFDr+cP/94cevh5/fCN4gUGv9AnHXFpGhe2s6jM3u3eMx8u4qp+IvGBH489FkNhtNKbkD&#10;8PFxPp8PUosuEB4B8sPp0RgpOSLyydFsmgKyJyTrfHgnjCLRKKhDK5PC7PbCB1SF0F1ITKzNeSNl&#10;aqfUpC3o7BCQf3jwhdT4MPLp645W6DbdQHJjyjtwdKYfE2/5eYPkF8yHK+YwF6gXmxMucVTSIIkZ&#10;LEpq477+6z3Go13wUtJizgrqv2yZE5TI9xqNPB5PJoAN6TKZHuW4uH3PZt+jt+rUYJTH2FHLkxnj&#10;g9yZlTPqMxZsHbPCxTRH7oKGnXka+unHgnKxXqcgjKJl4UJfWx6he9HW22CqJikdZeq1GdTDMKYG&#10;DIsTp33/nqKe/ixWvwF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C8BAAAW0NvbnRlbnRfVHlwZXNdLnhtbFBLAQIUAAoAAAAAAIdO4kAAAAAAAAAA&#10;AAAAAAAGAAAAAAAAAAAAEAAAAJ4DAABfcmVscy9QSwECFAAUAAAACACHTuJAihRmPNEAAACUAQAA&#10;CwAAAAAAAAABACAAAADCAwAAX3JlbHMvLnJlbHNQSwECFAAKAAAAAACHTuJAAAAAAAAAAAAAAAAA&#10;BAAAAAAAAAAAABAAAAAAAAAAZHJzL1BLAQIUABQAAAAIAIdO4kDnbSWq2wAAAAoBAAAPAAAAAAAA&#10;AAEAIAAAACIAAABkcnMvZG93bnJldi54bWxQSwECFAAUAAAACACHTuJAq9YoNkgCAAB0BAAADgAA&#10;AAAAAAABACAAAAAqAQAAZHJzL2Uyb0RvYy54bWxQSwUGAAAAAAYABgBZAQAA5AUAAAAA&#10;">
                      <v:fill on="f" focussize="0,0"/>
                      <v:stroke on="f" weight="0.5pt"/>
                      <v:imagedata o:title=""/>
                      <o:lock v:ext="edit" aspectratio="f"/>
                      <v:textbox>
                        <w:txbxContent>
                          <w:p>
                            <w:pPr>
                              <w:rPr>
                                <w:b/>
                                <w:bCs/>
                                <w:color w:val="FFFF00"/>
                              </w:rPr>
                            </w:pPr>
                            <w:r>
                              <w:rPr>
                                <w:rFonts w:hint="eastAsia"/>
                                <w:b/>
                                <w:bCs/>
                                <w:color w:val="FFFF00"/>
                              </w:rPr>
                              <w:t>G1规划区所在地</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5408" behindDoc="0" locked="0" layoutInCell="1" allowOverlap="1">
                      <wp:simplePos x="0" y="0"/>
                      <wp:positionH relativeFrom="column">
                        <wp:posOffset>1788160</wp:posOffset>
                      </wp:positionH>
                      <wp:positionV relativeFrom="paragraph">
                        <wp:posOffset>1308735</wp:posOffset>
                      </wp:positionV>
                      <wp:extent cx="667385" cy="286385"/>
                      <wp:effectExtent l="0" t="0" r="0" b="0"/>
                      <wp:wrapNone/>
                      <wp:docPr id="109" name="文本框 109"/>
                      <wp:cNvGraphicFramePr/>
                      <a:graphic xmlns:a="http://schemas.openxmlformats.org/drawingml/2006/main">
                        <a:graphicData uri="http://schemas.microsoft.com/office/word/2010/wordprocessingShape">
                          <wps:wsp>
                            <wps:cNvSpPr txBox="1"/>
                            <wps:spPr>
                              <a:xfrm>
                                <a:off x="0" y="0"/>
                                <a:ext cx="667385" cy="28638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FF00"/>
                                    </w:rPr>
                                  </w:pPr>
                                  <w:r>
                                    <w:rPr>
                                      <w:rFonts w:hint="eastAsia"/>
                                      <w:b/>
                                      <w:bCs/>
                                      <w:color w:val="FFFF00"/>
                                    </w:rPr>
                                    <w:t>2.3km</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40.8pt;margin-top:103.05pt;height:22.55pt;width:52.55pt;z-index:251665408;mso-width-relative:page;mso-height-relative:page;" filled="f" stroked="f" coordsize="21600,21600" o:gfxdata="UEsDBAoAAAAAAIdO4kAAAAAAAAAAAAAAAAAEAAAAZHJzL1BLAwQUAAAACACHTuJAqFqKetoAAAAL&#10;AQAADwAAAGRycy9kb3ducmV2LnhtbE2Py07DMBBF90j8gzVI7KjtoIYoxKlQpAoJwaKlG3ZOPE0i&#10;/Aix+4CvZ1jR3TyO7pypVmdn2RHnOAavQC4EMPRdMKPvFeze13cFsJi0N9oGjwq+McKqvr6qdGnC&#10;yW/wuE09oxAfS61gSGkqOY/dgE7HRZjQ024fZqcTtXPPzaxPFO4sz4TIudOjpwuDnrAZsPvcHpyC&#10;l2b9pjdt5oof2zy/7p+mr93HUqnbGykegSU8p38Y/vRJHWpyasPBm8isgqyQOaFUiFwCI+K+yB+A&#10;tTRZygx4XfHLH+pfUEsDBBQAAAAIAIdO4kDsve74OwIAAGkEAAAOAAAAZHJzL2Uyb0RvYy54bWyt&#10;VMFOGzEQvVfqP1i+l00ChBCxQSmIqhIqSLTq2fF62ZVsj2s77NIPaP+gp15673fxHX32JgHRHjj0&#10;4oxnZt/4vZnJyWlvNLtTPrRkSz7eG3GmrKSqtbcl//Tx4s2MsxCFrYQmq0p+rwI/Xbx+ddK5uZpQ&#10;Q7pSngHEhnnnSt7E6OZFEWSjjAh75JRFsCZvRMTV3xaVFx3QjS4mo9G06MhXzpNUIcB7PgT5BtG/&#10;BJDqupXqnOTaKBsHVK+0iKAUmtYFvsivrWsl41VdBxWZLjmYxnyiCOxVOovFiZjfeuGaVm6eIF7y&#10;hGecjGgtiu6gzkUUbO3bv6BMKz0FquOeJFMMRLIiYDEePdPmphFOZS6QOrid6OH/wcoPd9eetRUm&#10;YXTMmRUGLX/48f3h5++HX99YckKizoU5Mm8ccmP/lnqkb/0BzsS8r71Jv+DEEIfA9zuBVR+ZhHM6&#10;PdqfHXImEZrMpskGevH4sfMhvlNkWDJK7tG/LKu4uwxxSN2mpFqWLlqtcw+1ZR0K7B+O8ge7CMC1&#10;RY1EYXhqsmK/6je8VlTdg5anYTaCkxctil+KEK+FxzCACdYlXuGoNaEIbSzOGvJf/+VP+egRopx1&#10;GK6Shy9r4RVn+r1F947HBwdpGvPl4PBogot/Glk9jdi1OSPM7xiL6WQ2U37UW7P2ZD5jq5apKkLC&#10;StQuedyaZ3EYeWylVMtlTsL8OREv7Y2TCXqQc7mOVLdZ6STToM1GPUxg7tVmW9KIP73nrMd/iMUf&#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qFqKetoAAAALAQAADwAAAAAAAAABACAAAAAiAAAAZHJz&#10;L2Rvd25yZXYueG1sUEsBAhQAFAAAAAgAh07iQOy97vg7AgAAaQQAAA4AAAAAAAAAAQAgAAAAKQEA&#10;AGRycy9lMm9Eb2MueG1sUEsFBgAAAAAGAAYAWQEAANYFAAAAAA==&#10;">
                      <v:fill on="f" focussize="0,0"/>
                      <v:stroke on="f" weight="0.5pt"/>
                      <v:imagedata o:title=""/>
                      <o:lock v:ext="edit" aspectratio="f"/>
                      <v:textbox>
                        <w:txbxContent>
                          <w:p>
                            <w:pPr>
                              <w:rPr>
                                <w:b/>
                                <w:bCs/>
                                <w:color w:val="FFFF00"/>
                              </w:rPr>
                            </w:pPr>
                            <w:r>
                              <w:rPr>
                                <w:rFonts w:hint="eastAsia"/>
                                <w:b/>
                                <w:bCs/>
                                <w:color w:val="FFFF00"/>
                              </w:rPr>
                              <w:t>2.3km</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3360" behindDoc="0" locked="0" layoutInCell="1" allowOverlap="1">
                      <wp:simplePos x="0" y="0"/>
                      <wp:positionH relativeFrom="column">
                        <wp:posOffset>3527425</wp:posOffset>
                      </wp:positionH>
                      <wp:positionV relativeFrom="paragraph">
                        <wp:posOffset>408940</wp:posOffset>
                      </wp:positionV>
                      <wp:extent cx="749935" cy="260350"/>
                      <wp:effectExtent l="0" t="0" r="0" b="0"/>
                      <wp:wrapNone/>
                      <wp:docPr id="80" name="文本框 80"/>
                      <wp:cNvGraphicFramePr/>
                      <a:graphic xmlns:a="http://schemas.openxmlformats.org/drawingml/2006/main">
                        <a:graphicData uri="http://schemas.microsoft.com/office/word/2010/wordprocessingShape">
                          <wps:wsp>
                            <wps:cNvSpPr txBox="1"/>
                            <wps:spPr>
                              <a:xfrm>
                                <a:off x="5422265" y="2255520"/>
                                <a:ext cx="749935" cy="26035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rPr>
                                      <w:b/>
                                      <w:bCs/>
                                      <w:color w:val="FF0000"/>
                                    </w:rPr>
                                  </w:pPr>
                                  <w:r>
                                    <w:rPr>
                                      <w:rFonts w:hint="eastAsia"/>
                                      <w:b/>
                                      <w:bCs/>
                                      <w:color w:val="FF0000"/>
                                    </w:rPr>
                                    <w:t>项目位置</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277.75pt;margin-top:32.2pt;height:20.5pt;width:59.05pt;z-index:251663360;mso-width-relative:page;mso-height-relative:page;" filled="f" stroked="f" coordsize="21600,21600" o:gfxdata="UEsDBAoAAAAAAIdO4kAAAAAAAAAAAAAAAAAEAAAAZHJzL1BLAwQUAAAACACHTuJAqcntq9oAAAAK&#10;AQAADwAAAGRycy9kb3ducmV2LnhtbE2PTU/DMAyG70j8h8hI3Fiy0ZapNJ1QpQkJwWFjF25u47UV&#10;TVKa7AN+PeY0fLP86PXzFquzHcSRptB7p2E+UyDINd70rtWwe1/fLUGEiM7g4B1p+KYAq/L6qsDc&#10;+JPb0HEbW8EhLuSooYtxzKUMTUcWw8yP5Pi295PFyOvUSjPhicPtIBdKZdJi7/hDhyNVHTWf24PV&#10;8FKt33BTL+zyZ6ieX/dP49fuI9X69mauHkFEOscLDH/6rA4lO9X+4EwQg4aUh1ENWZKAYCB7uM9A&#10;1EyqNAFZFvJ/hfIXUEsDBBQAAAAIAIdO4kAHGikGRgIAAHMEAAAOAAAAZHJzL2Uyb0RvYy54bWyt&#10;VMFu2zAMvQ/YPwi6r07cOG2COEXWoMOAYi2QDTsrshwbkERNUmJnH7D9QU+77L7vyneMkp0263bo&#10;YReFEulHvkcys6tWSbIT1tWgczo8G1AiNIei1pucfvp48+aSEueZLpgELXK6F45ezV+/mjVmKlKo&#10;QBbCEgTRbtqYnFbem2mSOF4JxdwZGKHRWYJVzOPVbpLCsgbRlUzSwWCcNGALY4EL5/B12Tlpj2hf&#10;AghlWXOxBL5VQvsO1QrJPFJyVW0cncdqy1Jwf1eWTngic4pMfTwxCdrrcCbzGZtuLDNVzfsS2EtK&#10;eMZJsVpj0keoJfOMbG39F5SquQUHpT/joJKOSFQEWQwHz7RZVcyIyAWlduZRdPf/YPmH3b0ldZHT&#10;S5REM4UdPzx8P/z4dfj5jeAbCtQYN8W4lcFI376FFsfm+O7wMfBuS6vCLzIi6M9GaZqOM0r2OU3T&#10;LMvSXmrResIx4GI0mZyjn4eA8eA8i/7kCchY598JUCQYObXYySgw2906j0Vh6DEk5NVwU0sZuyk1&#10;aXI6DpB/ePALqfHDQKcrO1i+Xbc9xzUUe6RooZsSZ/hNjclvmfP3zOJYoEK4OP4Oj1ICJoHeoqQC&#10;+/Vf7yEeu4VeShocs5y6L1tmBSXyvcY+ToajUZjLeBllF6gTsaee9alHb9U14CQPcUUNj2aI9/Jo&#10;lhbUZ9yvRciKLqY55s6pP5rXvht+3E8uFosYhJNomL/VK8MDdCfaYuuhrKPSQaZOm149nMXYgH5v&#10;wrCf3mPU03/F/Dd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Cpye2r2gAAAAoBAAAPAAAAAAAAAAEA&#10;IAAAACIAAABkcnMvZG93bnJldi54bWxQSwECFAAUAAAACACHTuJABxopBkYCAABzBAAADgAAAAAA&#10;AAABACAAAAApAQAAZHJzL2Uyb0RvYy54bWxQSwUGAAAAAAYABgBZAQAA4QUAAAAA&#10;">
                      <v:fill on="f" focussize="0,0"/>
                      <v:stroke on="f" weight="0.5pt"/>
                      <v:imagedata o:title=""/>
                      <o:lock v:ext="edit" aspectratio="f"/>
                      <v:textbox>
                        <w:txbxContent>
                          <w:p>
                            <w:pPr>
                              <w:rPr>
                                <w:b/>
                                <w:bCs/>
                                <w:color w:val="FF0000"/>
                              </w:rPr>
                            </w:pPr>
                            <w:r>
                              <w:rPr>
                                <w:rFonts w:hint="eastAsia"/>
                                <w:b/>
                                <w:bCs/>
                                <w:color w:val="FF0000"/>
                              </w:rPr>
                              <w:t>项目位置</w:t>
                            </w:r>
                          </w:p>
                        </w:txbxContent>
                      </v:textbox>
                    </v:shape>
                  </w:pict>
                </mc:Fallback>
              </mc:AlternateContent>
            </w:r>
            <w:r>
              <w:rPr>
                <w:color w:val="000000" w:themeColor="text1"/>
                <w14:textFill>
                  <w14:solidFill>
                    <w14:schemeClr w14:val="tx1"/>
                  </w14:solidFill>
                </w14:textFill>
              </w:rPr>
              <mc:AlternateContent>
                <mc:Choice Requires="wps">
                  <w:drawing>
                    <wp:anchor distT="0" distB="0" distL="114300" distR="114300" simplePos="0" relativeHeight="251664384" behindDoc="0" locked="0" layoutInCell="1" allowOverlap="1">
                      <wp:simplePos x="0" y="0"/>
                      <wp:positionH relativeFrom="column">
                        <wp:posOffset>915670</wp:posOffset>
                      </wp:positionH>
                      <wp:positionV relativeFrom="paragraph">
                        <wp:posOffset>925195</wp:posOffset>
                      </wp:positionV>
                      <wp:extent cx="3308985" cy="1415415"/>
                      <wp:effectExtent l="0" t="4445" r="13335" b="12700"/>
                      <wp:wrapNone/>
                      <wp:docPr id="105" name="直接箭头连接符 105"/>
                      <wp:cNvGraphicFramePr/>
                      <a:graphic xmlns:a="http://schemas.openxmlformats.org/drawingml/2006/main">
                        <a:graphicData uri="http://schemas.microsoft.com/office/word/2010/wordprocessingShape">
                          <wps:wsp>
                            <wps:cNvCnPr/>
                            <wps:spPr>
                              <a:xfrm flipH="1">
                                <a:off x="1626235" y="1931670"/>
                                <a:ext cx="3308985" cy="1415415"/>
                              </a:xfrm>
                              <a:prstGeom prst="straightConnector1">
                                <a:avLst/>
                              </a:prstGeom>
                              <a:ln>
                                <a:solidFill>
                                  <a:srgbClr val="FFFF00"/>
                                </a:solidFill>
                                <a:tailEnd type="arrow"/>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shape id="_x0000_s1026" o:spid="_x0000_s1026" o:spt="32" type="#_x0000_t32" style="position:absolute;left:0pt;flip:x;margin-left:72.1pt;margin-top:72.85pt;height:111.45pt;width:260.55pt;z-index:251664384;mso-width-relative:page;mso-height-relative:page;" filled="f" stroked="t" coordsize="21600,21600" o:gfxdata="UEsDBAoAAAAAAIdO4kAAAAAAAAAAAAAAAAAEAAAAZHJzL1BLAwQUAAAACACHTuJAK8QjYNsAAAAL&#10;AQAADwAAAGRycy9kb3ducmV2LnhtbE2PwUoDMRCG74LvEEbwIjZpt03rutkigggehLaC9JbdTHcX&#10;N5MlSbvVpzc96W1+5uOfb4r12fbshD50jhRMJwIYUu1MR42Cj93L/QpYiJqM7h2hgm8MsC6vrwqd&#10;GzfSBk/b2LBUQiHXCtoYh5zzULdodZi4ASntDs5bHVP0DTdej6nc9nwmhORWd5QutHrA5xbrr+3R&#10;Kthv3n+y3VvlBcUDPo13r9w9fCp1ezMVj8AinuMfDBf9pA5lcqrckUxgfcrz+Syhl2GxBJYIKRcZ&#10;sEpBJlcSeFnw/z+Uv1BLAwQUAAAACACHTuJAAO5WJx8CAAD+AwAADgAAAGRycy9lMm9Eb2MueG1s&#10;rVNNjtMwFN4jcQfLe5q0paUTNZ1FS2GBoBLDAVzHSSz5T8+epr0EF0BiBayA1ew5DTMcg2cnDDBs&#10;ZoEVRc/2e9/z9/nz8vyoFTkI8NKako5HOSXCcFtJ05T0zcX20YISH5ipmLJGlPQkPD1fPXyw7Fwh&#10;Jra1qhJAEMT4onMlbUNwRZZ53grN/Mg6YXCztqBZwCk0WQWsQ3Stskmez7POQuXAcuE9rm76TTog&#10;wn0AbV1LLjaWX2phQo8KQrGAlHwrnaerdNq6Fjy8qmsvAlElRaYh/bEJxvv4z1ZLVjTAXCv5cAR2&#10;nyPc4aSZNNj0FmrDAiOXIP+B0pKD9bYOI2511hNJiiCLcX5Hm9ctcyJxQam9uxXd/z9Y/vKwAyIr&#10;dEI+o8QwjVd+8+7q+u3Hm69fvn+4+vHtfYw/fyIxAeXqnC+wam12MMy820HkfqxBk1pJ9xzRkhrI&#10;jxxxMp/MJ1OEP2F8Nh3PnwzCi2MgHBOm03xxtsAEHjMej2f4xV5ZDxrBHfjwTFhNYlBSH4DJpg1r&#10;awxesoW+ITu88KEv/FUQi43dSqVwnRXKkK6k8+kMHcAZ+rdG32CoHWrgTUMJUw0+DB4gUfBWySpW&#10;x2IPzX6tgBwY2mmLI09E8Jh/pcXWG+bbPi9t9UbTMuDbUVKXdJHH0S8HJtVTU5Fwcqg+A7DdwF4Z&#10;FCEq3msco72tTkn6tI62SDINFo6++3Oeqn8/29VP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K8Qj&#10;YNsAAAALAQAADwAAAAAAAAABACAAAAAiAAAAZHJzL2Rvd25yZXYueG1sUEsBAhQAFAAAAAgAh07i&#10;QADuVicfAgAA/gMAAA4AAAAAAAAAAQAgAAAAKgEAAGRycy9lMm9Eb2MueG1sUEsFBgAAAAAGAAYA&#10;WQEAALsFAAAAAA==&#10;">
                      <v:fill on="f" focussize="0,0"/>
                      <v:stroke weight="0.5pt" color="#FFFF00 [3204]" miterlimit="8" joinstyle="miter" endarrow="open"/>
                      <v:imagedata o:title=""/>
                      <o:lock v:ext="edit" aspectratio="f"/>
                    </v:shape>
                  </w:pict>
                </mc:Fallback>
              </mc:AlternateContent>
            </w:r>
            <w:r>
              <w:rPr>
                <w:b/>
                <w:color w:val="000000" w:themeColor="text1"/>
                <w14:textFill>
                  <w14:solidFill>
                    <w14:schemeClr w14:val="tx1"/>
                  </w14:solidFill>
                </w14:textFill>
              </w:rPr>
              <w:drawing>
                <wp:inline distT="0" distB="0" distL="114300" distR="114300">
                  <wp:extent cx="5165090" cy="2662555"/>
                  <wp:effectExtent l="0" t="0" r="1270" b="4445"/>
                  <wp:docPr id="153" name="图片 153" descr="引用环评项目位置"/>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153" descr="引用环评项目位置"/>
                          <pic:cNvPicPr>
                            <a:picLocks noChangeAspect="1"/>
                          </pic:cNvPicPr>
                        </pic:nvPicPr>
                        <pic:blipFill>
                          <a:blip r:embed="rId17"/>
                          <a:stretch>
                            <a:fillRect/>
                          </a:stretch>
                        </pic:blipFill>
                        <pic:spPr>
                          <a:xfrm>
                            <a:off x="0" y="0"/>
                            <a:ext cx="5165090" cy="2662555"/>
                          </a:xfrm>
                          <a:prstGeom prst="rect">
                            <a:avLst/>
                          </a:prstGeom>
                        </pic:spPr>
                      </pic:pic>
                    </a:graphicData>
                  </a:graphic>
                </wp:inline>
              </w:drawing>
            </w:r>
          </w:p>
          <w:p>
            <w:pPr>
              <w:adjustRightInd w:val="0"/>
              <w:snapToGrid w:val="0"/>
              <w:spacing w:line="360" w:lineRule="auto"/>
              <w:jc w:val="center"/>
              <w:rPr>
                <w:b/>
              </w:rPr>
            </w:pPr>
            <w:r>
              <w:rPr>
                <w:b/>
                <w:bCs/>
              </w:rPr>
              <w:t>图3-2 引用的大气监测点位图</w:t>
            </w:r>
          </w:p>
          <w:p>
            <w:pPr>
              <w:widowControl/>
              <w:adjustRightInd w:val="0"/>
              <w:snapToGrid w:val="0"/>
              <w:spacing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表3-1 特征污染因子现状监测结果</w:t>
            </w:r>
          </w:p>
          <w:tbl>
            <w:tblPr>
              <w:tblStyle w:val="10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7"/>
              <w:gridCol w:w="1212"/>
              <w:gridCol w:w="1359"/>
              <w:gridCol w:w="1970"/>
              <w:gridCol w:w="1335"/>
              <w:gridCol w:w="957"/>
              <w:gridCol w:w="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678" w:type="pct"/>
                  <w:vAlign w:val="center"/>
                </w:tcPr>
                <w:p>
                  <w:pPr>
                    <w:spacing w:before="120" w:beforeLines="50"/>
                    <w:jc w:val="center"/>
                    <w:rPr>
                      <w:b/>
                      <w:bCs/>
                    </w:rPr>
                  </w:pPr>
                  <w:r>
                    <w:rPr>
                      <w:b/>
                      <w:bCs/>
                    </w:rPr>
                    <w:t>检测点位</w:t>
                  </w:r>
                </w:p>
              </w:tc>
              <w:tc>
                <w:tcPr>
                  <w:tcW w:w="670" w:type="pct"/>
                  <w:vAlign w:val="center"/>
                </w:tcPr>
                <w:p>
                  <w:pPr>
                    <w:spacing w:before="120" w:beforeLines="50"/>
                    <w:jc w:val="center"/>
                    <w:rPr>
                      <w:b/>
                      <w:bCs/>
                    </w:rPr>
                  </w:pPr>
                  <w:r>
                    <w:rPr>
                      <w:b/>
                      <w:bCs/>
                    </w:rPr>
                    <w:t>检测项目</w:t>
                  </w:r>
                </w:p>
              </w:tc>
              <w:tc>
                <w:tcPr>
                  <w:tcW w:w="751" w:type="pct"/>
                  <w:vAlign w:val="center"/>
                </w:tcPr>
                <w:p>
                  <w:pPr>
                    <w:spacing w:before="120" w:beforeLines="50"/>
                    <w:jc w:val="center"/>
                    <w:rPr>
                      <w:b/>
                      <w:bCs/>
                    </w:rPr>
                  </w:pPr>
                  <w:r>
                    <w:rPr>
                      <w:b/>
                      <w:bCs/>
                    </w:rPr>
                    <w:t>日期</w:t>
                  </w:r>
                </w:p>
              </w:tc>
              <w:tc>
                <w:tcPr>
                  <w:tcW w:w="1089" w:type="pct"/>
                  <w:vAlign w:val="center"/>
                </w:tcPr>
                <w:p>
                  <w:pPr>
                    <w:spacing w:before="120" w:beforeLines="50"/>
                    <w:jc w:val="center"/>
                    <w:rPr>
                      <w:b/>
                      <w:bCs/>
                    </w:rPr>
                  </w:pPr>
                  <w:r>
                    <w:rPr>
                      <w:b/>
                      <w:bCs/>
                    </w:rPr>
                    <w:t>时段</w:t>
                  </w:r>
                </w:p>
              </w:tc>
              <w:tc>
                <w:tcPr>
                  <w:tcW w:w="738" w:type="pct"/>
                  <w:vAlign w:val="center"/>
                </w:tcPr>
                <w:p>
                  <w:pPr>
                    <w:spacing w:before="120" w:beforeLines="50"/>
                    <w:jc w:val="center"/>
                    <w:rPr>
                      <w:b/>
                      <w:bCs/>
                    </w:rPr>
                  </w:pPr>
                  <w:r>
                    <w:rPr>
                      <w:b/>
                      <w:bCs/>
                    </w:rPr>
                    <w:t>检测结果</w:t>
                  </w:r>
                </w:p>
              </w:tc>
              <w:tc>
                <w:tcPr>
                  <w:tcW w:w="529" w:type="pct"/>
                  <w:vAlign w:val="center"/>
                </w:tcPr>
                <w:p>
                  <w:pPr>
                    <w:spacing w:before="120" w:beforeLines="50"/>
                    <w:jc w:val="center"/>
                    <w:rPr>
                      <w:b/>
                      <w:bCs/>
                    </w:rPr>
                  </w:pPr>
                  <w:r>
                    <w:rPr>
                      <w:b/>
                      <w:bCs/>
                    </w:rPr>
                    <w:t>单位</w:t>
                  </w:r>
                </w:p>
              </w:tc>
              <w:tc>
                <w:tcPr>
                  <w:tcW w:w="542" w:type="pct"/>
                  <w:vAlign w:val="center"/>
                </w:tcPr>
                <w:p>
                  <w:pPr>
                    <w:spacing w:before="120" w:beforeLines="50"/>
                    <w:jc w:val="center"/>
                    <w:rPr>
                      <w:b/>
                      <w:bCs/>
                    </w:rPr>
                  </w:pPr>
                  <w:r>
                    <w:rPr>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678" w:type="pct"/>
                  <w:vMerge w:val="restart"/>
                  <w:vAlign w:val="center"/>
                </w:tcPr>
                <w:p>
                  <w:pPr>
                    <w:spacing w:before="120" w:beforeLines="50"/>
                    <w:jc w:val="center"/>
                  </w:pPr>
                  <w:r>
                    <w:t>G1规划区所在地</w:t>
                  </w:r>
                </w:p>
              </w:tc>
              <w:tc>
                <w:tcPr>
                  <w:tcW w:w="670" w:type="pct"/>
                  <w:vMerge w:val="restart"/>
                  <w:vAlign w:val="center"/>
                </w:tcPr>
                <w:p>
                  <w:pPr>
                    <w:spacing w:before="120" w:beforeLines="50"/>
                    <w:jc w:val="center"/>
                  </w:pPr>
                  <w:r>
                    <w:t>TVOC</w:t>
                  </w:r>
                </w:p>
              </w:tc>
              <w:tc>
                <w:tcPr>
                  <w:tcW w:w="751" w:type="pct"/>
                  <w:vAlign w:val="center"/>
                </w:tcPr>
                <w:p>
                  <w:pPr>
                    <w:spacing w:before="120" w:beforeLines="50"/>
                    <w:jc w:val="center"/>
                  </w:pPr>
                  <w:r>
                    <w:t>2020.07.20</w:t>
                  </w:r>
                </w:p>
              </w:tc>
              <w:tc>
                <w:tcPr>
                  <w:tcW w:w="1089" w:type="pct"/>
                  <w:vAlign w:val="center"/>
                </w:tcPr>
                <w:p>
                  <w:pPr>
                    <w:spacing w:before="120" w:beforeLines="50"/>
                    <w:jc w:val="center"/>
                  </w:pPr>
                  <w:r>
                    <w:t>12:07-20:07</w:t>
                  </w:r>
                </w:p>
              </w:tc>
              <w:tc>
                <w:tcPr>
                  <w:tcW w:w="738" w:type="pct"/>
                  <w:vAlign w:val="center"/>
                </w:tcPr>
                <w:p>
                  <w:pPr>
                    <w:spacing w:before="120" w:beforeLines="50"/>
                    <w:jc w:val="center"/>
                  </w:pPr>
                  <w:r>
                    <w:t>4.44×10</w:t>
                  </w:r>
                  <w:r>
                    <w:rPr>
                      <w:vertAlign w:val="superscript"/>
                    </w:rPr>
                    <w:t>-2</w:t>
                  </w:r>
                </w:p>
              </w:tc>
              <w:tc>
                <w:tcPr>
                  <w:tcW w:w="529" w:type="pct"/>
                  <w:vMerge w:val="restart"/>
                  <w:vAlign w:val="center"/>
                </w:tcPr>
                <w:p>
                  <w:pPr>
                    <w:spacing w:before="120" w:beforeLines="50"/>
                    <w:jc w:val="center"/>
                  </w:pPr>
                  <w:r>
                    <w:t>mg/m</w:t>
                  </w:r>
                  <w:r>
                    <w:rPr>
                      <w:vertAlign w:val="superscript"/>
                    </w:rPr>
                    <w:t>3</w:t>
                  </w:r>
                </w:p>
              </w:tc>
              <w:tc>
                <w:tcPr>
                  <w:tcW w:w="542" w:type="pct"/>
                  <w:vMerge w:val="restart"/>
                  <w:vAlign w:val="center"/>
                </w:tcPr>
                <w:p>
                  <w:pPr>
                    <w:spacing w:before="120" w:beforeLines="50"/>
                    <w:jc w:val="center"/>
                  </w:pPr>
                  <w:r>
                    <w:t>8小时均值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678" w:type="pct"/>
                  <w:vMerge w:val="continue"/>
                  <w:vAlign w:val="center"/>
                </w:tcPr>
                <w:p>
                  <w:pPr>
                    <w:spacing w:before="120" w:beforeLines="50"/>
                    <w:jc w:val="center"/>
                  </w:pPr>
                </w:p>
              </w:tc>
              <w:tc>
                <w:tcPr>
                  <w:tcW w:w="670" w:type="pct"/>
                  <w:vMerge w:val="continue"/>
                  <w:vAlign w:val="center"/>
                </w:tcPr>
                <w:p>
                  <w:pPr>
                    <w:spacing w:before="120" w:beforeLines="50"/>
                    <w:jc w:val="center"/>
                  </w:pPr>
                </w:p>
              </w:tc>
              <w:tc>
                <w:tcPr>
                  <w:tcW w:w="751" w:type="pct"/>
                  <w:vAlign w:val="center"/>
                </w:tcPr>
                <w:p>
                  <w:pPr>
                    <w:spacing w:before="120" w:beforeLines="50"/>
                    <w:jc w:val="center"/>
                  </w:pPr>
                  <w:r>
                    <w:t>2020.07.21</w:t>
                  </w:r>
                </w:p>
              </w:tc>
              <w:tc>
                <w:tcPr>
                  <w:tcW w:w="1089" w:type="pct"/>
                  <w:vAlign w:val="center"/>
                </w:tcPr>
                <w:p>
                  <w:pPr>
                    <w:spacing w:before="120" w:beforeLines="50"/>
                    <w:jc w:val="center"/>
                  </w:pPr>
                  <w:r>
                    <w:t>08:50-16:50</w:t>
                  </w:r>
                </w:p>
              </w:tc>
              <w:tc>
                <w:tcPr>
                  <w:tcW w:w="738" w:type="pct"/>
                  <w:vAlign w:val="center"/>
                </w:tcPr>
                <w:p>
                  <w:pPr>
                    <w:spacing w:before="120" w:beforeLines="50"/>
                    <w:jc w:val="center"/>
                  </w:pPr>
                  <w:r>
                    <w:t>4.79×10</w:t>
                  </w:r>
                  <w:r>
                    <w:rPr>
                      <w:vertAlign w:val="superscript"/>
                    </w:rPr>
                    <w:t>-2</w:t>
                  </w:r>
                </w:p>
              </w:tc>
              <w:tc>
                <w:tcPr>
                  <w:tcW w:w="529" w:type="pct"/>
                  <w:vMerge w:val="continue"/>
                  <w:vAlign w:val="center"/>
                </w:tcPr>
                <w:p>
                  <w:pPr>
                    <w:spacing w:before="120" w:beforeLines="50"/>
                    <w:jc w:val="center"/>
                  </w:pPr>
                </w:p>
              </w:tc>
              <w:tc>
                <w:tcPr>
                  <w:tcW w:w="542"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678" w:type="pct"/>
                  <w:vMerge w:val="continue"/>
                  <w:vAlign w:val="center"/>
                </w:tcPr>
                <w:p>
                  <w:pPr>
                    <w:spacing w:before="120" w:beforeLines="50"/>
                    <w:jc w:val="center"/>
                  </w:pPr>
                </w:p>
              </w:tc>
              <w:tc>
                <w:tcPr>
                  <w:tcW w:w="670" w:type="pct"/>
                  <w:vMerge w:val="continue"/>
                  <w:vAlign w:val="center"/>
                </w:tcPr>
                <w:p>
                  <w:pPr>
                    <w:spacing w:before="120" w:beforeLines="50"/>
                    <w:jc w:val="center"/>
                  </w:pPr>
                </w:p>
              </w:tc>
              <w:tc>
                <w:tcPr>
                  <w:tcW w:w="751" w:type="pct"/>
                  <w:vAlign w:val="center"/>
                </w:tcPr>
                <w:p>
                  <w:pPr>
                    <w:spacing w:before="120" w:beforeLines="50"/>
                    <w:jc w:val="center"/>
                  </w:pPr>
                  <w:r>
                    <w:t>2020.07.22</w:t>
                  </w:r>
                </w:p>
              </w:tc>
              <w:tc>
                <w:tcPr>
                  <w:tcW w:w="1089" w:type="pct"/>
                  <w:vAlign w:val="center"/>
                </w:tcPr>
                <w:p>
                  <w:pPr>
                    <w:spacing w:before="120" w:beforeLines="50"/>
                    <w:jc w:val="center"/>
                  </w:pPr>
                  <w:r>
                    <w:t>08:40-16:40</w:t>
                  </w:r>
                </w:p>
              </w:tc>
              <w:tc>
                <w:tcPr>
                  <w:tcW w:w="738" w:type="pct"/>
                  <w:vAlign w:val="center"/>
                </w:tcPr>
                <w:p>
                  <w:pPr>
                    <w:spacing w:before="120" w:beforeLines="50"/>
                    <w:jc w:val="center"/>
                  </w:pPr>
                  <w:r>
                    <w:t>2.34×10</w:t>
                  </w:r>
                  <w:r>
                    <w:rPr>
                      <w:vertAlign w:val="superscript"/>
                    </w:rPr>
                    <w:t>-2</w:t>
                  </w:r>
                </w:p>
              </w:tc>
              <w:tc>
                <w:tcPr>
                  <w:tcW w:w="529" w:type="pct"/>
                  <w:vMerge w:val="continue"/>
                  <w:vAlign w:val="center"/>
                </w:tcPr>
                <w:p>
                  <w:pPr>
                    <w:spacing w:before="120" w:beforeLines="50"/>
                    <w:jc w:val="center"/>
                  </w:pPr>
                </w:p>
              </w:tc>
              <w:tc>
                <w:tcPr>
                  <w:tcW w:w="542"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678" w:type="pct"/>
                  <w:vMerge w:val="continue"/>
                  <w:vAlign w:val="center"/>
                </w:tcPr>
                <w:p>
                  <w:pPr>
                    <w:spacing w:before="120" w:beforeLines="50"/>
                    <w:jc w:val="center"/>
                  </w:pPr>
                </w:p>
              </w:tc>
              <w:tc>
                <w:tcPr>
                  <w:tcW w:w="670" w:type="pct"/>
                  <w:vMerge w:val="continue"/>
                  <w:vAlign w:val="center"/>
                </w:tcPr>
                <w:p>
                  <w:pPr>
                    <w:spacing w:before="120" w:beforeLines="50"/>
                    <w:jc w:val="center"/>
                  </w:pPr>
                </w:p>
              </w:tc>
              <w:tc>
                <w:tcPr>
                  <w:tcW w:w="751" w:type="pct"/>
                  <w:vAlign w:val="center"/>
                </w:tcPr>
                <w:p>
                  <w:pPr>
                    <w:spacing w:before="120" w:beforeLines="50"/>
                    <w:jc w:val="center"/>
                  </w:pPr>
                  <w:r>
                    <w:t>2020.07.23</w:t>
                  </w:r>
                </w:p>
              </w:tc>
              <w:tc>
                <w:tcPr>
                  <w:tcW w:w="1089" w:type="pct"/>
                  <w:vAlign w:val="center"/>
                </w:tcPr>
                <w:p>
                  <w:pPr>
                    <w:spacing w:before="120" w:beforeLines="50"/>
                    <w:jc w:val="center"/>
                  </w:pPr>
                  <w:r>
                    <w:t>08:46-16:46</w:t>
                  </w:r>
                </w:p>
              </w:tc>
              <w:tc>
                <w:tcPr>
                  <w:tcW w:w="738" w:type="pct"/>
                  <w:vAlign w:val="center"/>
                </w:tcPr>
                <w:p>
                  <w:pPr>
                    <w:spacing w:before="120" w:beforeLines="50"/>
                    <w:jc w:val="center"/>
                  </w:pPr>
                  <w:r>
                    <w:t>2.97×10</w:t>
                  </w:r>
                  <w:r>
                    <w:rPr>
                      <w:vertAlign w:val="superscript"/>
                    </w:rPr>
                    <w:t>-2</w:t>
                  </w:r>
                </w:p>
              </w:tc>
              <w:tc>
                <w:tcPr>
                  <w:tcW w:w="529" w:type="pct"/>
                  <w:vMerge w:val="continue"/>
                  <w:vAlign w:val="center"/>
                </w:tcPr>
                <w:p>
                  <w:pPr>
                    <w:spacing w:before="120" w:beforeLines="50"/>
                    <w:jc w:val="center"/>
                  </w:pPr>
                </w:p>
              </w:tc>
              <w:tc>
                <w:tcPr>
                  <w:tcW w:w="542"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678" w:type="pct"/>
                  <w:vMerge w:val="continue"/>
                  <w:vAlign w:val="center"/>
                </w:tcPr>
                <w:p>
                  <w:pPr>
                    <w:spacing w:before="120" w:beforeLines="50"/>
                    <w:jc w:val="center"/>
                  </w:pPr>
                </w:p>
              </w:tc>
              <w:tc>
                <w:tcPr>
                  <w:tcW w:w="670" w:type="pct"/>
                  <w:vMerge w:val="continue"/>
                  <w:vAlign w:val="center"/>
                </w:tcPr>
                <w:p>
                  <w:pPr>
                    <w:spacing w:before="120" w:beforeLines="50"/>
                    <w:jc w:val="center"/>
                  </w:pPr>
                </w:p>
              </w:tc>
              <w:tc>
                <w:tcPr>
                  <w:tcW w:w="751" w:type="pct"/>
                  <w:vAlign w:val="center"/>
                </w:tcPr>
                <w:p>
                  <w:pPr>
                    <w:spacing w:before="120" w:beforeLines="50"/>
                    <w:jc w:val="center"/>
                  </w:pPr>
                  <w:r>
                    <w:t>2020.07.24</w:t>
                  </w:r>
                </w:p>
              </w:tc>
              <w:tc>
                <w:tcPr>
                  <w:tcW w:w="1089" w:type="pct"/>
                  <w:vAlign w:val="center"/>
                </w:tcPr>
                <w:p>
                  <w:pPr>
                    <w:spacing w:before="120" w:beforeLines="50"/>
                    <w:jc w:val="center"/>
                  </w:pPr>
                  <w:r>
                    <w:t>08:53-16:53</w:t>
                  </w:r>
                </w:p>
              </w:tc>
              <w:tc>
                <w:tcPr>
                  <w:tcW w:w="738" w:type="pct"/>
                  <w:vAlign w:val="center"/>
                </w:tcPr>
                <w:p>
                  <w:pPr>
                    <w:spacing w:before="120" w:beforeLines="50"/>
                    <w:jc w:val="center"/>
                  </w:pPr>
                  <w:r>
                    <w:t>1.79×10</w:t>
                  </w:r>
                  <w:r>
                    <w:rPr>
                      <w:vertAlign w:val="superscript"/>
                    </w:rPr>
                    <w:t>-2</w:t>
                  </w:r>
                </w:p>
              </w:tc>
              <w:tc>
                <w:tcPr>
                  <w:tcW w:w="529" w:type="pct"/>
                  <w:vMerge w:val="continue"/>
                  <w:vAlign w:val="center"/>
                </w:tcPr>
                <w:p>
                  <w:pPr>
                    <w:spacing w:before="120" w:beforeLines="50"/>
                    <w:jc w:val="center"/>
                  </w:pPr>
                </w:p>
              </w:tc>
              <w:tc>
                <w:tcPr>
                  <w:tcW w:w="542"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678" w:type="pct"/>
                  <w:vMerge w:val="continue"/>
                  <w:vAlign w:val="center"/>
                </w:tcPr>
                <w:p>
                  <w:pPr>
                    <w:spacing w:before="120" w:beforeLines="50"/>
                    <w:jc w:val="center"/>
                  </w:pPr>
                </w:p>
              </w:tc>
              <w:tc>
                <w:tcPr>
                  <w:tcW w:w="670" w:type="pct"/>
                  <w:vMerge w:val="continue"/>
                  <w:vAlign w:val="center"/>
                </w:tcPr>
                <w:p>
                  <w:pPr>
                    <w:spacing w:before="120" w:beforeLines="50"/>
                    <w:jc w:val="center"/>
                  </w:pPr>
                </w:p>
              </w:tc>
              <w:tc>
                <w:tcPr>
                  <w:tcW w:w="751" w:type="pct"/>
                  <w:vAlign w:val="center"/>
                </w:tcPr>
                <w:p>
                  <w:pPr>
                    <w:spacing w:before="120" w:beforeLines="50"/>
                    <w:jc w:val="center"/>
                  </w:pPr>
                  <w:r>
                    <w:t>2020.07.25</w:t>
                  </w:r>
                </w:p>
              </w:tc>
              <w:tc>
                <w:tcPr>
                  <w:tcW w:w="1089" w:type="pct"/>
                  <w:vAlign w:val="center"/>
                </w:tcPr>
                <w:p>
                  <w:pPr>
                    <w:spacing w:before="120" w:beforeLines="50"/>
                    <w:jc w:val="center"/>
                  </w:pPr>
                  <w:r>
                    <w:t>08:46-16:46</w:t>
                  </w:r>
                </w:p>
              </w:tc>
              <w:tc>
                <w:tcPr>
                  <w:tcW w:w="738" w:type="pct"/>
                  <w:vAlign w:val="center"/>
                </w:tcPr>
                <w:p>
                  <w:pPr>
                    <w:spacing w:before="120" w:beforeLines="50"/>
                    <w:jc w:val="center"/>
                  </w:pPr>
                  <w:r>
                    <w:t>3.78×10</w:t>
                  </w:r>
                  <w:r>
                    <w:rPr>
                      <w:vertAlign w:val="superscript"/>
                    </w:rPr>
                    <w:t>-2</w:t>
                  </w:r>
                </w:p>
              </w:tc>
              <w:tc>
                <w:tcPr>
                  <w:tcW w:w="529" w:type="pct"/>
                  <w:vMerge w:val="continue"/>
                  <w:vAlign w:val="center"/>
                </w:tcPr>
                <w:p>
                  <w:pPr>
                    <w:spacing w:before="120" w:beforeLines="50"/>
                    <w:jc w:val="center"/>
                  </w:pPr>
                </w:p>
              </w:tc>
              <w:tc>
                <w:tcPr>
                  <w:tcW w:w="542"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2" w:hRule="atLeast"/>
                <w:jc w:val="center"/>
              </w:trPr>
              <w:tc>
                <w:tcPr>
                  <w:tcW w:w="678" w:type="pct"/>
                  <w:vMerge w:val="continue"/>
                  <w:vAlign w:val="center"/>
                </w:tcPr>
                <w:p>
                  <w:pPr>
                    <w:spacing w:before="120" w:beforeLines="50"/>
                    <w:jc w:val="center"/>
                  </w:pPr>
                </w:p>
              </w:tc>
              <w:tc>
                <w:tcPr>
                  <w:tcW w:w="670" w:type="pct"/>
                  <w:vMerge w:val="continue"/>
                  <w:vAlign w:val="center"/>
                </w:tcPr>
                <w:p>
                  <w:pPr>
                    <w:spacing w:before="120" w:beforeLines="50"/>
                    <w:jc w:val="center"/>
                  </w:pPr>
                </w:p>
              </w:tc>
              <w:tc>
                <w:tcPr>
                  <w:tcW w:w="751" w:type="pct"/>
                  <w:vAlign w:val="center"/>
                </w:tcPr>
                <w:p>
                  <w:pPr>
                    <w:spacing w:before="120" w:beforeLines="50"/>
                    <w:jc w:val="center"/>
                  </w:pPr>
                  <w:r>
                    <w:t>2020.07.26</w:t>
                  </w:r>
                </w:p>
              </w:tc>
              <w:tc>
                <w:tcPr>
                  <w:tcW w:w="1089" w:type="pct"/>
                  <w:vAlign w:val="center"/>
                </w:tcPr>
                <w:p>
                  <w:pPr>
                    <w:spacing w:before="120" w:beforeLines="50"/>
                    <w:jc w:val="center"/>
                  </w:pPr>
                  <w:r>
                    <w:t>08:39-16:39</w:t>
                  </w:r>
                </w:p>
              </w:tc>
              <w:tc>
                <w:tcPr>
                  <w:tcW w:w="738" w:type="pct"/>
                  <w:vAlign w:val="center"/>
                </w:tcPr>
                <w:p>
                  <w:pPr>
                    <w:spacing w:before="120" w:beforeLines="50"/>
                    <w:jc w:val="center"/>
                  </w:pPr>
                  <w:r>
                    <w:t>2.50×10</w:t>
                  </w:r>
                  <w:r>
                    <w:rPr>
                      <w:vertAlign w:val="superscript"/>
                    </w:rPr>
                    <w:t>-2</w:t>
                  </w:r>
                </w:p>
              </w:tc>
              <w:tc>
                <w:tcPr>
                  <w:tcW w:w="529" w:type="pct"/>
                  <w:vMerge w:val="continue"/>
                  <w:vAlign w:val="center"/>
                </w:tcPr>
                <w:p>
                  <w:pPr>
                    <w:spacing w:before="120" w:beforeLines="50"/>
                    <w:jc w:val="center"/>
                  </w:pPr>
                </w:p>
              </w:tc>
              <w:tc>
                <w:tcPr>
                  <w:tcW w:w="542"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678" w:type="pct"/>
                  <w:vMerge w:val="continue"/>
                  <w:vAlign w:val="center"/>
                </w:tcPr>
                <w:p>
                  <w:pPr>
                    <w:spacing w:before="120" w:beforeLines="50"/>
                    <w:jc w:val="center"/>
                  </w:pPr>
                </w:p>
              </w:tc>
              <w:tc>
                <w:tcPr>
                  <w:tcW w:w="670" w:type="pct"/>
                  <w:vMerge w:val="restart"/>
                  <w:vAlign w:val="center"/>
                </w:tcPr>
                <w:p>
                  <w:pPr>
                    <w:spacing w:before="120" w:beforeLines="50"/>
                    <w:jc w:val="center"/>
                  </w:pPr>
                  <w:r>
                    <w:t>TSP</w:t>
                  </w:r>
                </w:p>
              </w:tc>
              <w:tc>
                <w:tcPr>
                  <w:tcW w:w="751" w:type="pct"/>
                  <w:vAlign w:val="center"/>
                </w:tcPr>
                <w:p>
                  <w:pPr>
                    <w:spacing w:before="120" w:beforeLines="50"/>
                    <w:jc w:val="center"/>
                  </w:pPr>
                  <w:r>
                    <w:t>2020.07.20</w:t>
                  </w:r>
                </w:p>
              </w:tc>
              <w:tc>
                <w:tcPr>
                  <w:tcW w:w="1089" w:type="pct"/>
                  <w:vAlign w:val="center"/>
                </w:tcPr>
                <w:p>
                  <w:pPr>
                    <w:spacing w:before="120" w:beforeLines="50"/>
                    <w:jc w:val="center"/>
                  </w:pPr>
                  <w:r>
                    <w:t>12:01-次日12:01</w:t>
                  </w:r>
                </w:p>
              </w:tc>
              <w:tc>
                <w:tcPr>
                  <w:tcW w:w="738" w:type="pct"/>
                  <w:vAlign w:val="center"/>
                </w:tcPr>
                <w:p>
                  <w:pPr>
                    <w:spacing w:before="120" w:beforeLines="50"/>
                    <w:jc w:val="center"/>
                  </w:pPr>
                  <w:r>
                    <w:t>0.187</w:t>
                  </w:r>
                </w:p>
              </w:tc>
              <w:tc>
                <w:tcPr>
                  <w:tcW w:w="529" w:type="pct"/>
                  <w:vMerge w:val="restart"/>
                  <w:vAlign w:val="center"/>
                </w:tcPr>
                <w:p>
                  <w:pPr>
                    <w:spacing w:before="120" w:beforeLines="50"/>
                    <w:jc w:val="center"/>
                  </w:pPr>
                  <w:r>
                    <w:t>mg/m</w:t>
                  </w:r>
                  <w:r>
                    <w:rPr>
                      <w:vertAlign w:val="superscript"/>
                    </w:rPr>
                    <w:t>3</w:t>
                  </w:r>
                </w:p>
              </w:tc>
              <w:tc>
                <w:tcPr>
                  <w:tcW w:w="542" w:type="pct"/>
                  <w:vMerge w:val="restart"/>
                  <w:vAlign w:val="center"/>
                </w:tcPr>
                <w:p>
                  <w:pPr>
                    <w:spacing w:before="120" w:beforeLines="50"/>
                    <w:jc w:val="center"/>
                  </w:pPr>
                  <w:r>
                    <w:t>24小时均值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678" w:type="pct"/>
                  <w:vMerge w:val="continue"/>
                  <w:vAlign w:val="center"/>
                </w:tcPr>
                <w:p>
                  <w:pPr>
                    <w:spacing w:before="120" w:beforeLines="50"/>
                    <w:jc w:val="center"/>
                    <w:rPr>
                      <w:color w:val="FF0000"/>
                    </w:rPr>
                  </w:pPr>
                </w:p>
              </w:tc>
              <w:tc>
                <w:tcPr>
                  <w:tcW w:w="670" w:type="pct"/>
                  <w:vMerge w:val="continue"/>
                  <w:vAlign w:val="center"/>
                </w:tcPr>
                <w:p>
                  <w:pPr>
                    <w:spacing w:before="120" w:beforeLines="50"/>
                    <w:jc w:val="center"/>
                    <w:rPr>
                      <w:color w:val="FF0000"/>
                    </w:rPr>
                  </w:pPr>
                </w:p>
              </w:tc>
              <w:tc>
                <w:tcPr>
                  <w:tcW w:w="751" w:type="pct"/>
                  <w:vAlign w:val="center"/>
                </w:tcPr>
                <w:p>
                  <w:pPr>
                    <w:spacing w:before="120" w:beforeLines="50"/>
                    <w:jc w:val="center"/>
                    <w:rPr>
                      <w:b/>
                      <w:bCs/>
                    </w:rPr>
                  </w:pPr>
                  <w:r>
                    <w:t>2020.07.21</w:t>
                  </w:r>
                </w:p>
              </w:tc>
              <w:tc>
                <w:tcPr>
                  <w:tcW w:w="1089" w:type="pct"/>
                  <w:vAlign w:val="center"/>
                </w:tcPr>
                <w:p>
                  <w:pPr>
                    <w:spacing w:before="120" w:beforeLines="50"/>
                    <w:jc w:val="center"/>
                  </w:pPr>
                  <w:r>
                    <w:t>13:10-次日13:10</w:t>
                  </w:r>
                </w:p>
              </w:tc>
              <w:tc>
                <w:tcPr>
                  <w:tcW w:w="738" w:type="pct"/>
                  <w:vAlign w:val="center"/>
                </w:tcPr>
                <w:p>
                  <w:pPr>
                    <w:spacing w:before="120" w:beforeLines="50"/>
                    <w:jc w:val="center"/>
                  </w:pPr>
                  <w:r>
                    <w:t>0.194</w:t>
                  </w:r>
                </w:p>
              </w:tc>
              <w:tc>
                <w:tcPr>
                  <w:tcW w:w="529" w:type="pct"/>
                  <w:vMerge w:val="continue"/>
                  <w:vAlign w:val="center"/>
                </w:tcPr>
                <w:p>
                  <w:pPr>
                    <w:spacing w:before="120" w:beforeLines="50"/>
                    <w:jc w:val="center"/>
                    <w:rPr>
                      <w:b/>
                      <w:bCs/>
                      <w:color w:val="FF0000"/>
                    </w:rPr>
                  </w:pPr>
                </w:p>
              </w:tc>
              <w:tc>
                <w:tcPr>
                  <w:tcW w:w="542" w:type="pct"/>
                  <w:vMerge w:val="continue"/>
                  <w:vAlign w:val="center"/>
                </w:tcPr>
                <w:p>
                  <w:pPr>
                    <w:spacing w:before="120" w:beforeLines="50"/>
                    <w:jc w:val="center"/>
                    <w:rPr>
                      <w:b/>
                      <w:bCs/>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678" w:type="pct"/>
                  <w:vMerge w:val="continue"/>
                  <w:vAlign w:val="center"/>
                </w:tcPr>
                <w:p>
                  <w:pPr>
                    <w:spacing w:before="120" w:beforeLines="50"/>
                    <w:jc w:val="center"/>
                    <w:rPr>
                      <w:b/>
                      <w:bCs/>
                      <w:color w:val="FF0000"/>
                    </w:rPr>
                  </w:pPr>
                </w:p>
              </w:tc>
              <w:tc>
                <w:tcPr>
                  <w:tcW w:w="670" w:type="pct"/>
                  <w:vMerge w:val="continue"/>
                  <w:vAlign w:val="center"/>
                </w:tcPr>
                <w:p>
                  <w:pPr>
                    <w:spacing w:before="120" w:beforeLines="50"/>
                    <w:jc w:val="center"/>
                    <w:rPr>
                      <w:b/>
                      <w:bCs/>
                      <w:color w:val="FF0000"/>
                    </w:rPr>
                  </w:pPr>
                </w:p>
              </w:tc>
              <w:tc>
                <w:tcPr>
                  <w:tcW w:w="751" w:type="pct"/>
                  <w:vAlign w:val="center"/>
                </w:tcPr>
                <w:p>
                  <w:pPr>
                    <w:spacing w:before="120" w:beforeLines="50"/>
                    <w:jc w:val="center"/>
                    <w:rPr>
                      <w:b/>
                      <w:bCs/>
                    </w:rPr>
                  </w:pPr>
                  <w:r>
                    <w:t>2020.07.22</w:t>
                  </w:r>
                </w:p>
              </w:tc>
              <w:tc>
                <w:tcPr>
                  <w:tcW w:w="1089" w:type="pct"/>
                  <w:vAlign w:val="center"/>
                </w:tcPr>
                <w:p>
                  <w:pPr>
                    <w:spacing w:before="120" w:beforeLines="50"/>
                    <w:jc w:val="center"/>
                  </w:pPr>
                  <w:r>
                    <w:t>13:14-次日13:14</w:t>
                  </w:r>
                </w:p>
              </w:tc>
              <w:tc>
                <w:tcPr>
                  <w:tcW w:w="738" w:type="pct"/>
                  <w:vAlign w:val="center"/>
                </w:tcPr>
                <w:p>
                  <w:pPr>
                    <w:spacing w:before="120" w:beforeLines="50"/>
                    <w:jc w:val="center"/>
                  </w:pPr>
                  <w:r>
                    <w:t>0.209</w:t>
                  </w:r>
                </w:p>
              </w:tc>
              <w:tc>
                <w:tcPr>
                  <w:tcW w:w="529" w:type="pct"/>
                  <w:vMerge w:val="continue"/>
                  <w:vAlign w:val="center"/>
                </w:tcPr>
                <w:p>
                  <w:pPr>
                    <w:spacing w:before="120" w:beforeLines="50"/>
                    <w:jc w:val="center"/>
                    <w:rPr>
                      <w:b/>
                      <w:bCs/>
                      <w:color w:val="FF0000"/>
                    </w:rPr>
                  </w:pPr>
                </w:p>
              </w:tc>
              <w:tc>
                <w:tcPr>
                  <w:tcW w:w="542" w:type="pct"/>
                  <w:vMerge w:val="continue"/>
                  <w:vAlign w:val="center"/>
                </w:tcPr>
                <w:p>
                  <w:pPr>
                    <w:spacing w:before="120" w:beforeLines="50"/>
                    <w:jc w:val="center"/>
                    <w:rPr>
                      <w:b/>
                      <w:bCs/>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678" w:type="pct"/>
                  <w:vMerge w:val="continue"/>
                  <w:vAlign w:val="center"/>
                </w:tcPr>
                <w:p>
                  <w:pPr>
                    <w:spacing w:before="120" w:beforeLines="50"/>
                    <w:jc w:val="center"/>
                    <w:rPr>
                      <w:b/>
                      <w:bCs/>
                      <w:color w:val="FF0000"/>
                    </w:rPr>
                  </w:pPr>
                </w:p>
              </w:tc>
              <w:tc>
                <w:tcPr>
                  <w:tcW w:w="670" w:type="pct"/>
                  <w:vMerge w:val="continue"/>
                  <w:vAlign w:val="center"/>
                </w:tcPr>
                <w:p>
                  <w:pPr>
                    <w:spacing w:before="120" w:beforeLines="50"/>
                    <w:jc w:val="center"/>
                    <w:rPr>
                      <w:b/>
                      <w:bCs/>
                      <w:color w:val="FF0000"/>
                    </w:rPr>
                  </w:pPr>
                </w:p>
              </w:tc>
              <w:tc>
                <w:tcPr>
                  <w:tcW w:w="751" w:type="pct"/>
                  <w:vAlign w:val="center"/>
                </w:tcPr>
                <w:p>
                  <w:pPr>
                    <w:spacing w:before="120" w:beforeLines="50"/>
                    <w:jc w:val="center"/>
                    <w:rPr>
                      <w:b/>
                      <w:bCs/>
                    </w:rPr>
                  </w:pPr>
                  <w:r>
                    <w:t>2020.07.23</w:t>
                  </w:r>
                </w:p>
              </w:tc>
              <w:tc>
                <w:tcPr>
                  <w:tcW w:w="1089" w:type="pct"/>
                  <w:vAlign w:val="center"/>
                </w:tcPr>
                <w:p>
                  <w:pPr>
                    <w:spacing w:before="120" w:beforeLines="50"/>
                    <w:jc w:val="center"/>
                  </w:pPr>
                  <w:r>
                    <w:t>13:39-次日13:39</w:t>
                  </w:r>
                </w:p>
              </w:tc>
              <w:tc>
                <w:tcPr>
                  <w:tcW w:w="738" w:type="pct"/>
                  <w:vAlign w:val="center"/>
                </w:tcPr>
                <w:p>
                  <w:pPr>
                    <w:spacing w:before="120" w:beforeLines="50"/>
                    <w:jc w:val="center"/>
                  </w:pPr>
                  <w:r>
                    <w:t>0.192</w:t>
                  </w:r>
                </w:p>
              </w:tc>
              <w:tc>
                <w:tcPr>
                  <w:tcW w:w="529" w:type="pct"/>
                  <w:vMerge w:val="continue"/>
                  <w:vAlign w:val="center"/>
                </w:tcPr>
                <w:p>
                  <w:pPr>
                    <w:spacing w:before="120" w:beforeLines="50"/>
                    <w:jc w:val="center"/>
                    <w:rPr>
                      <w:b/>
                      <w:bCs/>
                      <w:color w:val="FF0000"/>
                    </w:rPr>
                  </w:pPr>
                </w:p>
              </w:tc>
              <w:tc>
                <w:tcPr>
                  <w:tcW w:w="542" w:type="pct"/>
                  <w:vMerge w:val="continue"/>
                  <w:vAlign w:val="center"/>
                </w:tcPr>
                <w:p>
                  <w:pPr>
                    <w:spacing w:before="120" w:beforeLines="50"/>
                    <w:jc w:val="center"/>
                    <w:rPr>
                      <w:b/>
                      <w:bCs/>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678" w:type="pct"/>
                  <w:vMerge w:val="continue"/>
                  <w:vAlign w:val="center"/>
                </w:tcPr>
                <w:p>
                  <w:pPr>
                    <w:spacing w:before="120" w:beforeLines="50"/>
                    <w:jc w:val="center"/>
                    <w:rPr>
                      <w:b/>
                      <w:bCs/>
                      <w:color w:val="FF0000"/>
                    </w:rPr>
                  </w:pPr>
                </w:p>
              </w:tc>
              <w:tc>
                <w:tcPr>
                  <w:tcW w:w="670" w:type="pct"/>
                  <w:vMerge w:val="continue"/>
                  <w:vAlign w:val="center"/>
                </w:tcPr>
                <w:p>
                  <w:pPr>
                    <w:spacing w:before="120" w:beforeLines="50"/>
                    <w:jc w:val="center"/>
                    <w:rPr>
                      <w:b/>
                      <w:bCs/>
                      <w:color w:val="FF0000"/>
                    </w:rPr>
                  </w:pPr>
                </w:p>
              </w:tc>
              <w:tc>
                <w:tcPr>
                  <w:tcW w:w="751" w:type="pct"/>
                  <w:vAlign w:val="center"/>
                </w:tcPr>
                <w:p>
                  <w:pPr>
                    <w:spacing w:before="120" w:beforeLines="50"/>
                    <w:jc w:val="center"/>
                    <w:rPr>
                      <w:b/>
                      <w:bCs/>
                    </w:rPr>
                  </w:pPr>
                  <w:r>
                    <w:t>2020.07.24</w:t>
                  </w:r>
                </w:p>
              </w:tc>
              <w:tc>
                <w:tcPr>
                  <w:tcW w:w="1089" w:type="pct"/>
                  <w:vAlign w:val="center"/>
                </w:tcPr>
                <w:p>
                  <w:pPr>
                    <w:spacing w:before="120" w:beforeLines="50"/>
                    <w:jc w:val="center"/>
                  </w:pPr>
                  <w:r>
                    <w:t>14:36-次日13:36</w:t>
                  </w:r>
                </w:p>
              </w:tc>
              <w:tc>
                <w:tcPr>
                  <w:tcW w:w="738" w:type="pct"/>
                  <w:vAlign w:val="center"/>
                </w:tcPr>
                <w:p>
                  <w:pPr>
                    <w:spacing w:before="120" w:beforeLines="50"/>
                    <w:jc w:val="center"/>
                  </w:pPr>
                  <w:r>
                    <w:t>0.203</w:t>
                  </w:r>
                </w:p>
              </w:tc>
              <w:tc>
                <w:tcPr>
                  <w:tcW w:w="529" w:type="pct"/>
                  <w:vMerge w:val="continue"/>
                  <w:vAlign w:val="center"/>
                </w:tcPr>
                <w:p>
                  <w:pPr>
                    <w:spacing w:before="120" w:beforeLines="50"/>
                    <w:jc w:val="center"/>
                    <w:rPr>
                      <w:b/>
                      <w:bCs/>
                      <w:color w:val="FF0000"/>
                    </w:rPr>
                  </w:pPr>
                </w:p>
              </w:tc>
              <w:tc>
                <w:tcPr>
                  <w:tcW w:w="542" w:type="pct"/>
                  <w:vMerge w:val="continue"/>
                  <w:vAlign w:val="center"/>
                </w:tcPr>
                <w:p>
                  <w:pPr>
                    <w:spacing w:before="120" w:beforeLines="50"/>
                    <w:jc w:val="center"/>
                    <w:rPr>
                      <w:b/>
                      <w:bCs/>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678" w:type="pct"/>
                  <w:vMerge w:val="continue"/>
                  <w:vAlign w:val="center"/>
                </w:tcPr>
                <w:p>
                  <w:pPr>
                    <w:spacing w:before="120" w:beforeLines="50"/>
                    <w:jc w:val="center"/>
                    <w:rPr>
                      <w:b/>
                      <w:bCs/>
                      <w:color w:val="FF0000"/>
                    </w:rPr>
                  </w:pPr>
                </w:p>
              </w:tc>
              <w:tc>
                <w:tcPr>
                  <w:tcW w:w="670" w:type="pct"/>
                  <w:vMerge w:val="continue"/>
                  <w:vAlign w:val="center"/>
                </w:tcPr>
                <w:p>
                  <w:pPr>
                    <w:spacing w:before="120" w:beforeLines="50"/>
                    <w:jc w:val="center"/>
                    <w:rPr>
                      <w:b/>
                      <w:bCs/>
                      <w:color w:val="FF0000"/>
                    </w:rPr>
                  </w:pPr>
                </w:p>
              </w:tc>
              <w:tc>
                <w:tcPr>
                  <w:tcW w:w="751" w:type="pct"/>
                  <w:vAlign w:val="center"/>
                </w:tcPr>
                <w:p>
                  <w:pPr>
                    <w:spacing w:before="120" w:beforeLines="50"/>
                    <w:jc w:val="center"/>
                    <w:rPr>
                      <w:b/>
                      <w:bCs/>
                    </w:rPr>
                  </w:pPr>
                  <w:r>
                    <w:t>2020.07.25</w:t>
                  </w:r>
                </w:p>
              </w:tc>
              <w:tc>
                <w:tcPr>
                  <w:tcW w:w="1089" w:type="pct"/>
                  <w:vAlign w:val="center"/>
                </w:tcPr>
                <w:p>
                  <w:pPr>
                    <w:spacing w:before="120" w:beforeLines="50"/>
                    <w:jc w:val="center"/>
                  </w:pPr>
                  <w:r>
                    <w:t>13:39-次日13:39</w:t>
                  </w:r>
                </w:p>
              </w:tc>
              <w:tc>
                <w:tcPr>
                  <w:tcW w:w="738" w:type="pct"/>
                  <w:vAlign w:val="center"/>
                </w:tcPr>
                <w:p>
                  <w:pPr>
                    <w:spacing w:before="120" w:beforeLines="50"/>
                    <w:jc w:val="center"/>
                  </w:pPr>
                  <w:r>
                    <w:t>0.190</w:t>
                  </w:r>
                </w:p>
              </w:tc>
              <w:tc>
                <w:tcPr>
                  <w:tcW w:w="529" w:type="pct"/>
                  <w:vMerge w:val="continue"/>
                  <w:vAlign w:val="center"/>
                </w:tcPr>
                <w:p>
                  <w:pPr>
                    <w:spacing w:before="120" w:beforeLines="50"/>
                    <w:jc w:val="center"/>
                    <w:rPr>
                      <w:b/>
                      <w:bCs/>
                      <w:color w:val="FF0000"/>
                    </w:rPr>
                  </w:pPr>
                </w:p>
              </w:tc>
              <w:tc>
                <w:tcPr>
                  <w:tcW w:w="542" w:type="pct"/>
                  <w:vMerge w:val="continue"/>
                  <w:vAlign w:val="center"/>
                </w:tcPr>
                <w:p>
                  <w:pPr>
                    <w:spacing w:before="120" w:beforeLines="50"/>
                    <w:jc w:val="center"/>
                    <w:rPr>
                      <w:b/>
                      <w:bCs/>
                      <w:color w:val="FF000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 w:hRule="atLeast"/>
                <w:jc w:val="center"/>
              </w:trPr>
              <w:tc>
                <w:tcPr>
                  <w:tcW w:w="678" w:type="pct"/>
                  <w:vMerge w:val="continue"/>
                  <w:vAlign w:val="center"/>
                </w:tcPr>
                <w:p>
                  <w:pPr>
                    <w:spacing w:before="120" w:beforeLines="50"/>
                    <w:jc w:val="center"/>
                    <w:rPr>
                      <w:b/>
                      <w:bCs/>
                      <w:color w:val="FF0000"/>
                    </w:rPr>
                  </w:pPr>
                </w:p>
              </w:tc>
              <w:tc>
                <w:tcPr>
                  <w:tcW w:w="670" w:type="pct"/>
                  <w:vMerge w:val="continue"/>
                  <w:vAlign w:val="center"/>
                </w:tcPr>
                <w:p>
                  <w:pPr>
                    <w:spacing w:before="120" w:beforeLines="50"/>
                    <w:jc w:val="center"/>
                    <w:rPr>
                      <w:b/>
                      <w:bCs/>
                      <w:color w:val="FF0000"/>
                    </w:rPr>
                  </w:pPr>
                </w:p>
              </w:tc>
              <w:tc>
                <w:tcPr>
                  <w:tcW w:w="751" w:type="pct"/>
                  <w:vAlign w:val="center"/>
                </w:tcPr>
                <w:p>
                  <w:pPr>
                    <w:spacing w:before="120" w:beforeLines="50"/>
                    <w:jc w:val="center"/>
                    <w:rPr>
                      <w:b/>
                      <w:bCs/>
                    </w:rPr>
                  </w:pPr>
                  <w:r>
                    <w:t>2020.07.26</w:t>
                  </w:r>
                </w:p>
              </w:tc>
              <w:tc>
                <w:tcPr>
                  <w:tcW w:w="1089" w:type="pct"/>
                  <w:vAlign w:val="center"/>
                </w:tcPr>
                <w:p>
                  <w:pPr>
                    <w:spacing w:before="120" w:beforeLines="50"/>
                    <w:jc w:val="center"/>
                  </w:pPr>
                  <w:r>
                    <w:t>13:41-次日13:41</w:t>
                  </w:r>
                </w:p>
              </w:tc>
              <w:tc>
                <w:tcPr>
                  <w:tcW w:w="738" w:type="pct"/>
                  <w:vAlign w:val="center"/>
                </w:tcPr>
                <w:p>
                  <w:pPr>
                    <w:spacing w:before="120" w:beforeLines="50"/>
                    <w:jc w:val="center"/>
                  </w:pPr>
                  <w:r>
                    <w:t>0.202</w:t>
                  </w:r>
                </w:p>
              </w:tc>
              <w:tc>
                <w:tcPr>
                  <w:tcW w:w="529" w:type="pct"/>
                  <w:vMerge w:val="continue"/>
                  <w:vAlign w:val="center"/>
                </w:tcPr>
                <w:p>
                  <w:pPr>
                    <w:spacing w:before="120" w:beforeLines="50"/>
                    <w:jc w:val="center"/>
                    <w:rPr>
                      <w:b/>
                      <w:bCs/>
                      <w:color w:val="FF0000"/>
                    </w:rPr>
                  </w:pPr>
                </w:p>
              </w:tc>
              <w:tc>
                <w:tcPr>
                  <w:tcW w:w="542" w:type="pct"/>
                  <w:vMerge w:val="continue"/>
                  <w:vAlign w:val="center"/>
                </w:tcPr>
                <w:p>
                  <w:pPr>
                    <w:spacing w:before="120" w:beforeLines="50"/>
                    <w:jc w:val="center"/>
                    <w:rPr>
                      <w:b/>
                      <w:bCs/>
                      <w:color w:val="FF0000"/>
                    </w:rPr>
                  </w:pPr>
                </w:p>
              </w:tc>
            </w:tr>
          </w:tbl>
          <w:p>
            <w:pPr>
              <w:spacing w:before="120" w:beforeLines="50"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表3-2 空气监测评价结果</w:t>
            </w:r>
          </w:p>
          <w:tbl>
            <w:tblPr>
              <w:tblStyle w:val="101"/>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3"/>
              <w:gridCol w:w="1040"/>
              <w:gridCol w:w="1303"/>
              <w:gridCol w:w="2122"/>
              <w:gridCol w:w="1466"/>
              <w:gridCol w:w="1147"/>
              <w:gridCol w:w="7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676" w:type="pct"/>
                  <w:vAlign w:val="center"/>
                </w:tcPr>
                <w:p>
                  <w:pPr>
                    <w:jc w:val="center"/>
                  </w:pPr>
                  <w:r>
                    <w:t>监测点</w:t>
                  </w:r>
                </w:p>
              </w:tc>
              <w:tc>
                <w:tcPr>
                  <w:tcW w:w="575" w:type="pct"/>
                  <w:vAlign w:val="center"/>
                </w:tcPr>
                <w:p>
                  <w:pPr>
                    <w:jc w:val="center"/>
                  </w:pPr>
                  <w:r>
                    <w:t>污染物</w:t>
                  </w:r>
                </w:p>
              </w:tc>
              <w:tc>
                <w:tcPr>
                  <w:tcW w:w="720" w:type="pct"/>
                  <w:vAlign w:val="center"/>
                </w:tcPr>
                <w:p>
                  <w:pPr>
                    <w:jc w:val="center"/>
                  </w:pPr>
                  <w:r>
                    <w:t>评价标准（mg/m</w:t>
                  </w:r>
                  <w:r>
                    <w:rPr>
                      <w:vertAlign w:val="superscript"/>
                    </w:rPr>
                    <w:t>3</w:t>
                  </w:r>
                  <w:r>
                    <w:t>）</w:t>
                  </w:r>
                </w:p>
              </w:tc>
              <w:tc>
                <w:tcPr>
                  <w:tcW w:w="1173" w:type="pct"/>
                  <w:vAlign w:val="center"/>
                </w:tcPr>
                <w:p>
                  <w:pPr>
                    <w:jc w:val="center"/>
                  </w:pPr>
                  <w:r>
                    <w:t>8小时均值浓度范围（mg/m</w:t>
                  </w:r>
                  <w:r>
                    <w:rPr>
                      <w:vertAlign w:val="superscript"/>
                    </w:rPr>
                    <w:t>3</w:t>
                  </w:r>
                  <w:r>
                    <w:t>）</w:t>
                  </w:r>
                </w:p>
              </w:tc>
              <w:tc>
                <w:tcPr>
                  <w:tcW w:w="810" w:type="pct"/>
                  <w:vAlign w:val="center"/>
                </w:tcPr>
                <w:p>
                  <w:pPr>
                    <w:jc w:val="center"/>
                  </w:pPr>
                  <w:r>
                    <w:t>24小时均值浓度范围（mg/m</w:t>
                  </w:r>
                  <w:r>
                    <w:rPr>
                      <w:vertAlign w:val="superscript"/>
                    </w:rPr>
                    <w:t>3</w:t>
                  </w:r>
                  <w:r>
                    <w:t>）</w:t>
                  </w:r>
                </w:p>
              </w:tc>
              <w:tc>
                <w:tcPr>
                  <w:tcW w:w="634" w:type="pct"/>
                  <w:vAlign w:val="center"/>
                </w:tcPr>
                <w:p>
                  <w:pPr>
                    <w:jc w:val="center"/>
                  </w:pPr>
                  <w:r>
                    <w:t>最大浓度占标率（%）</w:t>
                  </w:r>
                </w:p>
              </w:tc>
              <w:tc>
                <w:tcPr>
                  <w:tcW w:w="408" w:type="pct"/>
                  <w:vAlign w:val="center"/>
                </w:tcPr>
                <w:p>
                  <w:pPr>
                    <w:jc w:val="center"/>
                  </w:pPr>
                  <w:r>
                    <w:t>达标情况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82" w:hRule="atLeast"/>
                <w:jc w:val="center"/>
              </w:trPr>
              <w:tc>
                <w:tcPr>
                  <w:tcW w:w="676" w:type="pct"/>
                  <w:vMerge w:val="restart"/>
                  <w:vAlign w:val="center"/>
                </w:tcPr>
                <w:p>
                  <w:pPr>
                    <w:jc w:val="center"/>
                  </w:pPr>
                  <w:r>
                    <w:t>G1规划区所在地</w:t>
                  </w:r>
                </w:p>
              </w:tc>
              <w:tc>
                <w:tcPr>
                  <w:tcW w:w="575" w:type="pct"/>
                  <w:vAlign w:val="center"/>
                </w:tcPr>
                <w:p>
                  <w:pPr>
                    <w:jc w:val="center"/>
                  </w:pPr>
                  <w:r>
                    <w:t>TVOC</w:t>
                  </w:r>
                </w:p>
              </w:tc>
              <w:tc>
                <w:tcPr>
                  <w:tcW w:w="720" w:type="pct"/>
                  <w:vAlign w:val="center"/>
                </w:tcPr>
                <w:p>
                  <w:pPr>
                    <w:jc w:val="center"/>
                  </w:pPr>
                  <w:r>
                    <w:t>0.6</w:t>
                  </w:r>
                </w:p>
              </w:tc>
              <w:tc>
                <w:tcPr>
                  <w:tcW w:w="1173" w:type="pct"/>
                  <w:vAlign w:val="center"/>
                </w:tcPr>
                <w:p>
                  <w:pPr>
                    <w:jc w:val="center"/>
                  </w:pPr>
                  <w:r>
                    <w:t>4.79×10</w:t>
                  </w:r>
                  <w:r>
                    <w:rPr>
                      <w:vertAlign w:val="superscript"/>
                    </w:rPr>
                    <w:t>-2</w:t>
                  </w:r>
                  <w:r>
                    <w:t>~1.79×10</w:t>
                  </w:r>
                  <w:r>
                    <w:rPr>
                      <w:vertAlign w:val="superscript"/>
                    </w:rPr>
                    <w:t>-2</w:t>
                  </w:r>
                </w:p>
              </w:tc>
              <w:tc>
                <w:tcPr>
                  <w:tcW w:w="810" w:type="pct"/>
                  <w:vAlign w:val="center"/>
                </w:tcPr>
                <w:p>
                  <w:pPr>
                    <w:jc w:val="center"/>
                  </w:pPr>
                  <w:r>
                    <w:t>/</w:t>
                  </w:r>
                </w:p>
              </w:tc>
              <w:tc>
                <w:tcPr>
                  <w:tcW w:w="634" w:type="pct"/>
                  <w:vAlign w:val="center"/>
                </w:tcPr>
                <w:p>
                  <w:pPr>
                    <w:jc w:val="center"/>
                  </w:pPr>
                  <w:r>
                    <w:t>2.98</w:t>
                  </w:r>
                </w:p>
              </w:tc>
              <w:tc>
                <w:tcPr>
                  <w:tcW w:w="408" w:type="pct"/>
                  <w:vAlign w:val="center"/>
                </w:tcPr>
                <w:p>
                  <w:pPr>
                    <w:jc w:val="center"/>
                  </w:pPr>
                  <w: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676" w:type="pct"/>
                  <w:vMerge w:val="continue"/>
                  <w:vAlign w:val="center"/>
                </w:tcPr>
                <w:p>
                  <w:pPr>
                    <w:jc w:val="center"/>
                  </w:pPr>
                </w:p>
              </w:tc>
              <w:tc>
                <w:tcPr>
                  <w:tcW w:w="575" w:type="pct"/>
                  <w:vAlign w:val="center"/>
                </w:tcPr>
                <w:p>
                  <w:pPr>
                    <w:jc w:val="center"/>
                  </w:pPr>
                  <w:r>
                    <w:t>TSP</w:t>
                  </w:r>
                </w:p>
              </w:tc>
              <w:tc>
                <w:tcPr>
                  <w:tcW w:w="720" w:type="pct"/>
                  <w:vAlign w:val="center"/>
                </w:tcPr>
                <w:p>
                  <w:pPr>
                    <w:jc w:val="center"/>
                  </w:pPr>
                  <w:r>
                    <w:t>0.3</w:t>
                  </w:r>
                </w:p>
              </w:tc>
              <w:tc>
                <w:tcPr>
                  <w:tcW w:w="1173" w:type="pct"/>
                  <w:vAlign w:val="center"/>
                </w:tcPr>
                <w:p>
                  <w:pPr>
                    <w:jc w:val="center"/>
                  </w:pPr>
                  <w:r>
                    <w:t>/</w:t>
                  </w:r>
                </w:p>
              </w:tc>
              <w:tc>
                <w:tcPr>
                  <w:tcW w:w="810" w:type="pct"/>
                  <w:vAlign w:val="center"/>
                </w:tcPr>
                <w:p>
                  <w:pPr>
                    <w:jc w:val="center"/>
                  </w:pPr>
                  <w:r>
                    <w:t>0.187~0.209</w:t>
                  </w:r>
                </w:p>
              </w:tc>
              <w:tc>
                <w:tcPr>
                  <w:tcW w:w="634" w:type="pct"/>
                  <w:vAlign w:val="center"/>
                </w:tcPr>
                <w:p>
                  <w:pPr>
                    <w:jc w:val="center"/>
                  </w:pPr>
                  <w:r>
                    <w:t>69.67</w:t>
                  </w:r>
                </w:p>
              </w:tc>
              <w:tc>
                <w:tcPr>
                  <w:tcW w:w="408" w:type="pct"/>
                  <w:vAlign w:val="center"/>
                </w:tcPr>
                <w:p>
                  <w:pPr>
                    <w:jc w:val="center"/>
                  </w:pPr>
                  <w:r>
                    <w:t>达标</w:t>
                  </w:r>
                </w:p>
              </w:tc>
            </w:tr>
          </w:tbl>
          <w:p>
            <w:pPr>
              <w:numPr>
                <w:ilvl w:val="0"/>
                <w:numId w:val="17"/>
              </w:numPr>
              <w:adjustRightInd w:val="0"/>
              <w:snapToGrid w:val="0"/>
              <w:spacing w:before="120" w:beforeLines="50"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达标性分析</w:t>
            </w:r>
          </w:p>
          <w:p>
            <w:pPr>
              <w:widowControl/>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惠州市环境空气质量功能区划》（2021年修订），本项目所在区域属于环境空气质量二类功能区，执行《环境空气质量标准》（GB3095-2012）及其2108年修改单中的二级标准。根据《2021年惠州市环境质量状况公报》资料显示，项目所在地环境空气中六项基本污染物环境质量均满足《环境空气质量标准》（GB3095-2012）及其2018年修改单中的二级标准的要求，项目所在地为达标区域。由表3-1和表3-2可知，项目评价区域内TSP 24小时均值浓度满足《环境空气质量标准》（GB3095-2012）及其2018年修改单中的二级标准，项目评价区域内TVOC的8小时均值浓度达到《环境影响评价技术导则－大气环境》（HJ2.2-2018）附录D“表D.1其他污染物空气质量浓度参考限值”要求，综上，项目所在区域环境空气质量现状良好，为环境空气质量达标区域。</w:t>
            </w:r>
          </w:p>
          <w:p>
            <w:pPr>
              <w:widowControl/>
              <w:adjustRightInd w:val="0"/>
              <w:snapToGrid w:val="0"/>
              <w:spacing w:line="360" w:lineRule="auto"/>
              <w:ind w:firstLine="422" w:firstLineChars="200"/>
              <w:outlineLvl w:val="0"/>
              <w:rPr>
                <w:b/>
              </w:rPr>
            </w:pPr>
            <w:r>
              <w:rPr>
                <w:b/>
                <w:color w:val="000000" w:themeColor="text1"/>
                <w14:textFill>
                  <w14:solidFill>
                    <w14:schemeClr w14:val="tx1"/>
                  </w14:solidFill>
                </w14:textFill>
              </w:rPr>
              <w:t>2、地表水环境</w:t>
            </w:r>
          </w:p>
          <w:p>
            <w:pPr>
              <w:widowControl/>
              <w:adjustRightInd w:val="0"/>
              <w:snapToGrid w:val="0"/>
              <w:spacing w:line="360" w:lineRule="auto"/>
              <w:ind w:firstLine="420" w:firstLineChars="200"/>
              <w:textAlignment w:val="baseline"/>
              <w:rPr>
                <w:bCs/>
              </w:rPr>
            </w:pPr>
            <w:r>
              <w:rPr>
                <w:bCs/>
              </w:rPr>
              <w:t>项目生活污水</w:t>
            </w:r>
            <w:r>
              <w:t>经三级化粪池预处理后，经市政集污管网</w:t>
            </w:r>
            <w:r>
              <w:rPr>
                <w:bCs/>
              </w:rPr>
              <w:t>排入园洲镇第</w:t>
            </w:r>
            <w:r>
              <w:rPr>
                <w:rFonts w:hint="eastAsia"/>
                <w:bCs/>
              </w:rPr>
              <w:t>三</w:t>
            </w:r>
            <w:r>
              <w:rPr>
                <w:bCs/>
              </w:rPr>
              <w:t>污水处理厂</w:t>
            </w:r>
            <w:r>
              <w:t>处理达标后排入园洲新村排渠，再汇入沙河，最终注入东江</w:t>
            </w:r>
            <w:r>
              <w:rPr>
                <w:bCs/>
              </w:rPr>
              <w:t>。本项目纳污水体为</w:t>
            </w:r>
            <w:r>
              <w:t>园洲新村排渠和沙河</w:t>
            </w:r>
            <w:r>
              <w:rPr>
                <w:bCs/>
              </w:rPr>
              <w:t>，根据《广东省地表水环境功能区划》（粤环〔2011〕14号），</w:t>
            </w:r>
            <w:r>
              <w:t>沙河（显岗水库大坝至博罗石湾段）属于Ⅲ类水功能区</w:t>
            </w:r>
            <w:r>
              <w:rPr>
                <w:bCs/>
              </w:rPr>
              <w:t>，水环境质量执行《地表水环境质量标准》（GB3838-2002）Ⅲ类标准，《广东省地表水功能区划》（粤环〔2011〕14号）中未规定</w:t>
            </w:r>
            <w:r>
              <w:rPr>
                <w:rFonts w:hint="eastAsia"/>
              </w:rPr>
              <w:t>新村排渠</w:t>
            </w:r>
            <w:r>
              <w:rPr>
                <w:bCs/>
              </w:rPr>
              <w:t>的水功能区划，</w:t>
            </w:r>
            <w:r>
              <w:rPr>
                <w:rFonts w:hint="eastAsia" w:hAnsi="宋体"/>
              </w:rPr>
              <w:t>根据博罗县现阶段水体断面水质保护目标，新村</w:t>
            </w:r>
            <w:r>
              <w:rPr>
                <w:rFonts w:hAnsi="宋体"/>
              </w:rPr>
              <w:t>排渠</w:t>
            </w:r>
            <w:r>
              <w:rPr>
                <w:rFonts w:hint="eastAsia" w:hAnsi="宋体"/>
              </w:rPr>
              <w:t>水质保护</w:t>
            </w:r>
            <w:r>
              <w:rPr>
                <w:rFonts w:hAnsi="宋体"/>
              </w:rPr>
              <w:t>目标为</w:t>
            </w:r>
            <w:r>
              <w:t>Ⅴ</w:t>
            </w:r>
            <w:r>
              <w:rPr>
                <w:rFonts w:hint="eastAsia" w:hAnsi="宋体"/>
              </w:rPr>
              <w:t>类</w:t>
            </w:r>
            <w:r>
              <w:rPr>
                <w:rFonts w:hAnsi="宋体"/>
              </w:rPr>
              <w:t>，</w:t>
            </w:r>
            <w:r>
              <w:rPr>
                <w:bCs/>
              </w:rPr>
              <w:t>执行《地表水环境质量标准》（GB3838-2002）Ⅴ类标准。</w:t>
            </w:r>
          </w:p>
          <w:p>
            <w:pPr>
              <w:adjustRightInd w:val="0"/>
              <w:snapToGrid w:val="0"/>
              <w:spacing w:line="360" w:lineRule="auto"/>
              <w:ind w:firstLine="422" w:firstLineChars="200"/>
              <w:rPr>
                <w:b/>
                <w:bCs/>
              </w:rPr>
            </w:pPr>
            <w:r>
              <w:rPr>
                <w:b/>
                <w:bCs/>
              </w:rPr>
              <w:t>（1）纳污水体质量现状</w:t>
            </w:r>
          </w:p>
          <w:p>
            <w:pPr>
              <w:widowControl/>
              <w:adjustRightInd w:val="0"/>
              <w:snapToGrid w:val="0"/>
              <w:spacing w:line="360" w:lineRule="auto"/>
              <w:ind w:firstLine="420" w:firstLineChars="200"/>
              <w:textAlignment w:val="baseline"/>
              <w:rPr>
                <w:bCs/>
                <w:color w:val="000000" w:themeColor="text1"/>
                <w14:textFill>
                  <w14:solidFill>
                    <w14:schemeClr w14:val="tx1"/>
                  </w14:solidFill>
                </w14:textFill>
              </w:rPr>
            </w:pPr>
            <w:r>
              <w:rPr>
                <w:bCs/>
                <w:color w:val="000000" w:themeColor="text1"/>
                <w14:textFill>
                  <w14:solidFill>
                    <w14:schemeClr w14:val="tx1"/>
                  </w14:solidFill>
                </w14:textFill>
              </w:rPr>
              <w:t>本项目纳污水体为</w:t>
            </w:r>
            <w:r>
              <w:rPr>
                <w:color w:val="000000" w:themeColor="text1"/>
                <w14:textFill>
                  <w14:solidFill>
                    <w14:schemeClr w14:val="tx1"/>
                  </w14:solidFill>
                </w14:textFill>
              </w:rPr>
              <w:t>园洲新村排渠和沙河，</w:t>
            </w:r>
            <w:r>
              <w:rPr>
                <w:bCs/>
                <w:color w:val="000000" w:themeColor="text1"/>
                <w14:textFill>
                  <w14:solidFill>
                    <w14:schemeClr w14:val="tx1"/>
                  </w14:solidFill>
                </w14:textFill>
              </w:rPr>
              <w:t>本环评引用《博罗县园洲镇三角电排站工程环境影响报告书》中</w:t>
            </w:r>
            <w:r>
              <w:rPr>
                <w:color w:val="000000" w:themeColor="text1"/>
                <w14:textFill>
                  <w14:solidFill>
                    <w14:schemeClr w14:val="tx1"/>
                  </w14:solidFill>
                </w14:textFill>
              </w:rPr>
              <w:t>委托江门中环检测技术有限公司于2020年1月3日~1月5日对园洲新村排渠、沙河进行监测的报告数据（报告编号：JMZH20200103AHP-09），连续监测3天，每日监测一次。监测断面信息见表3-3，</w:t>
            </w:r>
            <w:r>
              <w:rPr>
                <w:bCs/>
                <w:color w:val="000000" w:themeColor="text1"/>
                <w14:textFill>
                  <w14:solidFill>
                    <w14:schemeClr w14:val="tx1"/>
                  </w14:solidFill>
                </w14:textFill>
              </w:rPr>
              <w:t>具体监测结果见表3-4。</w:t>
            </w:r>
          </w:p>
          <w:p>
            <w:pPr>
              <w:widowControl/>
              <w:adjustRightInd w:val="0"/>
              <w:snapToGrid w:val="0"/>
              <w:spacing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表3-3水质监测断面一览表</w:t>
            </w:r>
          </w:p>
          <w:tbl>
            <w:tblPr>
              <w:tblStyle w:val="10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3003"/>
              <w:gridCol w:w="1866"/>
              <w:gridCol w:w="1694"/>
              <w:gridCol w:w="16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430" w:type="pct"/>
                  <w:vAlign w:val="center"/>
                </w:tcPr>
                <w:p>
                  <w:pPr>
                    <w:pStyle w:val="2"/>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断面编号</w:t>
                  </w:r>
                </w:p>
              </w:tc>
              <w:tc>
                <w:tcPr>
                  <w:tcW w:w="1661" w:type="pct"/>
                  <w:vAlign w:val="center"/>
                </w:tcPr>
                <w:p>
                  <w:pPr>
                    <w:pStyle w:val="2"/>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监测断面</w:t>
                  </w:r>
                </w:p>
              </w:tc>
              <w:tc>
                <w:tcPr>
                  <w:tcW w:w="1032" w:type="pct"/>
                  <w:vAlign w:val="center"/>
                </w:tcPr>
                <w:p>
                  <w:pPr>
                    <w:pStyle w:val="2"/>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所属水域</w:t>
                  </w:r>
                </w:p>
              </w:tc>
              <w:tc>
                <w:tcPr>
                  <w:tcW w:w="937" w:type="pct"/>
                  <w:vAlign w:val="center"/>
                </w:tcPr>
                <w:p>
                  <w:pPr>
                    <w:pStyle w:val="2"/>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水质控制级别</w:t>
                  </w:r>
                </w:p>
              </w:tc>
              <w:tc>
                <w:tcPr>
                  <w:tcW w:w="937" w:type="pct"/>
                  <w:vAlign w:val="center"/>
                </w:tcPr>
                <w:p>
                  <w:pPr>
                    <w:pStyle w:val="2"/>
                    <w:jc w:val="center"/>
                    <w:rPr>
                      <w:rFonts w:ascii="Times New Roman" w:hAnsi="Times New Roman" w:cs="Times New Roman"/>
                      <w:b/>
                      <w:bCs/>
                      <w:color w:val="000000" w:themeColor="text1"/>
                      <w:sz w:val="21"/>
                      <w:szCs w:val="21"/>
                      <w14:textFill>
                        <w14:solidFill>
                          <w14:schemeClr w14:val="tx1"/>
                        </w14:solidFill>
                      </w14:textFill>
                    </w:rPr>
                  </w:pPr>
                  <w:r>
                    <w:rPr>
                      <w:rFonts w:ascii="Times New Roman" w:hAnsi="Times New Roman" w:cs="Times New Roman"/>
                      <w:b/>
                      <w:bCs/>
                      <w:color w:val="000000" w:themeColor="text1"/>
                      <w:sz w:val="21"/>
                      <w:szCs w:val="21"/>
                      <w14:textFill>
                        <w14:solidFill>
                          <w14:schemeClr w14:val="tx1"/>
                        </w14:solidFill>
                      </w14:textFill>
                    </w:rPr>
                    <w:t>检测项目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430"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W1</w:t>
                  </w:r>
                </w:p>
              </w:tc>
              <w:tc>
                <w:tcPr>
                  <w:tcW w:w="1661"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博罗县园洲镇三角电排站工程所在地新村排渠上游 200m 处</w:t>
                  </w:r>
                </w:p>
              </w:tc>
              <w:tc>
                <w:tcPr>
                  <w:tcW w:w="1032"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新村排渠</w:t>
                  </w:r>
                </w:p>
              </w:tc>
              <w:tc>
                <w:tcPr>
                  <w:tcW w:w="937" w:type="pct"/>
                  <w:vMerge w:val="restar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auto"/>
                      <w:sz w:val="21"/>
                      <w:szCs w:val="21"/>
                    </w:rPr>
                    <w:t>Ⅴ类</w:t>
                  </w:r>
                </w:p>
              </w:tc>
              <w:tc>
                <w:tcPr>
                  <w:tcW w:w="937" w:type="pct"/>
                  <w:vMerge w:val="restar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pH、水温、DO、COD</w:t>
                  </w:r>
                  <w:r>
                    <w:rPr>
                      <w:rFonts w:ascii="Times New Roman" w:hAnsi="Times New Roman" w:cs="Times New Roman"/>
                      <w:color w:val="000000" w:themeColor="text1"/>
                      <w:sz w:val="21"/>
                      <w:szCs w:val="21"/>
                      <w:vertAlign w:val="subscript"/>
                      <w14:textFill>
                        <w14:solidFill>
                          <w14:schemeClr w14:val="tx1"/>
                        </w14:solidFill>
                      </w14:textFill>
                    </w:rPr>
                    <w:t>Cr</w:t>
                  </w:r>
                  <w:r>
                    <w:rPr>
                      <w:rFonts w:ascii="Times New Roman" w:hAnsi="Times New Roman" w:cs="Times New Roman"/>
                      <w:color w:val="000000" w:themeColor="text1"/>
                      <w:sz w:val="21"/>
                      <w:szCs w:val="21"/>
                      <w14:textFill>
                        <w14:solidFill>
                          <w14:schemeClr w14:val="tx1"/>
                        </w14:solidFill>
                      </w14:textFill>
                    </w:rPr>
                    <w:t>、BOD5、NH</w:t>
                  </w:r>
                  <w:r>
                    <w:rPr>
                      <w:rFonts w:ascii="Times New Roman" w:hAnsi="Times New Roman" w:cs="Times New Roman"/>
                      <w:color w:val="000000" w:themeColor="text1"/>
                      <w:sz w:val="21"/>
                      <w:szCs w:val="21"/>
                      <w:vertAlign w:val="subscript"/>
                      <w14:textFill>
                        <w14:solidFill>
                          <w14:schemeClr w14:val="tx1"/>
                        </w14:solidFill>
                      </w14:textFill>
                    </w:rPr>
                    <w:t>3</w:t>
                  </w:r>
                  <w:r>
                    <w:rPr>
                      <w:rFonts w:ascii="Times New Roman" w:hAnsi="Times New Roman" w:cs="Times New Roman"/>
                      <w:color w:val="000000" w:themeColor="text1"/>
                      <w:sz w:val="21"/>
                      <w:szCs w:val="21"/>
                      <w14:textFill>
                        <w14:solidFill>
                          <w14:schemeClr w14:val="tx1"/>
                        </w14:solidFill>
                      </w14:textFill>
                    </w:rPr>
                    <w:t>-N、TP、TN、石油类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5" w:hRule="atLeast"/>
                <w:jc w:val="center"/>
              </w:trPr>
              <w:tc>
                <w:tcPr>
                  <w:tcW w:w="430"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W2</w:t>
                  </w:r>
                </w:p>
              </w:tc>
              <w:tc>
                <w:tcPr>
                  <w:tcW w:w="1661"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博罗县园洲镇三角电排站工程所在地新村排渠下游 1000m 处</w:t>
                  </w:r>
                </w:p>
              </w:tc>
              <w:tc>
                <w:tcPr>
                  <w:tcW w:w="1032"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新村排渠</w:t>
                  </w:r>
                </w:p>
              </w:tc>
              <w:tc>
                <w:tcPr>
                  <w:tcW w:w="937" w:type="pct"/>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937" w:type="pct"/>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6" w:hRule="atLeast"/>
                <w:jc w:val="center"/>
              </w:trPr>
              <w:tc>
                <w:tcPr>
                  <w:tcW w:w="430"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W5</w:t>
                  </w:r>
                </w:p>
              </w:tc>
              <w:tc>
                <w:tcPr>
                  <w:tcW w:w="1661"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沙河（与新村排渠交界上游 500 米）</w:t>
                  </w:r>
                </w:p>
              </w:tc>
              <w:tc>
                <w:tcPr>
                  <w:tcW w:w="1032"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沙河</w:t>
                  </w:r>
                </w:p>
              </w:tc>
              <w:tc>
                <w:tcPr>
                  <w:tcW w:w="937" w:type="pct"/>
                  <w:vMerge w:val="restar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Ⅲ类</w:t>
                  </w:r>
                </w:p>
              </w:tc>
              <w:tc>
                <w:tcPr>
                  <w:tcW w:w="937" w:type="pct"/>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jc w:val="center"/>
              </w:trPr>
              <w:tc>
                <w:tcPr>
                  <w:tcW w:w="430"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W6</w:t>
                  </w:r>
                </w:p>
              </w:tc>
              <w:tc>
                <w:tcPr>
                  <w:tcW w:w="1661"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沙河（与新村排渠交界下游 500 米）</w:t>
                  </w:r>
                </w:p>
              </w:tc>
              <w:tc>
                <w:tcPr>
                  <w:tcW w:w="1032" w:type="pct"/>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r>
                    <w:rPr>
                      <w:rFonts w:ascii="Times New Roman" w:hAnsi="Times New Roman" w:cs="Times New Roman"/>
                      <w:color w:val="000000" w:themeColor="text1"/>
                      <w:sz w:val="21"/>
                      <w:szCs w:val="21"/>
                      <w14:textFill>
                        <w14:solidFill>
                          <w14:schemeClr w14:val="tx1"/>
                        </w14:solidFill>
                      </w14:textFill>
                    </w:rPr>
                    <w:t>沙河</w:t>
                  </w:r>
                </w:p>
              </w:tc>
              <w:tc>
                <w:tcPr>
                  <w:tcW w:w="937" w:type="pct"/>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c>
                <w:tcPr>
                  <w:tcW w:w="937" w:type="pct"/>
                  <w:vMerge w:val="continue"/>
                  <w:vAlign w:val="center"/>
                </w:tcPr>
                <w:p>
                  <w:pPr>
                    <w:pStyle w:val="2"/>
                    <w:jc w:val="center"/>
                    <w:rPr>
                      <w:rFonts w:ascii="Times New Roman" w:hAnsi="Times New Roman" w:cs="Times New Roman"/>
                      <w:color w:val="000000" w:themeColor="text1"/>
                      <w:sz w:val="21"/>
                      <w:szCs w:val="21"/>
                      <w14:textFill>
                        <w14:solidFill>
                          <w14:schemeClr w14:val="tx1"/>
                        </w14:solidFill>
                      </w14:textFill>
                    </w:rPr>
                  </w:pPr>
                </w:p>
              </w:tc>
            </w:tr>
          </w:tbl>
          <w:p>
            <w:pPr>
              <w:widowControl/>
              <w:spacing w:before="120" w:beforeLines="50" w:line="360" w:lineRule="auto"/>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表3-4 水质现状监测数据</w:t>
            </w:r>
          </w:p>
          <w:tbl>
            <w:tblPr>
              <w:tblStyle w:val="100"/>
              <w:tblW w:w="4999" w:type="pct"/>
              <w:jc w:val="center"/>
              <w:tblLayout w:type="autofit"/>
              <w:tblCellMar>
                <w:top w:w="0" w:type="dxa"/>
                <w:left w:w="10" w:type="dxa"/>
                <w:bottom w:w="0" w:type="dxa"/>
                <w:right w:w="10" w:type="dxa"/>
              </w:tblCellMar>
            </w:tblPr>
            <w:tblGrid>
              <w:gridCol w:w="708"/>
              <w:gridCol w:w="1377"/>
              <w:gridCol w:w="1043"/>
              <w:gridCol w:w="923"/>
              <w:gridCol w:w="854"/>
              <w:gridCol w:w="798"/>
              <w:gridCol w:w="700"/>
              <w:gridCol w:w="751"/>
              <w:gridCol w:w="755"/>
              <w:gridCol w:w="559"/>
              <w:gridCol w:w="580"/>
            </w:tblGrid>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测点编号</w:t>
                  </w:r>
                </w:p>
              </w:tc>
              <w:tc>
                <w:tcPr>
                  <w:tcW w:w="761" w:type="pct"/>
                  <w:vMerge w:val="restart"/>
                  <w:tcBorders>
                    <w:top w:val="single" w:color="auto" w:sz="4" w:space="0"/>
                    <w:lef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采样时间</w:t>
                  </w:r>
                </w:p>
              </w:tc>
              <w:tc>
                <w:tcPr>
                  <w:tcW w:w="3847" w:type="pct"/>
                  <w:gridSpan w:val="9"/>
                  <w:tcBorders>
                    <w:top w:val="single" w:color="auto" w:sz="4" w:space="0"/>
                    <w:left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检测结果监测项目及监测结果（mg/L，pH 为无量纲、注明除外）</w:t>
                  </w:r>
                </w:p>
              </w:tc>
            </w:tr>
            <w:tr>
              <w:tblPrEx>
                <w:tblCellMar>
                  <w:top w:w="0" w:type="dxa"/>
                  <w:left w:w="10" w:type="dxa"/>
                  <w:bottom w:w="0" w:type="dxa"/>
                  <w:right w:w="10" w:type="dxa"/>
                </w:tblCellMar>
              </w:tblPrEx>
              <w:trPr>
                <w:jc w:val="center"/>
              </w:trPr>
              <w:tc>
                <w:tcPr>
                  <w:tcW w:w="391" w:type="pct"/>
                  <w:vMerge w:val="continue"/>
                  <w:tcBorders>
                    <w:left w:val="single" w:color="auto" w:sz="4" w:space="0"/>
                    <w:bottom w:val="single" w:color="000000" w:sz="4" w:space="0"/>
                  </w:tcBorders>
                  <w:vAlign w:val="center"/>
                </w:tcPr>
                <w:p>
                  <w:pPr>
                    <w:jc w:val="center"/>
                    <w:rPr>
                      <w:b/>
                      <w:color w:val="000000" w:themeColor="text1"/>
                      <w14:textFill>
                        <w14:solidFill>
                          <w14:schemeClr w14:val="tx1"/>
                        </w14:solidFill>
                      </w14:textFill>
                    </w:rPr>
                  </w:pPr>
                </w:p>
              </w:tc>
              <w:tc>
                <w:tcPr>
                  <w:tcW w:w="761" w:type="pct"/>
                  <w:vMerge w:val="continue"/>
                  <w:tcBorders>
                    <w:left w:val="single" w:color="auto" w:sz="4" w:space="0"/>
                    <w:bottom w:val="single" w:color="000000" w:sz="4" w:space="0"/>
                  </w:tcBorders>
                  <w:vAlign w:val="center"/>
                </w:tcPr>
                <w:p>
                  <w:pPr>
                    <w:jc w:val="center"/>
                    <w:rPr>
                      <w:b/>
                      <w:color w:val="000000" w:themeColor="text1"/>
                      <w14:textFill>
                        <w14:solidFill>
                          <w14:schemeClr w14:val="tx1"/>
                        </w14:solidFill>
                      </w14:textFill>
                    </w:rPr>
                  </w:pPr>
                </w:p>
              </w:tc>
              <w:tc>
                <w:tcPr>
                  <w:tcW w:w="576" w:type="pct"/>
                  <w:tcBorders>
                    <w:top w:val="single" w:color="auto" w:sz="4" w:space="0"/>
                    <w:left w:val="single" w:color="auto" w:sz="4" w:space="0"/>
                    <w:bottom w:val="single" w:color="000000" w:sz="4" w:space="0"/>
                  </w:tcBorders>
                  <w:vAlign w:val="center"/>
                </w:tcPr>
                <w:p>
                  <w:pPr>
                    <w:jc w:val="center"/>
                    <w:rPr>
                      <w:bCs/>
                      <w:color w:val="000000" w:themeColor="text1"/>
                      <w:lang w:eastAsia="en-US"/>
                      <w14:textFill>
                        <w14:solidFill>
                          <w14:schemeClr w14:val="tx1"/>
                        </w14:solidFill>
                      </w14:textFill>
                    </w:rPr>
                  </w:pPr>
                  <w:r>
                    <w:rPr>
                      <w:bCs/>
                      <w:color w:val="000000" w:themeColor="text1"/>
                      <w:lang w:eastAsia="en-US"/>
                      <w14:textFill>
                        <w14:solidFill>
                          <w14:schemeClr w14:val="tx1"/>
                        </w14:solidFill>
                      </w14:textFill>
                    </w:rPr>
                    <w:t>水温（℃）</w:t>
                  </w:r>
                </w:p>
              </w:tc>
              <w:tc>
                <w:tcPr>
                  <w:tcW w:w="510" w:type="pct"/>
                  <w:tcBorders>
                    <w:top w:val="single" w:color="auto" w:sz="4" w:space="0"/>
                    <w:left w:val="single" w:color="auto" w:sz="4" w:space="0"/>
                    <w:bottom w:val="single" w:color="000000" w:sz="4" w:space="0"/>
                  </w:tcBorders>
                  <w:vAlign w:val="center"/>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pH值</w:t>
                  </w:r>
                </w:p>
              </w:tc>
              <w:tc>
                <w:tcPr>
                  <w:tcW w:w="472" w:type="pct"/>
                  <w:tcBorders>
                    <w:top w:val="single" w:color="auto" w:sz="4" w:space="0"/>
                    <w:left w:val="single" w:color="auto" w:sz="4" w:space="0"/>
                    <w:bottom w:val="single" w:color="000000" w:sz="4" w:space="0"/>
                  </w:tcBorders>
                  <w:vAlign w:val="center"/>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COD</w:t>
                  </w:r>
                  <w:r>
                    <w:rPr>
                      <w:bCs/>
                      <w:color w:val="000000" w:themeColor="text1"/>
                      <w:vertAlign w:val="subscript"/>
                      <w14:textFill>
                        <w14:solidFill>
                          <w14:schemeClr w14:val="tx1"/>
                        </w14:solidFill>
                      </w14:textFill>
                    </w:rPr>
                    <w:t>Cr</w:t>
                  </w:r>
                </w:p>
              </w:tc>
              <w:tc>
                <w:tcPr>
                  <w:tcW w:w="441" w:type="pct"/>
                  <w:tcBorders>
                    <w:top w:val="single" w:color="auto" w:sz="4" w:space="0"/>
                    <w:left w:val="single" w:color="auto" w:sz="4" w:space="0"/>
                    <w:bottom w:val="single" w:color="000000" w:sz="4" w:space="0"/>
                  </w:tcBorders>
                  <w:vAlign w:val="center"/>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BOD</w:t>
                  </w:r>
                  <w:r>
                    <w:rPr>
                      <w:bCs/>
                      <w:color w:val="000000" w:themeColor="text1"/>
                      <w:vertAlign w:val="subscript"/>
                      <w14:textFill>
                        <w14:solidFill>
                          <w14:schemeClr w14:val="tx1"/>
                        </w14:solidFill>
                      </w14:textFill>
                    </w:rPr>
                    <w:t>5</w:t>
                  </w:r>
                </w:p>
              </w:tc>
              <w:tc>
                <w:tcPr>
                  <w:tcW w:w="387" w:type="pct"/>
                  <w:tcBorders>
                    <w:top w:val="single" w:color="auto" w:sz="4" w:space="0"/>
                    <w:left w:val="single" w:color="auto" w:sz="4" w:space="0"/>
                    <w:bottom w:val="single" w:color="000000" w:sz="4" w:space="0"/>
                  </w:tcBorders>
                  <w:vAlign w:val="center"/>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氨氮</w:t>
                  </w:r>
                </w:p>
              </w:tc>
              <w:tc>
                <w:tcPr>
                  <w:tcW w:w="415" w:type="pct"/>
                  <w:tcBorders>
                    <w:top w:val="single" w:color="auto" w:sz="4" w:space="0"/>
                    <w:left w:val="single" w:color="auto" w:sz="4" w:space="0"/>
                    <w:bottom w:val="single" w:color="000000"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溶解氧</w:t>
                  </w:r>
                </w:p>
              </w:tc>
              <w:tc>
                <w:tcPr>
                  <w:tcW w:w="417" w:type="pct"/>
                  <w:tcBorders>
                    <w:top w:val="single" w:color="auto" w:sz="4" w:space="0"/>
                    <w:left w:val="single" w:color="auto" w:sz="4" w:space="0"/>
                    <w:bottom w:val="single" w:color="000000"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石油类</w:t>
                  </w:r>
                </w:p>
              </w:tc>
              <w:tc>
                <w:tcPr>
                  <w:tcW w:w="309" w:type="pct"/>
                  <w:tcBorders>
                    <w:top w:val="single" w:color="auto" w:sz="4" w:space="0"/>
                    <w:left w:val="single" w:color="auto" w:sz="4" w:space="0"/>
                    <w:bottom w:val="single" w:color="000000"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总磷</w:t>
                  </w:r>
                </w:p>
              </w:tc>
              <w:tc>
                <w:tcPr>
                  <w:tcW w:w="315" w:type="pct"/>
                  <w:tcBorders>
                    <w:top w:val="single" w:color="auto" w:sz="4" w:space="0"/>
                    <w:left w:val="single" w:color="auto" w:sz="4" w:space="0"/>
                    <w:bottom w:val="single" w:color="000000"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总氮</w:t>
                  </w:r>
                </w:p>
              </w:tc>
            </w:tr>
            <w:tr>
              <w:tblPrEx>
                <w:tblCellMar>
                  <w:top w:w="0" w:type="dxa"/>
                  <w:left w:w="10" w:type="dxa"/>
                  <w:bottom w:w="0" w:type="dxa"/>
                  <w:right w:w="10" w:type="dxa"/>
                </w:tblCellMar>
              </w:tblPrEx>
              <w:trPr>
                <w:jc w:val="center"/>
              </w:trPr>
              <w:tc>
                <w:tcPr>
                  <w:tcW w:w="391" w:type="pct"/>
                  <w:vMerge w:val="restart"/>
                  <w:tcBorders>
                    <w:top w:val="single" w:color="000000" w:sz="4" w:space="0"/>
                    <w:left w:val="single" w:color="000000" w:sz="4" w:space="0"/>
                    <w:bottom w:val="single" w:color="000000" w:sz="4" w:space="0"/>
                    <w:righ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W1</w:t>
                  </w:r>
                </w:p>
              </w:tc>
              <w:tc>
                <w:tcPr>
                  <w:tcW w:w="761" w:type="pct"/>
                  <w:tcBorders>
                    <w:top w:val="single" w:color="000000" w:sz="4" w:space="0"/>
                    <w:left w:val="single" w:color="000000" w:sz="4" w:space="0"/>
                    <w:bottom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2020.1.3</w:t>
                  </w:r>
                </w:p>
              </w:tc>
              <w:tc>
                <w:tcPr>
                  <w:tcW w:w="576"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17.5</w:t>
                  </w:r>
                </w:p>
              </w:tc>
              <w:tc>
                <w:tcPr>
                  <w:tcW w:w="510"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6.86</w:t>
                  </w:r>
                </w:p>
              </w:tc>
              <w:tc>
                <w:tcPr>
                  <w:tcW w:w="472"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26</w:t>
                  </w:r>
                </w:p>
              </w:tc>
              <w:tc>
                <w:tcPr>
                  <w:tcW w:w="441"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6.4</w:t>
                  </w:r>
                </w:p>
              </w:tc>
              <w:tc>
                <w:tcPr>
                  <w:tcW w:w="387"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2.01</w:t>
                  </w:r>
                </w:p>
              </w:tc>
              <w:tc>
                <w:tcPr>
                  <w:tcW w:w="415"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4.1</w:t>
                  </w:r>
                </w:p>
              </w:tc>
              <w:tc>
                <w:tcPr>
                  <w:tcW w:w="417"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0.02</w:t>
                  </w:r>
                </w:p>
              </w:tc>
              <w:tc>
                <w:tcPr>
                  <w:tcW w:w="309" w:type="pct"/>
                  <w:tcBorders>
                    <w:top w:val="single" w:color="000000" w:sz="4" w:space="0"/>
                    <w:left w:val="single" w:color="auto" w:sz="4" w:space="0"/>
                    <w:bottom w:val="single" w:color="000000" w:sz="4" w:space="0"/>
                    <w:righ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0.14</w:t>
                  </w:r>
                </w:p>
              </w:tc>
              <w:tc>
                <w:tcPr>
                  <w:tcW w:w="315" w:type="pct"/>
                  <w:tcBorders>
                    <w:top w:val="single" w:color="000000" w:sz="4" w:space="0"/>
                    <w:left w:val="single" w:color="auto" w:sz="4" w:space="0"/>
                    <w:bottom w:val="single" w:color="000000" w:sz="4" w:space="0"/>
                    <w:righ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7.09</w:t>
                  </w:r>
                </w:p>
              </w:tc>
            </w:tr>
            <w:tr>
              <w:tblPrEx>
                <w:tblCellMar>
                  <w:top w:w="0" w:type="dxa"/>
                  <w:left w:w="10" w:type="dxa"/>
                  <w:bottom w:w="0" w:type="dxa"/>
                  <w:right w:w="10" w:type="dxa"/>
                </w:tblCellMar>
              </w:tblPrEx>
              <w:trPr>
                <w:jc w:val="center"/>
              </w:trPr>
              <w:tc>
                <w:tcPr>
                  <w:tcW w:w="391" w:type="pct"/>
                  <w:vMerge w:val="continue"/>
                  <w:tcBorders>
                    <w:top w:val="single" w:color="000000" w:sz="4" w:space="0"/>
                    <w:left w:val="single" w:color="000000" w:sz="4" w:space="0"/>
                    <w:right w:val="single" w:color="000000" w:sz="4" w:space="0"/>
                  </w:tcBorders>
                  <w:vAlign w:val="center"/>
                </w:tcPr>
                <w:p>
                  <w:pPr>
                    <w:jc w:val="center"/>
                    <w:rPr>
                      <w:color w:val="000000" w:themeColor="text1"/>
                      <w14:textFill>
                        <w14:solidFill>
                          <w14:schemeClr w14:val="tx1"/>
                        </w14:solidFill>
                      </w14:textFill>
                    </w:rPr>
                  </w:pPr>
                </w:p>
              </w:tc>
              <w:tc>
                <w:tcPr>
                  <w:tcW w:w="761" w:type="pct"/>
                  <w:tcBorders>
                    <w:top w:val="single" w:color="000000" w:sz="4" w:space="0"/>
                    <w:lef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2020.1.4</w:t>
                  </w:r>
                </w:p>
              </w:tc>
              <w:tc>
                <w:tcPr>
                  <w:tcW w:w="576" w:type="pct"/>
                  <w:tcBorders>
                    <w:top w:val="single" w:color="000000"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17.2</w:t>
                  </w:r>
                </w:p>
              </w:tc>
              <w:tc>
                <w:tcPr>
                  <w:tcW w:w="510" w:type="pct"/>
                  <w:tcBorders>
                    <w:top w:val="single" w:color="000000"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6.91</w:t>
                  </w:r>
                </w:p>
              </w:tc>
              <w:tc>
                <w:tcPr>
                  <w:tcW w:w="472" w:type="pct"/>
                  <w:tcBorders>
                    <w:top w:val="single" w:color="000000"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28</w:t>
                  </w:r>
                </w:p>
              </w:tc>
              <w:tc>
                <w:tcPr>
                  <w:tcW w:w="441" w:type="pct"/>
                  <w:tcBorders>
                    <w:top w:val="single" w:color="000000"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6.6</w:t>
                  </w:r>
                </w:p>
              </w:tc>
              <w:tc>
                <w:tcPr>
                  <w:tcW w:w="387" w:type="pct"/>
                  <w:tcBorders>
                    <w:top w:val="single" w:color="000000"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1.93</w:t>
                  </w:r>
                </w:p>
              </w:tc>
              <w:tc>
                <w:tcPr>
                  <w:tcW w:w="415" w:type="pct"/>
                  <w:tcBorders>
                    <w:top w:val="single" w:color="000000"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4.9</w:t>
                  </w:r>
                </w:p>
              </w:tc>
              <w:tc>
                <w:tcPr>
                  <w:tcW w:w="417" w:type="pct"/>
                  <w:tcBorders>
                    <w:top w:val="single" w:color="000000"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0.04</w:t>
                  </w:r>
                </w:p>
              </w:tc>
              <w:tc>
                <w:tcPr>
                  <w:tcW w:w="309" w:type="pct"/>
                  <w:tcBorders>
                    <w:top w:val="single" w:color="000000"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0.12</w:t>
                  </w:r>
                </w:p>
              </w:tc>
              <w:tc>
                <w:tcPr>
                  <w:tcW w:w="315" w:type="pct"/>
                  <w:tcBorders>
                    <w:top w:val="single" w:color="000000"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6.96</w:t>
                  </w:r>
                </w:p>
              </w:tc>
            </w:tr>
            <w:tr>
              <w:tblPrEx>
                <w:tblCellMar>
                  <w:top w:w="0" w:type="dxa"/>
                  <w:left w:w="10" w:type="dxa"/>
                  <w:bottom w:w="0" w:type="dxa"/>
                  <w:right w:w="10" w:type="dxa"/>
                </w:tblCellMar>
              </w:tblPrEx>
              <w:trPr>
                <w:jc w:val="center"/>
              </w:trPr>
              <w:tc>
                <w:tcPr>
                  <w:tcW w:w="391" w:type="pct"/>
                  <w:vMerge w:val="continue"/>
                  <w:tcBorders>
                    <w:left w:val="single" w:color="000000" w:sz="4" w:space="0"/>
                    <w:bottom w:val="single" w:color="auto" w:sz="4" w:space="0"/>
                    <w:right w:val="single" w:color="000000"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2020.1.5</w:t>
                  </w:r>
                </w:p>
              </w:tc>
              <w:tc>
                <w:tcPr>
                  <w:tcW w:w="576"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18.1</w:t>
                  </w:r>
                </w:p>
              </w:tc>
              <w:tc>
                <w:tcPr>
                  <w:tcW w:w="510"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6.83</w:t>
                  </w:r>
                </w:p>
              </w:tc>
              <w:tc>
                <w:tcPr>
                  <w:tcW w:w="472"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27</w:t>
                  </w:r>
                </w:p>
              </w:tc>
              <w:tc>
                <w:tcPr>
                  <w:tcW w:w="441"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6.7</w:t>
                  </w:r>
                </w:p>
              </w:tc>
              <w:tc>
                <w:tcPr>
                  <w:tcW w:w="387"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2.17</w:t>
                  </w:r>
                </w:p>
              </w:tc>
              <w:tc>
                <w:tcPr>
                  <w:tcW w:w="415"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4.5</w:t>
                  </w:r>
                </w:p>
              </w:tc>
              <w:tc>
                <w:tcPr>
                  <w:tcW w:w="417"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0.03</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0.13</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7.14</w:t>
                  </w:r>
                </w:p>
              </w:tc>
            </w:tr>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W2</w:t>
                  </w: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2020.1.3</w:t>
                  </w:r>
                </w:p>
              </w:tc>
              <w:tc>
                <w:tcPr>
                  <w:tcW w:w="576"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18.2</w:t>
                  </w:r>
                </w:p>
              </w:tc>
              <w:tc>
                <w:tcPr>
                  <w:tcW w:w="510"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6.84</w:t>
                  </w:r>
                </w:p>
              </w:tc>
              <w:tc>
                <w:tcPr>
                  <w:tcW w:w="472"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34</w:t>
                  </w:r>
                </w:p>
              </w:tc>
              <w:tc>
                <w:tcPr>
                  <w:tcW w:w="441"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7.2</w:t>
                  </w:r>
                </w:p>
              </w:tc>
              <w:tc>
                <w:tcPr>
                  <w:tcW w:w="387"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2.15</w:t>
                  </w:r>
                </w:p>
              </w:tc>
              <w:tc>
                <w:tcPr>
                  <w:tcW w:w="415"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4.2</w:t>
                  </w:r>
                </w:p>
              </w:tc>
              <w:tc>
                <w:tcPr>
                  <w:tcW w:w="417"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0.03</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0.18</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7.21</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2020.1.4</w:t>
                  </w:r>
                </w:p>
              </w:tc>
              <w:tc>
                <w:tcPr>
                  <w:tcW w:w="576"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18.5</w:t>
                  </w:r>
                </w:p>
              </w:tc>
              <w:tc>
                <w:tcPr>
                  <w:tcW w:w="510"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6.75</w:t>
                  </w:r>
                </w:p>
              </w:tc>
              <w:tc>
                <w:tcPr>
                  <w:tcW w:w="472"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29</w:t>
                  </w:r>
                </w:p>
              </w:tc>
              <w:tc>
                <w:tcPr>
                  <w:tcW w:w="441"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6.8</w:t>
                  </w:r>
                </w:p>
              </w:tc>
              <w:tc>
                <w:tcPr>
                  <w:tcW w:w="387"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2.31</w:t>
                  </w:r>
                </w:p>
              </w:tc>
              <w:tc>
                <w:tcPr>
                  <w:tcW w:w="415"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3.9</w:t>
                  </w:r>
                </w:p>
              </w:tc>
              <w:tc>
                <w:tcPr>
                  <w:tcW w:w="417"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0.05</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0.14</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6.95</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2020.1.5</w:t>
                  </w:r>
                </w:p>
              </w:tc>
              <w:tc>
                <w:tcPr>
                  <w:tcW w:w="576"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18.1</w:t>
                  </w:r>
                </w:p>
              </w:tc>
              <w:tc>
                <w:tcPr>
                  <w:tcW w:w="510"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6.81</w:t>
                  </w:r>
                </w:p>
              </w:tc>
              <w:tc>
                <w:tcPr>
                  <w:tcW w:w="472"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27</w:t>
                  </w:r>
                </w:p>
              </w:tc>
              <w:tc>
                <w:tcPr>
                  <w:tcW w:w="441"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7.0</w:t>
                  </w:r>
                </w:p>
              </w:tc>
              <w:tc>
                <w:tcPr>
                  <w:tcW w:w="387"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1.97</w:t>
                  </w:r>
                </w:p>
              </w:tc>
              <w:tc>
                <w:tcPr>
                  <w:tcW w:w="415"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4.1</w:t>
                  </w:r>
                </w:p>
              </w:tc>
              <w:tc>
                <w:tcPr>
                  <w:tcW w:w="417"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0.06</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0.17</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7.02</w:t>
                  </w:r>
                </w:p>
              </w:tc>
            </w:tr>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W5</w:t>
                  </w: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2020.1.3</w:t>
                  </w:r>
                </w:p>
              </w:tc>
              <w:tc>
                <w:tcPr>
                  <w:tcW w:w="576"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16.5</w:t>
                  </w:r>
                </w:p>
              </w:tc>
              <w:tc>
                <w:tcPr>
                  <w:tcW w:w="510"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7.09</w:t>
                  </w:r>
                </w:p>
              </w:tc>
              <w:tc>
                <w:tcPr>
                  <w:tcW w:w="472"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14</w:t>
                  </w:r>
                </w:p>
              </w:tc>
              <w:tc>
                <w:tcPr>
                  <w:tcW w:w="441"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2.3</w:t>
                  </w:r>
                </w:p>
              </w:tc>
              <w:tc>
                <w:tcPr>
                  <w:tcW w:w="387"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0.194</w:t>
                  </w:r>
                </w:p>
              </w:tc>
              <w:tc>
                <w:tcPr>
                  <w:tcW w:w="415"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6.1</w:t>
                  </w:r>
                </w:p>
              </w:tc>
              <w:tc>
                <w:tcPr>
                  <w:tcW w:w="417" w:type="pct"/>
                  <w:tcBorders>
                    <w:top w:val="single" w:color="auto" w:sz="4" w:space="0"/>
                    <w:left w:val="single" w:color="auto" w:sz="4" w:space="0"/>
                  </w:tcBorders>
                  <w:vAlign w:val="center"/>
                </w:tcPr>
                <w:p>
                  <w:pPr>
                    <w:autoSpaceDE w:val="0"/>
                    <w:autoSpaceDN w:val="0"/>
                    <w:spacing w:line="300" w:lineRule="exact"/>
                    <w:ind w:left="34"/>
                    <w:jc w:val="center"/>
                    <w:rPr>
                      <w:color w:val="000000" w:themeColor="text1"/>
                      <w14:textFill>
                        <w14:solidFill>
                          <w14:schemeClr w14:val="tx1"/>
                        </w14:solidFill>
                      </w14:textFill>
                    </w:rPr>
                  </w:pPr>
                  <w:r>
                    <w:rPr>
                      <w:color w:val="000000" w:themeColor="text1"/>
                      <w14:textFill>
                        <w14:solidFill>
                          <w14:schemeClr w14:val="tx1"/>
                        </w14:solidFill>
                      </w14:textFill>
                    </w:rPr>
                    <w:t>ND</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0.06</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0.76</w:t>
                  </w:r>
                </w:p>
              </w:tc>
            </w:tr>
            <w:tr>
              <w:tblPrEx>
                <w:tblCellMar>
                  <w:top w:w="0" w:type="dxa"/>
                  <w:left w:w="10" w:type="dxa"/>
                  <w:bottom w:w="0" w:type="dxa"/>
                  <w:right w:w="10" w:type="dxa"/>
                </w:tblCellMar>
              </w:tblPrEx>
              <w:trPr>
                <w:trHeight w:val="171" w:hRule="atLeast"/>
                <w:jc w:val="center"/>
              </w:trPr>
              <w:tc>
                <w:tcPr>
                  <w:tcW w:w="391" w:type="pct"/>
                  <w:vMerge w:val="continue"/>
                  <w:tcBorders>
                    <w:left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2020.1.4</w:t>
                  </w:r>
                </w:p>
              </w:tc>
              <w:tc>
                <w:tcPr>
                  <w:tcW w:w="576"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17.1</w:t>
                  </w:r>
                </w:p>
              </w:tc>
              <w:tc>
                <w:tcPr>
                  <w:tcW w:w="510"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7.12</w:t>
                  </w:r>
                </w:p>
              </w:tc>
              <w:tc>
                <w:tcPr>
                  <w:tcW w:w="472"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16</w:t>
                  </w:r>
                </w:p>
              </w:tc>
              <w:tc>
                <w:tcPr>
                  <w:tcW w:w="441"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2.6</w:t>
                  </w:r>
                </w:p>
              </w:tc>
              <w:tc>
                <w:tcPr>
                  <w:tcW w:w="387"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0.208</w:t>
                  </w:r>
                </w:p>
              </w:tc>
              <w:tc>
                <w:tcPr>
                  <w:tcW w:w="415" w:type="pct"/>
                  <w:tcBorders>
                    <w:top w:val="single" w:color="auto" w:sz="4" w:space="0"/>
                    <w:left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5.9</w:t>
                  </w:r>
                </w:p>
              </w:tc>
              <w:tc>
                <w:tcPr>
                  <w:tcW w:w="417"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ND</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0.08</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0.81</w:t>
                  </w:r>
                </w:p>
              </w:tc>
            </w:tr>
            <w:tr>
              <w:tblPrEx>
                <w:tblCellMar>
                  <w:top w:w="0" w:type="dxa"/>
                  <w:left w:w="10" w:type="dxa"/>
                  <w:bottom w:w="0" w:type="dxa"/>
                  <w:right w:w="10" w:type="dxa"/>
                </w:tblCellMar>
              </w:tblPrEx>
              <w:trPr>
                <w:jc w:val="center"/>
              </w:trPr>
              <w:tc>
                <w:tcPr>
                  <w:tcW w:w="391" w:type="pct"/>
                  <w:vMerge w:val="continue"/>
                  <w:tcBorders>
                    <w:left w:val="single" w:color="auto" w:sz="4" w:space="0"/>
                    <w:bottom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2020.1.5</w:t>
                  </w:r>
                </w:p>
              </w:tc>
              <w:tc>
                <w:tcPr>
                  <w:tcW w:w="576"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16.8</w:t>
                  </w:r>
                </w:p>
              </w:tc>
              <w:tc>
                <w:tcPr>
                  <w:tcW w:w="510"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7.16</w:t>
                  </w:r>
                </w:p>
              </w:tc>
              <w:tc>
                <w:tcPr>
                  <w:tcW w:w="472"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13</w:t>
                  </w:r>
                </w:p>
              </w:tc>
              <w:tc>
                <w:tcPr>
                  <w:tcW w:w="441"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2.1</w:t>
                  </w:r>
                </w:p>
              </w:tc>
              <w:tc>
                <w:tcPr>
                  <w:tcW w:w="387"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0.212</w:t>
                  </w:r>
                </w:p>
              </w:tc>
              <w:tc>
                <w:tcPr>
                  <w:tcW w:w="415"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5.7</w:t>
                  </w:r>
                </w:p>
              </w:tc>
              <w:tc>
                <w:tcPr>
                  <w:tcW w:w="417"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ND</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0.07</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0.79</w:t>
                  </w:r>
                </w:p>
              </w:tc>
            </w:tr>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W6</w:t>
                  </w: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2020.1.3</w:t>
                  </w:r>
                </w:p>
              </w:tc>
              <w:tc>
                <w:tcPr>
                  <w:tcW w:w="576"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17.5</w:t>
                  </w:r>
                </w:p>
              </w:tc>
              <w:tc>
                <w:tcPr>
                  <w:tcW w:w="510"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7.16</w:t>
                  </w:r>
                </w:p>
              </w:tc>
              <w:tc>
                <w:tcPr>
                  <w:tcW w:w="472"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441"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2.3</w:t>
                  </w:r>
                </w:p>
              </w:tc>
              <w:tc>
                <w:tcPr>
                  <w:tcW w:w="387"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0.247</w:t>
                  </w:r>
                </w:p>
              </w:tc>
              <w:tc>
                <w:tcPr>
                  <w:tcW w:w="415" w:type="pct"/>
                  <w:tcBorders>
                    <w:top w:val="single" w:color="auto" w:sz="4" w:space="0"/>
                    <w:lef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5.3</w:t>
                  </w:r>
                </w:p>
              </w:tc>
              <w:tc>
                <w:tcPr>
                  <w:tcW w:w="417"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ND</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0.08</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0.86</w:t>
                  </w:r>
                </w:p>
              </w:tc>
            </w:tr>
            <w:tr>
              <w:tblPrEx>
                <w:tblCellMar>
                  <w:top w:w="0" w:type="dxa"/>
                  <w:left w:w="10" w:type="dxa"/>
                  <w:bottom w:w="0" w:type="dxa"/>
                  <w:right w:w="10" w:type="dxa"/>
                </w:tblCellMar>
              </w:tblPrEx>
              <w:trPr>
                <w:jc w:val="center"/>
              </w:trPr>
              <w:tc>
                <w:tcPr>
                  <w:tcW w:w="391" w:type="pct"/>
                  <w:vMerge w:val="continue"/>
                  <w:tcBorders>
                    <w:left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2020.1.4</w:t>
                  </w:r>
                </w:p>
              </w:tc>
              <w:tc>
                <w:tcPr>
                  <w:tcW w:w="576" w:type="pct"/>
                  <w:tcBorders>
                    <w:top w:val="single" w:color="auto" w:sz="4" w:space="0"/>
                    <w:left w:val="single" w:color="auto" w:sz="4" w:space="0"/>
                    <w:bottom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18.1</w:t>
                  </w:r>
                </w:p>
              </w:tc>
              <w:tc>
                <w:tcPr>
                  <w:tcW w:w="510" w:type="pct"/>
                  <w:tcBorders>
                    <w:top w:val="single" w:color="auto" w:sz="4" w:space="0"/>
                    <w:left w:val="single" w:color="auto" w:sz="4" w:space="0"/>
                    <w:bottom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7.21</w:t>
                  </w:r>
                </w:p>
              </w:tc>
              <w:tc>
                <w:tcPr>
                  <w:tcW w:w="472" w:type="pct"/>
                  <w:tcBorders>
                    <w:top w:val="single" w:color="auto" w:sz="4" w:space="0"/>
                    <w:left w:val="single" w:color="auto" w:sz="4" w:space="0"/>
                    <w:bottom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13</w:t>
                  </w:r>
                </w:p>
              </w:tc>
              <w:tc>
                <w:tcPr>
                  <w:tcW w:w="441" w:type="pct"/>
                  <w:tcBorders>
                    <w:top w:val="single" w:color="auto" w:sz="4" w:space="0"/>
                    <w:left w:val="single" w:color="auto" w:sz="4" w:space="0"/>
                    <w:bottom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2.1</w:t>
                  </w:r>
                </w:p>
              </w:tc>
              <w:tc>
                <w:tcPr>
                  <w:tcW w:w="387" w:type="pct"/>
                  <w:tcBorders>
                    <w:top w:val="single" w:color="auto" w:sz="4" w:space="0"/>
                    <w:left w:val="single" w:color="auto" w:sz="4" w:space="0"/>
                    <w:bottom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0.261</w:t>
                  </w:r>
                </w:p>
              </w:tc>
              <w:tc>
                <w:tcPr>
                  <w:tcW w:w="415" w:type="pct"/>
                  <w:tcBorders>
                    <w:top w:val="single" w:color="auto" w:sz="4" w:space="0"/>
                    <w:left w:val="single" w:color="auto" w:sz="4" w:space="0"/>
                    <w:bottom w:val="single" w:color="auto" w:sz="4" w:space="0"/>
                  </w:tcBorders>
                  <w:vAlign w:val="center"/>
                </w:tcPr>
                <w:p>
                  <w:pPr>
                    <w:autoSpaceDE w:val="0"/>
                    <w:autoSpaceDN w:val="0"/>
                    <w:spacing w:line="298" w:lineRule="exact"/>
                    <w:jc w:val="center"/>
                    <w:rPr>
                      <w:color w:val="000000" w:themeColor="text1"/>
                      <w14:textFill>
                        <w14:solidFill>
                          <w14:schemeClr w14:val="tx1"/>
                        </w14:solidFill>
                      </w14:textFill>
                    </w:rPr>
                  </w:pPr>
                  <w:r>
                    <w:rPr>
                      <w:color w:val="000000" w:themeColor="text1"/>
                      <w14:textFill>
                        <w14:solidFill>
                          <w14:schemeClr w14:val="tx1"/>
                        </w14:solidFill>
                      </w14:textFill>
                    </w:rPr>
                    <w:t>5.5</w:t>
                  </w:r>
                </w:p>
              </w:tc>
              <w:tc>
                <w:tcPr>
                  <w:tcW w:w="417" w:type="pct"/>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ND</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0.06</w:t>
                  </w:r>
                </w:p>
              </w:tc>
              <w:tc>
                <w:tcPr>
                  <w:tcW w:w="315"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0.91</w:t>
                  </w:r>
                </w:p>
              </w:tc>
            </w:tr>
            <w:tr>
              <w:tblPrEx>
                <w:tblCellMar>
                  <w:top w:w="0" w:type="dxa"/>
                  <w:left w:w="10" w:type="dxa"/>
                  <w:bottom w:w="0" w:type="dxa"/>
                  <w:right w:w="10" w:type="dxa"/>
                </w:tblCellMar>
              </w:tblPrEx>
              <w:trPr>
                <w:jc w:val="center"/>
              </w:trPr>
              <w:tc>
                <w:tcPr>
                  <w:tcW w:w="391" w:type="pct"/>
                  <w:vMerge w:val="continue"/>
                  <w:tcBorders>
                    <w:left w:val="single" w:color="auto" w:sz="4" w:space="0"/>
                    <w:bottom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2020.1.5</w:t>
                  </w:r>
                </w:p>
              </w:tc>
              <w:tc>
                <w:tcPr>
                  <w:tcW w:w="576"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16.9</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7.18</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16</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2.5</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0.255</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300" w:lineRule="exact"/>
                    <w:jc w:val="center"/>
                    <w:rPr>
                      <w:color w:val="000000" w:themeColor="text1"/>
                      <w14:textFill>
                        <w14:solidFill>
                          <w14:schemeClr w14:val="tx1"/>
                        </w14:solidFill>
                      </w14:textFill>
                    </w:rPr>
                  </w:pPr>
                  <w:r>
                    <w:rPr>
                      <w:color w:val="000000" w:themeColor="text1"/>
                      <w14:textFill>
                        <w14:solidFill>
                          <w14:schemeClr w14:val="tx1"/>
                        </w14:solidFill>
                      </w14:textFill>
                    </w:rPr>
                    <w:t>5.8</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ND</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0.09</w:t>
                  </w:r>
                </w:p>
              </w:tc>
              <w:tc>
                <w:tcPr>
                  <w:tcW w:w="315"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0.88</w:t>
                  </w:r>
                </w:p>
              </w:tc>
            </w:tr>
          </w:tbl>
          <w:p>
            <w:pPr>
              <w:spacing w:before="120" w:beforeLines="50" w:after="120" w:afterLines="50"/>
              <w:jc w:val="center"/>
              <w:rPr>
                <w:b/>
                <w:bCs/>
                <w:color w:val="000000" w:themeColor="text1"/>
                <w14:textFill>
                  <w14:solidFill>
                    <w14:schemeClr w14:val="tx1"/>
                  </w14:solidFill>
                </w14:textFill>
              </w:rPr>
            </w:pPr>
            <w:r>
              <w:rPr>
                <w:b/>
                <w:bCs/>
                <w:color w:val="000000" w:themeColor="text1"/>
                <w14:textFill>
                  <w14:solidFill>
                    <w14:schemeClr w14:val="tx1"/>
                  </w14:solidFill>
                </w14:textFill>
              </w:rPr>
              <w:t>表3-5 水质监测评价指数</w:t>
            </w:r>
          </w:p>
          <w:tbl>
            <w:tblPr>
              <w:tblStyle w:val="100"/>
              <w:tblW w:w="4999" w:type="pct"/>
              <w:jc w:val="center"/>
              <w:tblLayout w:type="autofit"/>
              <w:tblCellMar>
                <w:top w:w="0" w:type="dxa"/>
                <w:left w:w="10" w:type="dxa"/>
                <w:bottom w:w="0" w:type="dxa"/>
                <w:right w:w="10" w:type="dxa"/>
              </w:tblCellMar>
            </w:tblPr>
            <w:tblGrid>
              <w:gridCol w:w="708"/>
              <w:gridCol w:w="1377"/>
              <w:gridCol w:w="1043"/>
              <w:gridCol w:w="923"/>
              <w:gridCol w:w="854"/>
              <w:gridCol w:w="798"/>
              <w:gridCol w:w="700"/>
              <w:gridCol w:w="751"/>
              <w:gridCol w:w="755"/>
              <w:gridCol w:w="559"/>
              <w:gridCol w:w="580"/>
            </w:tblGrid>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测点编号</w:t>
                  </w:r>
                </w:p>
              </w:tc>
              <w:tc>
                <w:tcPr>
                  <w:tcW w:w="761" w:type="pct"/>
                  <w:vMerge w:val="restart"/>
                  <w:tcBorders>
                    <w:top w:val="single" w:color="auto" w:sz="4" w:space="0"/>
                    <w:lef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指标</w:t>
                  </w:r>
                </w:p>
              </w:tc>
              <w:tc>
                <w:tcPr>
                  <w:tcW w:w="3847" w:type="pct"/>
                  <w:gridSpan w:val="9"/>
                  <w:tcBorders>
                    <w:top w:val="single" w:color="auto" w:sz="4" w:space="0"/>
                    <w:left w:val="single" w:color="auto" w:sz="4" w:space="0"/>
                    <w:right w:val="single" w:color="auto" w:sz="4" w:space="0"/>
                  </w:tcBorders>
                  <w:vAlign w:val="center"/>
                </w:tcPr>
                <w:p>
                  <w:pPr>
                    <w:jc w:val="center"/>
                    <w:rPr>
                      <w:b/>
                      <w:color w:val="000000" w:themeColor="text1"/>
                      <w14:textFill>
                        <w14:solidFill>
                          <w14:schemeClr w14:val="tx1"/>
                        </w14:solidFill>
                      </w14:textFill>
                    </w:rPr>
                  </w:pPr>
                  <w:r>
                    <w:rPr>
                      <w:b/>
                      <w:color w:val="000000" w:themeColor="text1"/>
                      <w14:textFill>
                        <w14:solidFill>
                          <w14:schemeClr w14:val="tx1"/>
                        </w14:solidFill>
                      </w14:textFill>
                    </w:rPr>
                    <w:t>检测结果监测项目及监测结果（mg/L，pH 为无量纲、注明除外）</w:t>
                  </w:r>
                </w:p>
              </w:tc>
            </w:tr>
            <w:tr>
              <w:tblPrEx>
                <w:tblCellMar>
                  <w:top w:w="0" w:type="dxa"/>
                  <w:left w:w="10" w:type="dxa"/>
                  <w:bottom w:w="0" w:type="dxa"/>
                  <w:right w:w="10" w:type="dxa"/>
                </w:tblCellMar>
              </w:tblPrEx>
              <w:trPr>
                <w:jc w:val="center"/>
              </w:trPr>
              <w:tc>
                <w:tcPr>
                  <w:tcW w:w="391" w:type="pct"/>
                  <w:vMerge w:val="continue"/>
                  <w:tcBorders>
                    <w:left w:val="single" w:color="auto" w:sz="4" w:space="0"/>
                    <w:bottom w:val="single" w:color="000000" w:sz="4" w:space="0"/>
                  </w:tcBorders>
                  <w:vAlign w:val="center"/>
                </w:tcPr>
                <w:p>
                  <w:pPr>
                    <w:jc w:val="center"/>
                    <w:rPr>
                      <w:b/>
                      <w:color w:val="000000" w:themeColor="text1"/>
                      <w14:textFill>
                        <w14:solidFill>
                          <w14:schemeClr w14:val="tx1"/>
                        </w14:solidFill>
                      </w14:textFill>
                    </w:rPr>
                  </w:pPr>
                </w:p>
              </w:tc>
              <w:tc>
                <w:tcPr>
                  <w:tcW w:w="761" w:type="pct"/>
                  <w:vMerge w:val="continue"/>
                  <w:tcBorders>
                    <w:left w:val="single" w:color="auto" w:sz="4" w:space="0"/>
                    <w:bottom w:val="single" w:color="000000" w:sz="4" w:space="0"/>
                  </w:tcBorders>
                  <w:vAlign w:val="center"/>
                </w:tcPr>
                <w:p>
                  <w:pPr>
                    <w:jc w:val="center"/>
                    <w:rPr>
                      <w:b/>
                      <w:color w:val="000000" w:themeColor="text1"/>
                      <w14:textFill>
                        <w14:solidFill>
                          <w14:schemeClr w14:val="tx1"/>
                        </w14:solidFill>
                      </w14:textFill>
                    </w:rPr>
                  </w:pPr>
                </w:p>
              </w:tc>
              <w:tc>
                <w:tcPr>
                  <w:tcW w:w="576" w:type="pct"/>
                  <w:tcBorders>
                    <w:top w:val="single" w:color="auto" w:sz="4" w:space="0"/>
                    <w:left w:val="single" w:color="auto" w:sz="4" w:space="0"/>
                    <w:bottom w:val="single" w:color="000000" w:sz="4" w:space="0"/>
                  </w:tcBorders>
                  <w:vAlign w:val="center"/>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水温（℃）</w:t>
                  </w:r>
                </w:p>
              </w:tc>
              <w:tc>
                <w:tcPr>
                  <w:tcW w:w="510" w:type="pct"/>
                  <w:tcBorders>
                    <w:top w:val="single" w:color="auto" w:sz="4" w:space="0"/>
                    <w:left w:val="single" w:color="auto" w:sz="4" w:space="0"/>
                    <w:bottom w:val="single" w:color="000000" w:sz="4" w:space="0"/>
                  </w:tcBorders>
                  <w:vAlign w:val="center"/>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pH值</w:t>
                  </w:r>
                </w:p>
              </w:tc>
              <w:tc>
                <w:tcPr>
                  <w:tcW w:w="472" w:type="pct"/>
                  <w:tcBorders>
                    <w:top w:val="single" w:color="auto" w:sz="4" w:space="0"/>
                    <w:left w:val="single" w:color="auto" w:sz="4" w:space="0"/>
                    <w:bottom w:val="single" w:color="000000" w:sz="4" w:space="0"/>
                  </w:tcBorders>
                  <w:vAlign w:val="center"/>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COD</w:t>
                  </w:r>
                  <w:r>
                    <w:rPr>
                      <w:bCs/>
                      <w:color w:val="000000" w:themeColor="text1"/>
                      <w:vertAlign w:val="subscript"/>
                      <w14:textFill>
                        <w14:solidFill>
                          <w14:schemeClr w14:val="tx1"/>
                        </w14:solidFill>
                      </w14:textFill>
                    </w:rPr>
                    <w:t>Cr</w:t>
                  </w:r>
                </w:p>
              </w:tc>
              <w:tc>
                <w:tcPr>
                  <w:tcW w:w="441" w:type="pct"/>
                  <w:tcBorders>
                    <w:top w:val="single" w:color="auto" w:sz="4" w:space="0"/>
                    <w:left w:val="single" w:color="auto" w:sz="4" w:space="0"/>
                    <w:bottom w:val="single" w:color="000000" w:sz="4" w:space="0"/>
                  </w:tcBorders>
                  <w:vAlign w:val="center"/>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BOD</w:t>
                  </w:r>
                  <w:r>
                    <w:rPr>
                      <w:bCs/>
                      <w:color w:val="000000" w:themeColor="text1"/>
                      <w:vertAlign w:val="subscript"/>
                      <w14:textFill>
                        <w14:solidFill>
                          <w14:schemeClr w14:val="tx1"/>
                        </w14:solidFill>
                      </w14:textFill>
                    </w:rPr>
                    <w:t>5</w:t>
                  </w:r>
                </w:p>
              </w:tc>
              <w:tc>
                <w:tcPr>
                  <w:tcW w:w="387" w:type="pct"/>
                  <w:tcBorders>
                    <w:top w:val="single" w:color="auto" w:sz="4" w:space="0"/>
                    <w:left w:val="single" w:color="auto" w:sz="4" w:space="0"/>
                    <w:bottom w:val="single" w:color="000000" w:sz="4" w:space="0"/>
                  </w:tcBorders>
                  <w:vAlign w:val="center"/>
                </w:tcPr>
                <w:p>
                  <w:pPr>
                    <w:jc w:val="center"/>
                    <w:rPr>
                      <w:bCs/>
                      <w:color w:val="000000" w:themeColor="text1"/>
                      <w14:textFill>
                        <w14:solidFill>
                          <w14:schemeClr w14:val="tx1"/>
                        </w14:solidFill>
                      </w14:textFill>
                    </w:rPr>
                  </w:pPr>
                  <w:r>
                    <w:rPr>
                      <w:bCs/>
                      <w:color w:val="000000" w:themeColor="text1"/>
                      <w14:textFill>
                        <w14:solidFill>
                          <w14:schemeClr w14:val="tx1"/>
                        </w14:solidFill>
                      </w14:textFill>
                    </w:rPr>
                    <w:t>氨氮</w:t>
                  </w:r>
                </w:p>
              </w:tc>
              <w:tc>
                <w:tcPr>
                  <w:tcW w:w="415" w:type="pct"/>
                  <w:tcBorders>
                    <w:top w:val="single" w:color="auto" w:sz="4" w:space="0"/>
                    <w:left w:val="single" w:color="auto" w:sz="4" w:space="0"/>
                    <w:bottom w:val="single" w:color="000000"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溶解氧</w:t>
                  </w:r>
                </w:p>
              </w:tc>
              <w:tc>
                <w:tcPr>
                  <w:tcW w:w="417" w:type="pct"/>
                  <w:tcBorders>
                    <w:top w:val="single" w:color="auto" w:sz="4" w:space="0"/>
                    <w:left w:val="single" w:color="auto" w:sz="4" w:space="0"/>
                    <w:bottom w:val="single" w:color="000000"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石油类</w:t>
                  </w:r>
                </w:p>
              </w:tc>
              <w:tc>
                <w:tcPr>
                  <w:tcW w:w="309" w:type="pct"/>
                  <w:tcBorders>
                    <w:top w:val="single" w:color="auto" w:sz="4" w:space="0"/>
                    <w:left w:val="single" w:color="auto" w:sz="4" w:space="0"/>
                    <w:bottom w:val="single" w:color="000000"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总磷</w:t>
                  </w:r>
                </w:p>
              </w:tc>
              <w:tc>
                <w:tcPr>
                  <w:tcW w:w="315" w:type="pct"/>
                  <w:tcBorders>
                    <w:top w:val="single" w:color="auto" w:sz="4" w:space="0"/>
                    <w:left w:val="single" w:color="auto" w:sz="4" w:space="0"/>
                    <w:bottom w:val="single" w:color="000000"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总氮</w:t>
                  </w:r>
                </w:p>
              </w:tc>
            </w:tr>
            <w:tr>
              <w:tblPrEx>
                <w:tblCellMar>
                  <w:top w:w="0" w:type="dxa"/>
                  <w:left w:w="10" w:type="dxa"/>
                  <w:bottom w:w="0" w:type="dxa"/>
                  <w:right w:w="10" w:type="dxa"/>
                </w:tblCellMar>
              </w:tblPrEx>
              <w:trPr>
                <w:jc w:val="center"/>
              </w:trPr>
              <w:tc>
                <w:tcPr>
                  <w:tcW w:w="391" w:type="pct"/>
                  <w:vMerge w:val="restart"/>
                  <w:tcBorders>
                    <w:top w:val="single" w:color="000000" w:sz="4" w:space="0"/>
                    <w:left w:val="single" w:color="000000" w:sz="4" w:space="0"/>
                    <w:righ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W1</w:t>
                  </w:r>
                </w:p>
              </w:tc>
              <w:tc>
                <w:tcPr>
                  <w:tcW w:w="761" w:type="pct"/>
                  <w:tcBorders>
                    <w:top w:val="single" w:color="000000" w:sz="4" w:space="0"/>
                    <w:left w:val="single" w:color="000000" w:sz="4" w:space="0"/>
                    <w:bottom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平均值</w:t>
                  </w:r>
                </w:p>
              </w:tc>
              <w:tc>
                <w:tcPr>
                  <w:tcW w:w="576" w:type="pct"/>
                  <w:tcBorders>
                    <w:top w:val="single" w:color="000000" w:sz="4" w:space="0"/>
                    <w:left w:val="single" w:color="auto" w:sz="4" w:space="0"/>
                    <w:bottom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17.6</w:t>
                  </w:r>
                </w:p>
              </w:tc>
              <w:tc>
                <w:tcPr>
                  <w:tcW w:w="510" w:type="pct"/>
                  <w:tcBorders>
                    <w:top w:val="single" w:color="000000" w:sz="4" w:space="0"/>
                    <w:left w:val="single" w:color="auto" w:sz="4" w:space="0"/>
                    <w:bottom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6.87</w:t>
                  </w:r>
                </w:p>
              </w:tc>
              <w:tc>
                <w:tcPr>
                  <w:tcW w:w="472" w:type="pct"/>
                  <w:tcBorders>
                    <w:top w:val="single" w:color="000000" w:sz="4" w:space="0"/>
                    <w:left w:val="single" w:color="auto" w:sz="4" w:space="0"/>
                    <w:bottom w:val="single" w:color="000000" w:sz="4" w:space="0"/>
                  </w:tcBorders>
                  <w:vAlign w:val="center"/>
                </w:tcPr>
                <w:p>
                  <w:pPr>
                    <w:autoSpaceDE w:val="0"/>
                    <w:autoSpaceDN w:val="0"/>
                    <w:spacing w:line="218" w:lineRule="exact"/>
                    <w:ind w:left="77"/>
                    <w:jc w:val="center"/>
                    <w:rPr>
                      <w:color w:val="000000" w:themeColor="text1"/>
                      <w14:textFill>
                        <w14:solidFill>
                          <w14:schemeClr w14:val="tx1"/>
                        </w14:solidFill>
                      </w14:textFill>
                    </w:rPr>
                  </w:pPr>
                  <w:r>
                    <w:rPr>
                      <w:color w:val="000000" w:themeColor="text1"/>
                      <w14:textFill>
                        <w14:solidFill>
                          <w14:schemeClr w14:val="tx1"/>
                        </w14:solidFill>
                      </w14:textFill>
                    </w:rPr>
                    <w:t>27</w:t>
                  </w:r>
                </w:p>
              </w:tc>
              <w:tc>
                <w:tcPr>
                  <w:tcW w:w="441"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6.6</w:t>
                  </w:r>
                </w:p>
              </w:tc>
              <w:tc>
                <w:tcPr>
                  <w:tcW w:w="387"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2.04</w:t>
                  </w:r>
                </w:p>
              </w:tc>
              <w:tc>
                <w:tcPr>
                  <w:tcW w:w="415"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4.5</w:t>
                  </w:r>
                </w:p>
              </w:tc>
              <w:tc>
                <w:tcPr>
                  <w:tcW w:w="417" w:type="pct"/>
                  <w:tcBorders>
                    <w:top w:val="single" w:color="000000" w:sz="4" w:space="0"/>
                    <w:left w:val="single" w:color="auto" w:sz="4" w:space="0"/>
                    <w:bottom w:val="single" w:color="000000"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0.03</w:t>
                  </w:r>
                </w:p>
              </w:tc>
              <w:tc>
                <w:tcPr>
                  <w:tcW w:w="309" w:type="pct"/>
                  <w:tcBorders>
                    <w:top w:val="single" w:color="000000" w:sz="4" w:space="0"/>
                    <w:left w:val="single" w:color="auto" w:sz="4" w:space="0"/>
                    <w:bottom w:val="single" w:color="000000" w:sz="4" w:space="0"/>
                    <w:righ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0.13</w:t>
                  </w:r>
                </w:p>
              </w:tc>
              <w:tc>
                <w:tcPr>
                  <w:tcW w:w="315" w:type="pct"/>
                  <w:tcBorders>
                    <w:top w:val="single" w:color="000000" w:sz="4" w:space="0"/>
                    <w:left w:val="single" w:color="auto" w:sz="4" w:space="0"/>
                    <w:bottom w:val="single" w:color="000000" w:sz="4" w:space="0"/>
                    <w:righ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7.06</w:t>
                  </w:r>
                </w:p>
              </w:tc>
            </w:tr>
            <w:tr>
              <w:tblPrEx>
                <w:tblCellMar>
                  <w:top w:w="0" w:type="dxa"/>
                  <w:left w:w="10" w:type="dxa"/>
                  <w:bottom w:w="0" w:type="dxa"/>
                  <w:right w:w="10" w:type="dxa"/>
                </w:tblCellMar>
              </w:tblPrEx>
              <w:trPr>
                <w:jc w:val="center"/>
              </w:trPr>
              <w:tc>
                <w:tcPr>
                  <w:tcW w:w="391" w:type="pct"/>
                  <w:vMerge w:val="continue"/>
                  <w:tcBorders>
                    <w:left w:val="single" w:color="000000" w:sz="4" w:space="0"/>
                    <w:right w:val="single" w:color="000000" w:sz="4" w:space="0"/>
                  </w:tcBorders>
                  <w:vAlign w:val="center"/>
                </w:tcPr>
                <w:p>
                  <w:pPr>
                    <w:jc w:val="center"/>
                    <w:rPr>
                      <w:color w:val="000000" w:themeColor="text1"/>
                      <w14:textFill>
                        <w14:solidFill>
                          <w14:schemeClr w14:val="tx1"/>
                        </w14:solidFill>
                      </w14:textFill>
                    </w:rPr>
                  </w:pPr>
                </w:p>
              </w:tc>
              <w:tc>
                <w:tcPr>
                  <w:tcW w:w="761" w:type="pct"/>
                  <w:tcBorders>
                    <w:top w:val="single" w:color="000000" w:sz="4" w:space="0"/>
                    <w:lef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标准值</w:t>
                  </w:r>
                </w:p>
              </w:tc>
              <w:tc>
                <w:tcPr>
                  <w:tcW w:w="576" w:type="pct"/>
                  <w:tcBorders>
                    <w:top w:val="single" w:color="000000"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510" w:type="pct"/>
                  <w:tcBorders>
                    <w:top w:val="single" w:color="000000"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6~9</w:t>
                  </w:r>
                </w:p>
              </w:tc>
              <w:tc>
                <w:tcPr>
                  <w:tcW w:w="472" w:type="pct"/>
                  <w:tcBorders>
                    <w:top w:val="single" w:color="000000" w:sz="4" w:space="0"/>
                    <w:left w:val="single" w:color="auto" w:sz="4" w:space="0"/>
                  </w:tcBorders>
                  <w:vAlign w:val="center"/>
                </w:tcPr>
                <w:p>
                  <w:pPr>
                    <w:autoSpaceDE w:val="0"/>
                    <w:autoSpaceDN w:val="0"/>
                    <w:spacing w:line="288" w:lineRule="exact"/>
                    <w:ind w:left="77"/>
                    <w:jc w:val="center"/>
                    <w:rPr>
                      <w:color w:val="000000" w:themeColor="text1"/>
                      <w14:textFill>
                        <w14:solidFill>
                          <w14:schemeClr w14:val="tx1"/>
                        </w14:solidFill>
                      </w14:textFill>
                    </w:rPr>
                  </w:pPr>
                  <w:r>
                    <w:rPr>
                      <w:color w:val="000000" w:themeColor="text1"/>
                      <w14:textFill>
                        <w14:solidFill>
                          <w14:schemeClr w14:val="tx1"/>
                        </w14:solidFill>
                      </w14:textFill>
                    </w:rPr>
                    <w:t>30</w:t>
                  </w:r>
                </w:p>
              </w:tc>
              <w:tc>
                <w:tcPr>
                  <w:tcW w:w="441" w:type="pct"/>
                  <w:tcBorders>
                    <w:top w:val="single" w:color="000000" w:sz="4" w:space="0"/>
                    <w:left w:val="single" w:color="auto" w:sz="4" w:space="0"/>
                  </w:tcBorders>
                  <w:vAlign w:val="center"/>
                </w:tcPr>
                <w:p>
                  <w:pPr>
                    <w:autoSpaceDE w:val="0"/>
                    <w:autoSpaceDN w:val="0"/>
                    <w:spacing w:line="288" w:lineRule="exact"/>
                    <w:ind w:left="77"/>
                    <w:jc w:val="center"/>
                    <w:rPr>
                      <w:color w:val="000000" w:themeColor="text1"/>
                      <w14:textFill>
                        <w14:solidFill>
                          <w14:schemeClr w14:val="tx1"/>
                        </w14:solidFill>
                      </w14:textFill>
                    </w:rPr>
                  </w:pPr>
                  <w:r>
                    <w:rPr>
                      <w:color w:val="000000" w:themeColor="text1"/>
                      <w14:textFill>
                        <w14:solidFill>
                          <w14:schemeClr w14:val="tx1"/>
                        </w14:solidFill>
                      </w14:textFill>
                    </w:rPr>
                    <w:t>6</w:t>
                  </w:r>
                </w:p>
              </w:tc>
              <w:tc>
                <w:tcPr>
                  <w:tcW w:w="387" w:type="pct"/>
                  <w:tcBorders>
                    <w:top w:val="single" w:color="000000" w:sz="4" w:space="0"/>
                    <w:left w:val="single" w:color="auto" w:sz="4" w:space="0"/>
                  </w:tcBorders>
                  <w:vAlign w:val="center"/>
                </w:tcPr>
                <w:p>
                  <w:pPr>
                    <w:autoSpaceDE w:val="0"/>
                    <w:autoSpaceDN w:val="0"/>
                    <w:spacing w:line="288" w:lineRule="exact"/>
                    <w:ind w:left="53"/>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415" w:type="pct"/>
                  <w:tcBorders>
                    <w:top w:val="single" w:color="000000" w:sz="4" w:space="0"/>
                    <w:left w:val="single" w:color="auto" w:sz="4" w:space="0"/>
                  </w:tcBorders>
                  <w:vAlign w:val="center"/>
                </w:tcPr>
                <w:p>
                  <w:pPr>
                    <w:autoSpaceDE w:val="0"/>
                    <w:autoSpaceDN w:val="0"/>
                    <w:spacing w:line="288" w:lineRule="exact"/>
                    <w:ind w:left="79"/>
                    <w:jc w:val="center"/>
                    <w:rPr>
                      <w:color w:val="000000" w:themeColor="text1"/>
                      <w14:textFill>
                        <w14:solidFill>
                          <w14:schemeClr w14:val="tx1"/>
                        </w14:solidFill>
                      </w14:textFill>
                    </w:rPr>
                  </w:pPr>
                  <w:r>
                    <w:rPr>
                      <w:color w:val="000000" w:themeColor="text1"/>
                      <w14:textFill>
                        <w14:solidFill>
                          <w14:schemeClr w14:val="tx1"/>
                        </w14:solidFill>
                      </w14:textFill>
                    </w:rPr>
                    <w:t>3</w:t>
                  </w:r>
                </w:p>
              </w:tc>
              <w:tc>
                <w:tcPr>
                  <w:tcW w:w="417" w:type="pct"/>
                  <w:tcBorders>
                    <w:top w:val="single" w:color="000000" w:sz="4" w:space="0"/>
                    <w:left w:val="single" w:color="auto" w:sz="4" w:space="0"/>
                  </w:tcBorders>
                  <w:vAlign w:val="center"/>
                </w:tcPr>
                <w:p>
                  <w:pPr>
                    <w:autoSpaceDE w:val="0"/>
                    <w:autoSpaceDN w:val="0"/>
                    <w:spacing w:line="288" w:lineRule="exact"/>
                    <w:ind w:left="50"/>
                    <w:jc w:val="center"/>
                    <w:rPr>
                      <w:color w:val="000000" w:themeColor="text1"/>
                      <w14:textFill>
                        <w14:solidFill>
                          <w14:schemeClr w14:val="tx1"/>
                        </w14:solidFill>
                      </w14:textFill>
                    </w:rPr>
                  </w:pPr>
                  <w:r>
                    <w:rPr>
                      <w:color w:val="000000" w:themeColor="text1"/>
                      <w14:textFill>
                        <w14:solidFill>
                          <w14:schemeClr w14:val="tx1"/>
                        </w14:solidFill>
                      </w14:textFill>
                    </w:rPr>
                    <w:t>0.5</w:t>
                  </w:r>
                </w:p>
              </w:tc>
              <w:tc>
                <w:tcPr>
                  <w:tcW w:w="309" w:type="pct"/>
                  <w:tcBorders>
                    <w:top w:val="single" w:color="000000"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w:t>
                  </w:r>
                </w:p>
              </w:tc>
              <w:tc>
                <w:tcPr>
                  <w:tcW w:w="315" w:type="pct"/>
                  <w:tcBorders>
                    <w:top w:val="single" w:color="000000"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w:t>
                  </w:r>
                </w:p>
              </w:tc>
            </w:tr>
            <w:tr>
              <w:tblPrEx>
                <w:tblCellMar>
                  <w:top w:w="0" w:type="dxa"/>
                  <w:left w:w="10" w:type="dxa"/>
                  <w:bottom w:w="0" w:type="dxa"/>
                  <w:right w:w="10" w:type="dxa"/>
                </w:tblCellMar>
              </w:tblPrEx>
              <w:trPr>
                <w:jc w:val="center"/>
              </w:trPr>
              <w:tc>
                <w:tcPr>
                  <w:tcW w:w="391" w:type="pct"/>
                  <w:vMerge w:val="continue"/>
                  <w:tcBorders>
                    <w:left w:val="single" w:color="000000" w:sz="4" w:space="0"/>
                    <w:right w:val="single" w:color="000000"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000000"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标准指数</w:t>
                  </w:r>
                </w:p>
              </w:tc>
              <w:tc>
                <w:tcPr>
                  <w:tcW w:w="576"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10"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0.13</w:t>
                  </w:r>
                </w:p>
              </w:tc>
              <w:tc>
                <w:tcPr>
                  <w:tcW w:w="472" w:type="pct"/>
                  <w:tcBorders>
                    <w:top w:val="single" w:color="auto" w:sz="4" w:space="0"/>
                    <w:left w:val="single" w:color="auto" w:sz="4" w:space="0"/>
                  </w:tcBorders>
                  <w:vAlign w:val="center"/>
                </w:tcPr>
                <w:p>
                  <w:pPr>
                    <w:autoSpaceDE w:val="0"/>
                    <w:autoSpaceDN w:val="0"/>
                    <w:spacing w:line="288" w:lineRule="exact"/>
                    <w:jc w:val="center"/>
                    <w:rPr>
                      <w:color w:val="000000" w:themeColor="text1"/>
                      <w14:textFill>
                        <w14:solidFill>
                          <w14:schemeClr w14:val="tx1"/>
                        </w14:solidFill>
                      </w14:textFill>
                    </w:rPr>
                  </w:pPr>
                  <w:r>
                    <w:rPr>
                      <w:color w:val="000000" w:themeColor="text1"/>
                      <w14:textFill>
                        <w14:solidFill>
                          <w14:schemeClr w14:val="tx1"/>
                        </w14:solidFill>
                      </w14:textFill>
                    </w:rPr>
                    <w:t>0.90</w:t>
                  </w:r>
                </w:p>
              </w:tc>
              <w:tc>
                <w:tcPr>
                  <w:tcW w:w="441"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1.09</w:t>
                  </w:r>
                </w:p>
              </w:tc>
              <w:tc>
                <w:tcPr>
                  <w:tcW w:w="387"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1.36</w:t>
                  </w:r>
                </w:p>
              </w:tc>
              <w:tc>
                <w:tcPr>
                  <w:tcW w:w="415"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0.77</w:t>
                  </w:r>
                </w:p>
              </w:tc>
              <w:tc>
                <w:tcPr>
                  <w:tcW w:w="417"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0.06</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0.43</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4.71</w:t>
                  </w:r>
                </w:p>
              </w:tc>
            </w:tr>
            <w:tr>
              <w:tblPrEx>
                <w:tblCellMar>
                  <w:top w:w="0" w:type="dxa"/>
                  <w:left w:w="10" w:type="dxa"/>
                  <w:bottom w:w="0" w:type="dxa"/>
                  <w:right w:w="10" w:type="dxa"/>
                </w:tblCellMar>
              </w:tblPrEx>
              <w:trPr>
                <w:jc w:val="center"/>
              </w:trPr>
              <w:tc>
                <w:tcPr>
                  <w:tcW w:w="391" w:type="pct"/>
                  <w:vMerge w:val="continue"/>
                  <w:tcBorders>
                    <w:left w:val="single" w:color="000000" w:sz="4" w:space="0"/>
                    <w:bottom w:val="single" w:color="auto" w:sz="4" w:space="0"/>
                    <w:right w:val="single" w:color="000000"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超标倍数</w:t>
                  </w:r>
                </w:p>
              </w:tc>
              <w:tc>
                <w:tcPr>
                  <w:tcW w:w="576"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10"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2"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41" w:type="pct"/>
                  <w:tcBorders>
                    <w:top w:val="single" w:color="auto" w:sz="4" w:space="0"/>
                    <w:left w:val="single" w:color="auto" w:sz="4" w:space="0"/>
                  </w:tcBorders>
                  <w:vAlign w:val="center"/>
                </w:tcPr>
                <w:p>
                  <w:pPr>
                    <w:autoSpaceDE w:val="0"/>
                    <w:autoSpaceDN w:val="0"/>
                    <w:spacing w:line="286" w:lineRule="exact"/>
                    <w:jc w:val="center"/>
                    <w:rPr>
                      <w:color w:val="000000" w:themeColor="text1"/>
                      <w14:textFill>
                        <w14:solidFill>
                          <w14:schemeClr w14:val="tx1"/>
                        </w14:solidFill>
                      </w14:textFill>
                    </w:rPr>
                  </w:pPr>
                  <w:r>
                    <w:rPr>
                      <w:color w:val="000000" w:themeColor="text1"/>
                      <w14:textFill>
                        <w14:solidFill>
                          <w14:schemeClr w14:val="tx1"/>
                        </w14:solidFill>
                      </w14:textFill>
                    </w:rPr>
                    <w:t>0.09</w:t>
                  </w:r>
                </w:p>
              </w:tc>
              <w:tc>
                <w:tcPr>
                  <w:tcW w:w="387" w:type="pct"/>
                  <w:tcBorders>
                    <w:top w:val="single" w:color="auto" w:sz="4" w:space="0"/>
                    <w:left w:val="single" w:color="auto" w:sz="4" w:space="0"/>
                  </w:tcBorders>
                  <w:vAlign w:val="center"/>
                </w:tcPr>
                <w:p>
                  <w:pPr>
                    <w:autoSpaceDE w:val="0"/>
                    <w:autoSpaceDN w:val="0"/>
                    <w:spacing w:line="286" w:lineRule="exact"/>
                    <w:jc w:val="center"/>
                    <w:rPr>
                      <w:color w:val="000000" w:themeColor="text1"/>
                      <w14:textFill>
                        <w14:solidFill>
                          <w14:schemeClr w14:val="tx1"/>
                        </w14:solidFill>
                      </w14:textFill>
                    </w:rPr>
                  </w:pPr>
                  <w:r>
                    <w:rPr>
                      <w:color w:val="000000" w:themeColor="text1"/>
                      <w14:textFill>
                        <w14:solidFill>
                          <w14:schemeClr w14:val="tx1"/>
                        </w14:solidFill>
                      </w14:textFill>
                    </w:rPr>
                    <w:t>0.36</w:t>
                  </w:r>
                </w:p>
              </w:tc>
              <w:tc>
                <w:tcPr>
                  <w:tcW w:w="415" w:type="pct"/>
                  <w:tcBorders>
                    <w:top w:val="single" w:color="auto" w:sz="4" w:space="0"/>
                    <w:left w:val="single" w:color="auto" w:sz="4" w:space="0"/>
                  </w:tcBorders>
                  <w:vAlign w:val="center"/>
                </w:tcPr>
                <w:p>
                  <w:pPr>
                    <w:autoSpaceDE w:val="0"/>
                    <w:autoSpaceDN w:val="0"/>
                    <w:spacing w:line="286" w:lineRule="exact"/>
                    <w:ind w:left="132"/>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17" w:type="pct"/>
                  <w:tcBorders>
                    <w:top w:val="single" w:color="auto" w:sz="4" w:space="0"/>
                    <w:left w:val="single" w:color="auto" w:sz="4" w:space="0"/>
                  </w:tcBorders>
                  <w:vAlign w:val="center"/>
                </w:tcPr>
                <w:p>
                  <w:pPr>
                    <w:autoSpaceDE w:val="0"/>
                    <w:autoSpaceDN w:val="0"/>
                    <w:spacing w:line="286"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3.71</w:t>
                  </w:r>
                </w:p>
              </w:tc>
            </w:tr>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W2</w:t>
                  </w: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平均值</w:t>
                  </w:r>
                </w:p>
              </w:tc>
              <w:tc>
                <w:tcPr>
                  <w:tcW w:w="576"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18.3</w:t>
                  </w:r>
                </w:p>
              </w:tc>
              <w:tc>
                <w:tcPr>
                  <w:tcW w:w="510"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6.80</w:t>
                  </w:r>
                </w:p>
              </w:tc>
              <w:tc>
                <w:tcPr>
                  <w:tcW w:w="472"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30</w:t>
                  </w:r>
                </w:p>
              </w:tc>
              <w:tc>
                <w:tcPr>
                  <w:tcW w:w="441" w:type="pct"/>
                  <w:tcBorders>
                    <w:top w:val="single" w:color="auto" w:sz="4" w:space="0"/>
                    <w:left w:val="single" w:color="auto" w:sz="4" w:space="0"/>
                  </w:tcBorders>
                  <w:vAlign w:val="center"/>
                </w:tcPr>
                <w:p>
                  <w:pPr>
                    <w:autoSpaceDE w:val="0"/>
                    <w:autoSpaceDN w:val="0"/>
                    <w:spacing w:line="288" w:lineRule="exact"/>
                    <w:ind w:left="53"/>
                    <w:jc w:val="center"/>
                    <w:rPr>
                      <w:color w:val="000000" w:themeColor="text1"/>
                      <w14:textFill>
                        <w14:solidFill>
                          <w14:schemeClr w14:val="tx1"/>
                        </w14:solidFill>
                      </w14:textFill>
                    </w:rPr>
                  </w:pPr>
                  <w:r>
                    <w:rPr>
                      <w:color w:val="000000" w:themeColor="text1"/>
                      <w14:textFill>
                        <w14:solidFill>
                          <w14:schemeClr w14:val="tx1"/>
                        </w14:solidFill>
                      </w14:textFill>
                    </w:rPr>
                    <w:t>7.0</w:t>
                  </w:r>
                </w:p>
              </w:tc>
              <w:tc>
                <w:tcPr>
                  <w:tcW w:w="387" w:type="pct"/>
                  <w:tcBorders>
                    <w:top w:val="single" w:color="auto" w:sz="4" w:space="0"/>
                    <w:left w:val="single" w:color="auto" w:sz="4" w:space="0"/>
                  </w:tcBorders>
                  <w:vAlign w:val="center"/>
                </w:tcPr>
                <w:p>
                  <w:pPr>
                    <w:autoSpaceDE w:val="0"/>
                    <w:autoSpaceDN w:val="0"/>
                    <w:spacing w:line="288" w:lineRule="exact"/>
                    <w:jc w:val="center"/>
                    <w:rPr>
                      <w:color w:val="000000" w:themeColor="text1"/>
                      <w14:textFill>
                        <w14:solidFill>
                          <w14:schemeClr w14:val="tx1"/>
                        </w14:solidFill>
                      </w14:textFill>
                    </w:rPr>
                  </w:pPr>
                  <w:r>
                    <w:rPr>
                      <w:color w:val="000000" w:themeColor="text1"/>
                      <w14:textFill>
                        <w14:solidFill>
                          <w14:schemeClr w14:val="tx1"/>
                        </w14:solidFill>
                      </w14:textFill>
                    </w:rPr>
                    <w:t>2.14</w:t>
                  </w:r>
                </w:p>
              </w:tc>
              <w:tc>
                <w:tcPr>
                  <w:tcW w:w="415"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4.1</w:t>
                  </w:r>
                </w:p>
              </w:tc>
              <w:tc>
                <w:tcPr>
                  <w:tcW w:w="417"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0.05</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0.16</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7.06</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标准值</w:t>
                  </w:r>
                </w:p>
              </w:tc>
              <w:tc>
                <w:tcPr>
                  <w:tcW w:w="576"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510"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6~9</w:t>
                  </w:r>
                </w:p>
              </w:tc>
              <w:tc>
                <w:tcPr>
                  <w:tcW w:w="472" w:type="pct"/>
                  <w:tcBorders>
                    <w:top w:val="single" w:color="auto" w:sz="4" w:space="0"/>
                    <w:left w:val="single" w:color="auto" w:sz="4" w:space="0"/>
                  </w:tcBorders>
                  <w:vAlign w:val="center"/>
                </w:tcPr>
                <w:p>
                  <w:pPr>
                    <w:autoSpaceDE w:val="0"/>
                    <w:autoSpaceDN w:val="0"/>
                    <w:spacing w:line="288" w:lineRule="exact"/>
                    <w:jc w:val="center"/>
                    <w:rPr>
                      <w:color w:val="000000" w:themeColor="text1"/>
                      <w14:textFill>
                        <w14:solidFill>
                          <w14:schemeClr w14:val="tx1"/>
                        </w14:solidFill>
                      </w14:textFill>
                    </w:rPr>
                  </w:pPr>
                  <w:r>
                    <w:rPr>
                      <w:color w:val="000000" w:themeColor="text1"/>
                      <w14:textFill>
                        <w14:solidFill>
                          <w14:schemeClr w14:val="tx1"/>
                        </w14:solidFill>
                      </w14:textFill>
                    </w:rPr>
                    <w:t>30</w:t>
                  </w:r>
                </w:p>
              </w:tc>
              <w:tc>
                <w:tcPr>
                  <w:tcW w:w="441" w:type="pct"/>
                  <w:tcBorders>
                    <w:top w:val="single" w:color="auto" w:sz="4" w:space="0"/>
                    <w:lef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6</w:t>
                  </w:r>
                </w:p>
              </w:tc>
              <w:tc>
                <w:tcPr>
                  <w:tcW w:w="387" w:type="pct"/>
                  <w:tcBorders>
                    <w:top w:val="single" w:color="auto" w:sz="4" w:space="0"/>
                    <w:left w:val="single" w:color="auto" w:sz="4" w:space="0"/>
                  </w:tcBorders>
                  <w:vAlign w:val="center"/>
                </w:tcPr>
                <w:p>
                  <w:pPr>
                    <w:autoSpaceDE w:val="0"/>
                    <w:autoSpaceDN w:val="0"/>
                    <w:spacing w:line="288" w:lineRule="exact"/>
                    <w:ind w:left="53"/>
                    <w:jc w:val="center"/>
                    <w:rPr>
                      <w:color w:val="000000" w:themeColor="text1"/>
                      <w14:textFill>
                        <w14:solidFill>
                          <w14:schemeClr w14:val="tx1"/>
                        </w14:solidFill>
                      </w14:textFill>
                    </w:rPr>
                  </w:pPr>
                  <w:r>
                    <w:rPr>
                      <w:color w:val="000000" w:themeColor="text1"/>
                      <w14:textFill>
                        <w14:solidFill>
                          <w14:schemeClr w14:val="tx1"/>
                        </w14:solidFill>
                      </w14:textFill>
                    </w:rPr>
                    <w:t>1.5</w:t>
                  </w:r>
                </w:p>
              </w:tc>
              <w:tc>
                <w:tcPr>
                  <w:tcW w:w="415" w:type="pct"/>
                  <w:tcBorders>
                    <w:top w:val="single" w:color="auto" w:sz="4" w:space="0"/>
                    <w:left w:val="single" w:color="auto" w:sz="4" w:space="0"/>
                  </w:tcBorders>
                  <w:vAlign w:val="center"/>
                </w:tcPr>
                <w:p>
                  <w:pPr>
                    <w:autoSpaceDE w:val="0"/>
                    <w:autoSpaceDN w:val="0"/>
                    <w:spacing w:line="288" w:lineRule="exact"/>
                    <w:ind w:left="79"/>
                    <w:jc w:val="center"/>
                    <w:rPr>
                      <w:color w:val="000000" w:themeColor="text1"/>
                      <w14:textFill>
                        <w14:solidFill>
                          <w14:schemeClr w14:val="tx1"/>
                        </w14:solidFill>
                      </w14:textFill>
                    </w:rPr>
                  </w:pPr>
                  <w:r>
                    <w:rPr>
                      <w:color w:val="000000" w:themeColor="text1"/>
                      <w14:textFill>
                        <w14:solidFill>
                          <w14:schemeClr w14:val="tx1"/>
                        </w14:solidFill>
                      </w14:textFill>
                    </w:rPr>
                    <w:t>3</w:t>
                  </w:r>
                </w:p>
              </w:tc>
              <w:tc>
                <w:tcPr>
                  <w:tcW w:w="417" w:type="pct"/>
                  <w:tcBorders>
                    <w:top w:val="single" w:color="auto" w:sz="4" w:space="0"/>
                    <w:left w:val="single" w:color="auto" w:sz="4" w:space="0"/>
                  </w:tcBorders>
                  <w:vAlign w:val="center"/>
                </w:tcPr>
                <w:p>
                  <w:pPr>
                    <w:autoSpaceDE w:val="0"/>
                    <w:autoSpaceDN w:val="0"/>
                    <w:spacing w:line="288" w:lineRule="exact"/>
                    <w:ind w:left="50"/>
                    <w:jc w:val="center"/>
                    <w:rPr>
                      <w:color w:val="000000" w:themeColor="text1"/>
                      <w14:textFill>
                        <w14:solidFill>
                          <w14:schemeClr w14:val="tx1"/>
                        </w14:solidFill>
                      </w14:textFill>
                    </w:rPr>
                  </w:pPr>
                  <w:r>
                    <w:rPr>
                      <w:color w:val="000000" w:themeColor="text1"/>
                      <w14:textFill>
                        <w14:solidFill>
                          <w14:schemeClr w14:val="tx1"/>
                        </w14:solidFill>
                      </w14:textFill>
                    </w:rPr>
                    <w:t>0.5</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1.5</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标准指数</w:t>
                  </w:r>
                </w:p>
              </w:tc>
              <w:tc>
                <w:tcPr>
                  <w:tcW w:w="576"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10"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0.20</w:t>
                  </w:r>
                </w:p>
              </w:tc>
              <w:tc>
                <w:tcPr>
                  <w:tcW w:w="472" w:type="pct"/>
                  <w:tcBorders>
                    <w:top w:val="single" w:color="auto" w:sz="4" w:space="0"/>
                    <w:left w:val="single" w:color="auto" w:sz="4" w:space="0"/>
                  </w:tcBorders>
                  <w:vAlign w:val="center"/>
                </w:tcPr>
                <w:p>
                  <w:pPr>
                    <w:autoSpaceDE w:val="0"/>
                    <w:autoSpaceDN w:val="0"/>
                    <w:spacing w:line="288" w:lineRule="exact"/>
                    <w:ind w:left="53"/>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4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1.17</w:t>
                  </w:r>
                </w:p>
              </w:tc>
              <w:tc>
                <w:tcPr>
                  <w:tcW w:w="387"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1.43</w:t>
                  </w:r>
                </w:p>
              </w:tc>
              <w:tc>
                <w:tcPr>
                  <w:tcW w:w="415"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0.83</w:t>
                  </w:r>
                </w:p>
              </w:tc>
              <w:tc>
                <w:tcPr>
                  <w:tcW w:w="417"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0.09</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0.54</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4.70</w:t>
                  </w:r>
                </w:p>
              </w:tc>
            </w:tr>
            <w:tr>
              <w:tblPrEx>
                <w:tblCellMar>
                  <w:top w:w="0" w:type="dxa"/>
                  <w:left w:w="10" w:type="dxa"/>
                  <w:bottom w:w="0" w:type="dxa"/>
                  <w:right w:w="10" w:type="dxa"/>
                </w:tblCellMar>
              </w:tblPrEx>
              <w:trPr>
                <w:trHeight w:val="171" w:hRule="atLeast"/>
                <w:jc w:val="center"/>
              </w:trPr>
              <w:tc>
                <w:tcPr>
                  <w:tcW w:w="391" w:type="pct"/>
                  <w:vMerge w:val="continue"/>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超标倍数</w:t>
                  </w:r>
                </w:p>
              </w:tc>
              <w:tc>
                <w:tcPr>
                  <w:tcW w:w="576"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10"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2" w:type="pct"/>
                  <w:tcBorders>
                    <w:top w:val="single" w:color="auto" w:sz="4" w:space="0"/>
                    <w:left w:val="single" w:color="auto" w:sz="4" w:space="0"/>
                  </w:tcBorders>
                  <w:vAlign w:val="center"/>
                </w:tcPr>
                <w:p>
                  <w:pPr>
                    <w:autoSpaceDE w:val="0"/>
                    <w:autoSpaceDN w:val="0"/>
                    <w:spacing w:line="218" w:lineRule="exact"/>
                    <w:ind w:left="182"/>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41"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0.17</w:t>
                  </w:r>
                </w:p>
              </w:tc>
              <w:tc>
                <w:tcPr>
                  <w:tcW w:w="387"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0.43</w:t>
                  </w:r>
                </w:p>
              </w:tc>
              <w:tc>
                <w:tcPr>
                  <w:tcW w:w="415" w:type="pct"/>
                  <w:tcBorders>
                    <w:top w:val="single" w:color="auto" w:sz="4" w:space="0"/>
                    <w:left w:val="single" w:color="auto" w:sz="4" w:space="0"/>
                  </w:tcBorders>
                  <w:vAlign w:val="center"/>
                </w:tcPr>
                <w:p>
                  <w:pPr>
                    <w:autoSpaceDE w:val="0"/>
                    <w:autoSpaceDN w:val="0"/>
                    <w:spacing w:line="218" w:lineRule="exact"/>
                    <w:ind w:left="79"/>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17" w:type="pct"/>
                  <w:tcBorders>
                    <w:top w:val="single" w:color="auto" w:sz="4" w:space="0"/>
                    <w:left w:val="single" w:color="auto" w:sz="4" w:space="0"/>
                  </w:tcBorders>
                  <w:vAlign w:val="center"/>
                </w:tcPr>
                <w:p>
                  <w:pPr>
                    <w:autoSpaceDE w:val="0"/>
                    <w:autoSpaceDN w:val="0"/>
                    <w:spacing w:line="21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3.71</w:t>
                  </w:r>
                </w:p>
              </w:tc>
            </w:tr>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W5</w:t>
                  </w: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平均值</w:t>
                  </w:r>
                </w:p>
              </w:tc>
              <w:tc>
                <w:tcPr>
                  <w:tcW w:w="576"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16.8</w:t>
                  </w:r>
                </w:p>
              </w:tc>
              <w:tc>
                <w:tcPr>
                  <w:tcW w:w="510" w:type="pct"/>
                  <w:tcBorders>
                    <w:top w:val="single" w:color="auto" w:sz="4" w:space="0"/>
                    <w:lef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7.12</w:t>
                  </w:r>
                </w:p>
              </w:tc>
              <w:tc>
                <w:tcPr>
                  <w:tcW w:w="472" w:type="pct"/>
                  <w:tcBorders>
                    <w:top w:val="single" w:color="auto" w:sz="4" w:space="0"/>
                    <w:left w:val="single" w:color="auto" w:sz="4" w:space="0"/>
                  </w:tcBorders>
                  <w:vAlign w:val="center"/>
                </w:tcPr>
                <w:p>
                  <w:pPr>
                    <w:autoSpaceDE w:val="0"/>
                    <w:autoSpaceDN w:val="0"/>
                    <w:spacing w:line="286" w:lineRule="exact"/>
                    <w:jc w:val="center"/>
                    <w:rPr>
                      <w:color w:val="000000" w:themeColor="text1"/>
                      <w14:textFill>
                        <w14:solidFill>
                          <w14:schemeClr w14:val="tx1"/>
                        </w14:solidFill>
                      </w14:textFill>
                    </w:rPr>
                  </w:pPr>
                  <w:r>
                    <w:rPr>
                      <w:color w:val="000000" w:themeColor="text1"/>
                      <w14:textFill>
                        <w14:solidFill>
                          <w14:schemeClr w14:val="tx1"/>
                        </w14:solidFill>
                      </w14:textFill>
                    </w:rPr>
                    <w:t>14.33</w:t>
                  </w:r>
                </w:p>
              </w:tc>
              <w:tc>
                <w:tcPr>
                  <w:tcW w:w="441" w:type="pct"/>
                  <w:tcBorders>
                    <w:top w:val="single" w:color="auto" w:sz="4" w:space="0"/>
                    <w:left w:val="single" w:color="auto" w:sz="4" w:space="0"/>
                  </w:tcBorders>
                  <w:vAlign w:val="center"/>
                </w:tcPr>
                <w:p>
                  <w:pPr>
                    <w:autoSpaceDE w:val="0"/>
                    <w:autoSpaceDN w:val="0"/>
                    <w:spacing w:line="286" w:lineRule="exact"/>
                    <w:ind w:left="53"/>
                    <w:jc w:val="center"/>
                    <w:rPr>
                      <w:color w:val="000000" w:themeColor="text1"/>
                      <w14:textFill>
                        <w14:solidFill>
                          <w14:schemeClr w14:val="tx1"/>
                        </w14:solidFill>
                      </w14:textFill>
                    </w:rPr>
                  </w:pPr>
                  <w:r>
                    <w:rPr>
                      <w:color w:val="000000" w:themeColor="text1"/>
                      <w14:textFill>
                        <w14:solidFill>
                          <w14:schemeClr w14:val="tx1"/>
                        </w14:solidFill>
                      </w14:textFill>
                    </w:rPr>
                    <w:t>2.3</w:t>
                  </w:r>
                </w:p>
              </w:tc>
              <w:tc>
                <w:tcPr>
                  <w:tcW w:w="387" w:type="pct"/>
                  <w:tcBorders>
                    <w:top w:val="single" w:color="auto" w:sz="4" w:space="0"/>
                    <w:left w:val="single" w:color="auto" w:sz="4" w:space="0"/>
                  </w:tcBorders>
                  <w:vAlign w:val="center"/>
                </w:tcPr>
                <w:p>
                  <w:pPr>
                    <w:autoSpaceDE w:val="0"/>
                    <w:autoSpaceDN w:val="0"/>
                    <w:spacing w:line="286" w:lineRule="exact"/>
                    <w:jc w:val="center"/>
                    <w:rPr>
                      <w:color w:val="000000" w:themeColor="text1"/>
                      <w14:textFill>
                        <w14:solidFill>
                          <w14:schemeClr w14:val="tx1"/>
                        </w14:solidFill>
                      </w14:textFill>
                    </w:rPr>
                  </w:pPr>
                  <w:r>
                    <w:rPr>
                      <w:color w:val="000000" w:themeColor="text1"/>
                      <w14:textFill>
                        <w14:solidFill>
                          <w14:schemeClr w14:val="tx1"/>
                        </w14:solidFill>
                      </w14:textFill>
                    </w:rPr>
                    <w:t>0.20</w:t>
                  </w:r>
                </w:p>
              </w:tc>
              <w:tc>
                <w:tcPr>
                  <w:tcW w:w="415" w:type="pct"/>
                  <w:tcBorders>
                    <w:top w:val="single" w:color="auto" w:sz="4" w:space="0"/>
                    <w:left w:val="single" w:color="auto" w:sz="4" w:space="0"/>
                  </w:tcBorders>
                  <w:vAlign w:val="center"/>
                </w:tcPr>
                <w:p>
                  <w:pPr>
                    <w:autoSpaceDE w:val="0"/>
                    <w:autoSpaceDN w:val="0"/>
                    <w:spacing w:line="286" w:lineRule="exact"/>
                    <w:jc w:val="center"/>
                    <w:rPr>
                      <w:color w:val="000000" w:themeColor="text1"/>
                      <w14:textFill>
                        <w14:solidFill>
                          <w14:schemeClr w14:val="tx1"/>
                        </w14:solidFill>
                      </w14:textFill>
                    </w:rPr>
                  </w:pPr>
                  <w:r>
                    <w:rPr>
                      <w:color w:val="000000" w:themeColor="text1"/>
                      <w14:textFill>
                        <w14:solidFill>
                          <w14:schemeClr w14:val="tx1"/>
                        </w14:solidFill>
                      </w14:textFill>
                    </w:rPr>
                    <w:t>5.9</w:t>
                  </w:r>
                </w:p>
              </w:tc>
              <w:tc>
                <w:tcPr>
                  <w:tcW w:w="417" w:type="pct"/>
                  <w:tcBorders>
                    <w:top w:val="single" w:color="auto" w:sz="4" w:space="0"/>
                    <w:left w:val="single" w:color="auto" w:sz="4" w:space="0"/>
                  </w:tcBorders>
                  <w:vAlign w:val="center"/>
                </w:tcPr>
                <w:p>
                  <w:pPr>
                    <w:autoSpaceDE w:val="0"/>
                    <w:autoSpaceDN w:val="0"/>
                    <w:spacing w:line="286" w:lineRule="exact"/>
                    <w:ind w:left="31"/>
                    <w:jc w:val="center"/>
                    <w:rPr>
                      <w:color w:val="000000" w:themeColor="text1"/>
                      <w14:textFill>
                        <w14:solidFill>
                          <w14:schemeClr w14:val="tx1"/>
                        </w14:solidFill>
                      </w14:textFill>
                    </w:rPr>
                  </w:pPr>
                  <w:r>
                    <w:rPr>
                      <w:color w:val="000000" w:themeColor="text1"/>
                      <w14:textFill>
                        <w14:solidFill>
                          <w14:schemeClr w14:val="tx1"/>
                        </w14:solidFill>
                      </w14:textFill>
                    </w:rPr>
                    <w:t>ND</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0.07</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0.79</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标准值</w:t>
                  </w:r>
                </w:p>
              </w:tc>
              <w:tc>
                <w:tcPr>
                  <w:tcW w:w="576" w:type="pct"/>
                  <w:tcBorders>
                    <w:top w:val="single" w:color="auto" w:sz="4" w:space="0"/>
                    <w:lef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510" w:type="pct"/>
                  <w:tcBorders>
                    <w:top w:val="single" w:color="auto" w:sz="4" w:space="0"/>
                    <w:left w:val="single" w:color="auto" w:sz="4" w:space="0"/>
                  </w:tcBorders>
                  <w:vAlign w:val="center"/>
                </w:tcPr>
                <w:p>
                  <w:pPr>
                    <w:autoSpaceDE w:val="0"/>
                    <w:autoSpaceDN w:val="0"/>
                    <w:spacing w:line="288" w:lineRule="exact"/>
                    <w:ind w:left="22"/>
                    <w:jc w:val="center"/>
                    <w:rPr>
                      <w:color w:val="000000" w:themeColor="text1"/>
                      <w14:textFill>
                        <w14:solidFill>
                          <w14:schemeClr w14:val="tx1"/>
                        </w14:solidFill>
                      </w14:textFill>
                    </w:rPr>
                  </w:pPr>
                  <w:r>
                    <w:rPr>
                      <w:color w:val="000000" w:themeColor="text1"/>
                      <w14:textFill>
                        <w14:solidFill>
                          <w14:schemeClr w14:val="tx1"/>
                        </w14:solidFill>
                      </w14:textFill>
                    </w:rPr>
                    <w:t>6~9</w:t>
                  </w:r>
                </w:p>
              </w:tc>
              <w:tc>
                <w:tcPr>
                  <w:tcW w:w="472" w:type="pct"/>
                  <w:tcBorders>
                    <w:top w:val="single" w:color="auto" w:sz="4" w:space="0"/>
                    <w:lef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20</w:t>
                  </w:r>
                </w:p>
              </w:tc>
              <w:tc>
                <w:tcPr>
                  <w:tcW w:w="441" w:type="pct"/>
                  <w:tcBorders>
                    <w:top w:val="single" w:color="auto" w:sz="4" w:space="0"/>
                    <w:lef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4</w:t>
                  </w:r>
                </w:p>
              </w:tc>
              <w:tc>
                <w:tcPr>
                  <w:tcW w:w="387" w:type="pct"/>
                  <w:tcBorders>
                    <w:top w:val="single" w:color="auto" w:sz="4" w:space="0"/>
                    <w:lef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15" w:type="pct"/>
                  <w:tcBorders>
                    <w:top w:val="single" w:color="auto" w:sz="4" w:space="0"/>
                    <w:left w:val="single" w:color="auto" w:sz="4" w:space="0"/>
                  </w:tcBorders>
                  <w:vAlign w:val="center"/>
                </w:tcPr>
                <w:p>
                  <w:pPr>
                    <w:autoSpaceDE w:val="0"/>
                    <w:autoSpaceDN w:val="0"/>
                    <w:spacing w:line="288" w:lineRule="exact"/>
                    <w:ind w:left="79"/>
                    <w:jc w:val="center"/>
                    <w:rPr>
                      <w:color w:val="000000" w:themeColor="text1"/>
                      <w14:textFill>
                        <w14:solidFill>
                          <w14:schemeClr w14:val="tx1"/>
                        </w14:solidFill>
                      </w14:textFill>
                    </w:rPr>
                  </w:pPr>
                  <w:r>
                    <w:rPr>
                      <w:color w:val="000000" w:themeColor="text1"/>
                      <w14:textFill>
                        <w14:solidFill>
                          <w14:schemeClr w14:val="tx1"/>
                        </w14:solidFill>
                      </w14:textFill>
                    </w:rPr>
                    <w:t>5</w:t>
                  </w:r>
                </w:p>
              </w:tc>
              <w:tc>
                <w:tcPr>
                  <w:tcW w:w="417" w:type="pct"/>
                  <w:tcBorders>
                    <w:top w:val="single" w:color="auto" w:sz="4" w:space="0"/>
                    <w:left w:val="single" w:color="auto" w:sz="4" w:space="0"/>
                  </w:tcBorders>
                  <w:vAlign w:val="center"/>
                </w:tcPr>
                <w:p>
                  <w:pPr>
                    <w:autoSpaceDE w:val="0"/>
                    <w:autoSpaceDN w:val="0"/>
                    <w:spacing w:line="288" w:lineRule="exact"/>
                    <w:jc w:val="center"/>
                    <w:rPr>
                      <w:color w:val="000000" w:themeColor="text1"/>
                      <w14:textFill>
                        <w14:solidFill>
                          <w14:schemeClr w14:val="tx1"/>
                        </w14:solidFill>
                      </w14:textFill>
                    </w:rPr>
                  </w:pPr>
                  <w:r>
                    <w:rPr>
                      <w:color w:val="000000" w:themeColor="text1"/>
                      <w14:textFill>
                        <w14:solidFill>
                          <w14:schemeClr w14:val="tx1"/>
                        </w14:solidFill>
                      </w14:textFill>
                    </w:rPr>
                    <w:t>0.05</w:t>
                  </w:r>
                </w:p>
              </w:tc>
              <w:tc>
                <w:tcPr>
                  <w:tcW w:w="309"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0.2</w:t>
                  </w:r>
                </w:p>
              </w:tc>
              <w:tc>
                <w:tcPr>
                  <w:tcW w:w="315" w:type="pct"/>
                  <w:tcBorders>
                    <w:top w:val="single" w:color="auto" w:sz="4" w:space="0"/>
                    <w:left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标准指数</w:t>
                  </w:r>
                </w:p>
              </w:tc>
              <w:tc>
                <w:tcPr>
                  <w:tcW w:w="576" w:type="pct"/>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10" w:type="pct"/>
                  <w:tcBorders>
                    <w:top w:val="single" w:color="auto" w:sz="4" w:space="0"/>
                    <w:left w:val="single" w:color="auto" w:sz="4" w:space="0"/>
                    <w:bottom w:val="single" w:color="auto" w:sz="4" w:space="0"/>
                  </w:tcBorders>
                  <w:vAlign w:val="center"/>
                </w:tcPr>
                <w:p>
                  <w:pPr>
                    <w:autoSpaceDE w:val="0"/>
                    <w:autoSpaceDN w:val="0"/>
                    <w:spacing w:line="288" w:lineRule="exact"/>
                    <w:jc w:val="center"/>
                    <w:rPr>
                      <w:color w:val="000000" w:themeColor="text1"/>
                      <w14:textFill>
                        <w14:solidFill>
                          <w14:schemeClr w14:val="tx1"/>
                        </w14:solidFill>
                      </w14:textFill>
                    </w:rPr>
                  </w:pPr>
                  <w:r>
                    <w:rPr>
                      <w:color w:val="000000" w:themeColor="text1"/>
                      <w14:textFill>
                        <w14:solidFill>
                          <w14:schemeClr w14:val="tx1"/>
                        </w14:solidFill>
                      </w14:textFill>
                    </w:rPr>
                    <w:t>0.06</w:t>
                  </w:r>
                </w:p>
              </w:tc>
              <w:tc>
                <w:tcPr>
                  <w:tcW w:w="472" w:type="pct"/>
                  <w:tcBorders>
                    <w:top w:val="single" w:color="auto" w:sz="4" w:space="0"/>
                    <w:left w:val="single" w:color="auto" w:sz="4" w:space="0"/>
                    <w:bottom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0.72</w:t>
                  </w:r>
                </w:p>
              </w:tc>
              <w:tc>
                <w:tcPr>
                  <w:tcW w:w="441" w:type="pct"/>
                  <w:tcBorders>
                    <w:top w:val="single" w:color="auto" w:sz="4" w:space="0"/>
                    <w:left w:val="single" w:color="auto" w:sz="4" w:space="0"/>
                    <w:bottom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0.58</w:t>
                  </w:r>
                </w:p>
              </w:tc>
              <w:tc>
                <w:tcPr>
                  <w:tcW w:w="387" w:type="pct"/>
                  <w:tcBorders>
                    <w:top w:val="single" w:color="auto" w:sz="4" w:space="0"/>
                    <w:left w:val="single" w:color="auto" w:sz="4" w:space="0"/>
                    <w:bottom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0.20</w:t>
                  </w:r>
                </w:p>
              </w:tc>
              <w:tc>
                <w:tcPr>
                  <w:tcW w:w="415" w:type="pct"/>
                  <w:tcBorders>
                    <w:top w:val="single" w:color="auto" w:sz="4" w:space="0"/>
                    <w:left w:val="single" w:color="auto" w:sz="4" w:space="0"/>
                    <w:bottom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0.81</w:t>
                  </w:r>
                </w:p>
              </w:tc>
              <w:tc>
                <w:tcPr>
                  <w:tcW w:w="417" w:type="pct"/>
                  <w:tcBorders>
                    <w:top w:val="single" w:color="auto" w:sz="4" w:space="0"/>
                    <w:left w:val="single" w:color="auto" w:sz="4" w:space="0"/>
                    <w:bottom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0.35</w:t>
                  </w:r>
                </w:p>
              </w:tc>
              <w:tc>
                <w:tcPr>
                  <w:tcW w:w="315"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0.79</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超标倍数</w:t>
                  </w:r>
                </w:p>
              </w:tc>
              <w:tc>
                <w:tcPr>
                  <w:tcW w:w="57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2"/>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15"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r>
            <w:tr>
              <w:tblPrEx>
                <w:tblCellMar>
                  <w:top w:w="0" w:type="dxa"/>
                  <w:left w:w="10" w:type="dxa"/>
                  <w:bottom w:w="0" w:type="dxa"/>
                  <w:right w:w="10" w:type="dxa"/>
                </w:tblCellMar>
              </w:tblPrEx>
              <w:trPr>
                <w:jc w:val="center"/>
              </w:trPr>
              <w:tc>
                <w:tcPr>
                  <w:tcW w:w="391" w:type="pct"/>
                  <w:vMerge w:val="restart"/>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W6</w:t>
                  </w:r>
                </w:p>
              </w:tc>
              <w:tc>
                <w:tcPr>
                  <w:tcW w:w="761"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平均值</w:t>
                  </w:r>
                </w:p>
              </w:tc>
              <w:tc>
                <w:tcPr>
                  <w:tcW w:w="57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17.5</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7.18</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14.67</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2.3</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0.25</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5.5</w:t>
                  </w:r>
                </w:p>
              </w:tc>
              <w:tc>
                <w:tcPr>
                  <w:tcW w:w="41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ind w:left="31"/>
                    <w:jc w:val="center"/>
                    <w:rPr>
                      <w:color w:val="000000" w:themeColor="text1"/>
                      <w14:textFill>
                        <w14:solidFill>
                          <w14:schemeClr w14:val="tx1"/>
                        </w14:solidFill>
                      </w14:textFill>
                    </w:rPr>
                  </w:pPr>
                  <w:r>
                    <w:rPr>
                      <w:color w:val="000000" w:themeColor="text1"/>
                      <w14:textFill>
                        <w14:solidFill>
                          <w14:schemeClr w14:val="tx1"/>
                        </w14:solidFill>
                      </w14:textFill>
                    </w:rPr>
                    <w:t>ND</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0.08</w:t>
                  </w:r>
                </w:p>
              </w:tc>
              <w:tc>
                <w:tcPr>
                  <w:tcW w:w="315"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0.88</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标准值</w:t>
                  </w:r>
                </w:p>
              </w:tc>
              <w:tc>
                <w:tcPr>
                  <w:tcW w:w="57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22"/>
                    <w:jc w:val="center"/>
                    <w:rPr>
                      <w:color w:val="000000" w:themeColor="text1"/>
                      <w14:textFill>
                        <w14:solidFill>
                          <w14:schemeClr w14:val="tx1"/>
                        </w14:solidFill>
                      </w14:textFill>
                    </w:rPr>
                  </w:pPr>
                  <w:r>
                    <w:rPr>
                      <w:color w:val="000000" w:themeColor="text1"/>
                      <w14:textFill>
                        <w14:solidFill>
                          <w14:schemeClr w14:val="tx1"/>
                        </w14:solidFill>
                      </w14:textFill>
                    </w:rPr>
                    <w:t>6~9</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20</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77"/>
                    <w:jc w:val="center"/>
                    <w:rPr>
                      <w:color w:val="000000" w:themeColor="text1"/>
                      <w14:textFill>
                        <w14:solidFill>
                          <w14:schemeClr w14:val="tx1"/>
                        </w14:solidFill>
                      </w14:textFill>
                    </w:rPr>
                  </w:pPr>
                  <w:r>
                    <w:rPr>
                      <w:color w:val="000000" w:themeColor="text1"/>
                      <w14:textFill>
                        <w14:solidFill>
                          <w14:schemeClr w14:val="tx1"/>
                        </w14:solidFill>
                      </w14:textFill>
                    </w:rPr>
                    <w:t>4</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1</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79"/>
                    <w:jc w:val="center"/>
                    <w:rPr>
                      <w:color w:val="000000" w:themeColor="text1"/>
                      <w14:textFill>
                        <w14:solidFill>
                          <w14:schemeClr w14:val="tx1"/>
                        </w14:solidFill>
                      </w14:textFill>
                    </w:rPr>
                  </w:pPr>
                  <w:r>
                    <w:rPr>
                      <w:color w:val="000000" w:themeColor="text1"/>
                      <w14:textFill>
                        <w14:solidFill>
                          <w14:schemeClr w14:val="tx1"/>
                        </w14:solidFill>
                      </w14:textFill>
                    </w:rPr>
                    <w:t>5</w:t>
                  </w:r>
                </w:p>
              </w:tc>
              <w:tc>
                <w:tcPr>
                  <w:tcW w:w="41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jc w:val="center"/>
                    <w:rPr>
                      <w:color w:val="000000" w:themeColor="text1"/>
                      <w14:textFill>
                        <w14:solidFill>
                          <w14:schemeClr w14:val="tx1"/>
                        </w14:solidFill>
                      </w14:textFill>
                    </w:rPr>
                  </w:pPr>
                  <w:r>
                    <w:rPr>
                      <w:color w:val="000000" w:themeColor="text1"/>
                      <w14:textFill>
                        <w14:solidFill>
                          <w14:schemeClr w14:val="tx1"/>
                        </w14:solidFill>
                      </w14:textFill>
                    </w:rPr>
                    <w:t>0.05</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0.2</w:t>
                  </w:r>
                </w:p>
              </w:tc>
              <w:tc>
                <w:tcPr>
                  <w:tcW w:w="315"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1</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标准指数</w:t>
                  </w:r>
                </w:p>
              </w:tc>
              <w:tc>
                <w:tcPr>
                  <w:tcW w:w="57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jc w:val="center"/>
                    <w:rPr>
                      <w:color w:val="000000" w:themeColor="text1"/>
                      <w14:textFill>
                        <w14:solidFill>
                          <w14:schemeClr w14:val="tx1"/>
                        </w14:solidFill>
                      </w14:textFill>
                    </w:rPr>
                  </w:pPr>
                  <w:r>
                    <w:rPr>
                      <w:color w:val="000000" w:themeColor="text1"/>
                      <w14:textFill>
                        <w14:solidFill>
                          <w14:schemeClr w14:val="tx1"/>
                        </w14:solidFill>
                      </w14:textFill>
                    </w:rPr>
                    <w:t>0.09</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0.73</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0.58</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0.25</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18" w:lineRule="exact"/>
                    <w:jc w:val="center"/>
                    <w:rPr>
                      <w:color w:val="000000" w:themeColor="text1"/>
                      <w14:textFill>
                        <w14:solidFill>
                          <w14:schemeClr w14:val="tx1"/>
                        </w14:solidFill>
                      </w14:textFill>
                    </w:rPr>
                  </w:pPr>
                  <w:r>
                    <w:rPr>
                      <w:color w:val="000000" w:themeColor="text1"/>
                      <w14:textFill>
                        <w14:solidFill>
                          <w14:schemeClr w14:val="tx1"/>
                        </w14:solidFill>
                      </w14:textFill>
                    </w:rPr>
                    <w:t>0.88</w:t>
                  </w:r>
                </w:p>
              </w:tc>
              <w:tc>
                <w:tcPr>
                  <w:tcW w:w="41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8"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0.38</w:t>
                  </w:r>
                </w:p>
              </w:tc>
              <w:tc>
                <w:tcPr>
                  <w:tcW w:w="315"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0.88</w:t>
                  </w:r>
                </w:p>
              </w:tc>
            </w:tr>
            <w:tr>
              <w:tblPrEx>
                <w:tblCellMar>
                  <w:top w:w="0" w:type="dxa"/>
                  <w:left w:w="10" w:type="dxa"/>
                  <w:bottom w:w="0" w:type="dxa"/>
                  <w:right w:w="10" w:type="dxa"/>
                </w:tblCellMar>
              </w:tblPrEx>
              <w:trPr>
                <w:jc w:val="center"/>
              </w:trPr>
              <w:tc>
                <w:tcPr>
                  <w:tcW w:w="391" w:type="pct"/>
                  <w:vMerge w:val="continue"/>
                  <w:tcBorders>
                    <w:top w:val="single" w:color="auto" w:sz="4" w:space="0"/>
                    <w:left w:val="single" w:color="auto" w:sz="4" w:space="0"/>
                    <w:bottom w:val="single" w:color="auto" w:sz="4" w:space="0"/>
                  </w:tcBorders>
                  <w:vAlign w:val="center"/>
                </w:tcPr>
                <w:p>
                  <w:pPr>
                    <w:jc w:val="center"/>
                    <w:rPr>
                      <w:color w:val="000000" w:themeColor="text1"/>
                      <w14:textFill>
                        <w14:solidFill>
                          <w14:schemeClr w14:val="tx1"/>
                        </w14:solidFill>
                      </w14:textFill>
                    </w:rPr>
                  </w:pPr>
                </w:p>
              </w:tc>
              <w:tc>
                <w:tcPr>
                  <w:tcW w:w="761"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超标倍数</w:t>
                  </w:r>
                </w:p>
              </w:tc>
              <w:tc>
                <w:tcPr>
                  <w:tcW w:w="576"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510"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6"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72"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6"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41"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6"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87"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6" w:lineRule="exact"/>
                    <w:ind w:left="130"/>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15" w:type="pct"/>
                  <w:tcBorders>
                    <w:top w:val="single" w:color="auto" w:sz="4" w:space="0"/>
                    <w:left w:val="single" w:color="auto" w:sz="4" w:space="0"/>
                    <w:bottom w:val="single" w:color="auto" w:sz="4" w:space="0"/>
                    <w:right w:val="single" w:color="auto" w:sz="4" w:space="0"/>
                  </w:tcBorders>
                  <w:vAlign w:val="center"/>
                </w:tcPr>
                <w:p>
                  <w:pPr>
                    <w:autoSpaceDE w:val="0"/>
                    <w:autoSpaceDN w:val="0"/>
                    <w:spacing w:line="286" w:lineRule="exact"/>
                    <w:ind w:left="132"/>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417"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09"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c>
                <w:tcPr>
                  <w:tcW w:w="315" w:type="pct"/>
                  <w:tcBorders>
                    <w:top w:val="single" w:color="auto" w:sz="4" w:space="0"/>
                    <w:left w:val="single" w:color="auto" w:sz="4" w:space="0"/>
                    <w:bottom w:val="single" w:color="auto" w:sz="4" w:space="0"/>
                    <w:right w:val="single" w:color="auto" w:sz="4" w:space="0"/>
                  </w:tcBorders>
                  <w:vAlign w:val="center"/>
                </w:tcPr>
                <w:p>
                  <w:pPr>
                    <w:jc w:val="center"/>
                    <w:rPr>
                      <w:color w:val="000000" w:themeColor="text1"/>
                      <w14:textFill>
                        <w14:solidFill>
                          <w14:schemeClr w14:val="tx1"/>
                        </w14:solidFill>
                      </w14:textFill>
                    </w:rPr>
                  </w:pPr>
                  <w:r>
                    <w:rPr>
                      <w:color w:val="000000" w:themeColor="text1"/>
                      <w14:textFill>
                        <w14:solidFill>
                          <w14:schemeClr w14:val="tx1"/>
                        </w14:solidFill>
                      </w14:textFill>
                    </w:rPr>
                    <w:t>0</w:t>
                  </w:r>
                </w:p>
              </w:tc>
            </w:tr>
          </w:tbl>
          <w:p>
            <w:pPr>
              <w:adjustRightInd w:val="0"/>
              <w:snapToGrid w:val="0"/>
              <w:spacing w:before="120" w:beforeLines="50"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（2）达标性分析</w:t>
            </w:r>
          </w:p>
          <w:p>
            <w:pPr>
              <w:autoSpaceDE w:val="0"/>
              <w:autoSpaceDN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根据引用监测结果，</w:t>
            </w:r>
            <w:r>
              <w:rPr>
                <w:color w:val="000000" w:themeColor="text1"/>
                <w:lang w:bidi="ar"/>
                <w14:textFill>
                  <w14:solidFill>
                    <w14:schemeClr w14:val="tx1"/>
                  </w14:solidFill>
                </w14:textFill>
              </w:rPr>
              <w:t>沙河（W5、W6监测断面）所测水质指标均达到《地表水环境质量标准》（GB3838-2002）III类标准。</w:t>
            </w:r>
            <w:r>
              <w:t>新村排渠W1、W2监测断面的监测项目中BOD</w:t>
            </w:r>
            <w:r>
              <w:rPr>
                <w:vertAlign w:val="subscript"/>
              </w:rPr>
              <w:t>5</w:t>
            </w:r>
            <w:r>
              <w:t>、NH</w:t>
            </w:r>
            <w:r>
              <w:rPr>
                <w:vertAlign w:val="subscript"/>
              </w:rPr>
              <w:t>3</w:t>
            </w:r>
            <w:r>
              <w:t>-N和总氮指标不能满足《地表水环境质量标准》（GB3838-2002）中的V类水质标准。</w:t>
            </w:r>
            <w:r>
              <w:rPr>
                <w:color w:val="000000" w:themeColor="text1"/>
                <w14:textFill>
                  <w14:solidFill>
                    <w14:schemeClr w14:val="tx1"/>
                  </w14:solidFill>
                </w14:textFill>
              </w:rPr>
              <w:t>新村排渠水质超标的原因主要是受上游及附近的养殖废水、生活污水等污染所致。根据《园洲镇2019年水污染防治攻坚战工作方案》，博罗县政府已先后对中心排渠、新村排渠和东博排洪渠等排渠实施水环境综合治理工程，包括产业结构调整和水污染控制工程体系建设及减排等措施。部分排污企业偷排、漏排不达标污水以及超水量排放污水是造成新村排渠污染的主要因素之一，因此，环境监察部门应严查严惩偷排漏排企业，使企业做到达标且不超水量排放；另一方面，根据区域减排计划，增加污水净化设施处理能力及配套管网建设，对污水处理厂进行提标升级改造，将能进一步有效处理城市生活污水，从而大量削减水污染物的排放，进而明显地改善纳污水体的水环境质量。此外，全县正严格按照《博罗县沙河水质达标攻坚重点项目倒排工期表》，强力推进13条劣V类排渠综合整治工程、农村污水处理设施及管网建设等重点工程，确保各项重点工程按期完成。随着博罗县水环境问题综合整治工作的推进，新村排渠水环境将逐步改善</w:t>
            </w:r>
            <w:r>
              <w:rPr>
                <w:color w:val="000000" w:themeColor="text1"/>
                <w:lang w:bidi="en-US"/>
                <w14:textFill>
                  <w14:solidFill>
                    <w14:schemeClr w14:val="tx1"/>
                  </w14:solidFill>
                </w14:textFill>
              </w:rPr>
              <w:t>。</w:t>
            </w:r>
          </w:p>
          <w:p>
            <w:pPr>
              <w:widowControl/>
              <w:adjustRightInd w:val="0"/>
              <w:snapToGrid w:val="0"/>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3、声环境</w:t>
            </w:r>
          </w:p>
          <w:p>
            <w:pPr>
              <w:widowControl/>
              <w:ind w:firstLine="420" w:firstLineChars="200"/>
              <w:rPr>
                <w:color w:val="000000" w:themeColor="text1"/>
                <w14:textFill>
                  <w14:solidFill>
                    <w14:schemeClr w14:val="tx1"/>
                  </w14:solidFill>
                </w14:textFill>
              </w:rPr>
            </w:pPr>
            <w:r>
              <w:rPr>
                <w:color w:val="000000" w:themeColor="text1"/>
                <w:lang w:bidi="ar"/>
                <w14:textFill>
                  <w14:solidFill>
                    <w14:schemeClr w14:val="tx1"/>
                  </w14:solidFill>
                </w14:textFill>
              </w:rPr>
              <w:t>本项目厂界外周边 50 米范围内不存在声环境保护目标，因此无需进行声环境现状调查。</w:t>
            </w:r>
          </w:p>
          <w:p>
            <w:pPr>
              <w:spacing w:line="360" w:lineRule="auto"/>
              <w:ind w:firstLine="422" w:firstLineChars="200"/>
              <w:rPr>
                <w:b/>
                <w:color w:val="000000" w:themeColor="text1"/>
                <w14:textFill>
                  <w14:solidFill>
                    <w14:schemeClr w14:val="tx1"/>
                  </w14:solidFill>
                </w14:textFill>
              </w:rPr>
            </w:pPr>
            <w:r>
              <w:rPr>
                <w:b/>
                <w:color w:val="000000" w:themeColor="text1"/>
                <w14:textFill>
                  <w14:solidFill>
                    <w14:schemeClr w14:val="tx1"/>
                  </w14:solidFill>
                </w14:textFill>
              </w:rPr>
              <w:t>4、生态环境</w:t>
            </w:r>
          </w:p>
          <w:p>
            <w:pPr>
              <w:widowControl/>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本项目用地范围内不涉及生态环境保护目标，因此无需进行生态现状调查。</w:t>
            </w:r>
          </w:p>
          <w:p>
            <w:pPr>
              <w:spacing w:line="360" w:lineRule="auto"/>
              <w:ind w:firstLine="422" w:firstLineChars="200"/>
              <w:rPr>
                <w:b/>
                <w:bCs/>
                <w:color w:val="000000" w:themeColor="text1"/>
                <w14:textFill>
                  <w14:solidFill>
                    <w14:schemeClr w14:val="tx1"/>
                  </w14:solidFill>
                </w14:textFill>
              </w:rPr>
            </w:pPr>
            <w:r>
              <w:rPr>
                <w:b/>
                <w:bCs/>
                <w:color w:val="000000" w:themeColor="text1"/>
                <w14:textFill>
                  <w14:solidFill>
                    <w14:schemeClr w14:val="tx1"/>
                  </w14:solidFill>
                </w14:textFill>
              </w:rPr>
              <w:t>6、地下水、土壤环境</w:t>
            </w:r>
          </w:p>
          <w:p>
            <w:pPr>
              <w:widowControl/>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项目厂房均已硬底化无污染土壤、地下水环境的途径，故无需进行地下水、土壤环境质量现状调查。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196" w:hRule="atLeast"/>
          <w:jc w:val="center"/>
        </w:trPr>
        <w:tc>
          <w:tcPr>
            <w:tcW w:w="349"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环境</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保护</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目标</w:t>
            </w:r>
          </w:p>
        </w:tc>
        <w:tc>
          <w:tcPr>
            <w:tcW w:w="4650" w:type="pct"/>
            <w:vAlign w:val="center"/>
          </w:tcPr>
          <w:p>
            <w:pPr>
              <w:widowControl/>
              <w:numPr>
                <w:ilvl w:val="0"/>
                <w:numId w:val="18"/>
              </w:numPr>
              <w:adjustRightInd w:val="0"/>
              <w:snapToGrid w:val="0"/>
              <w:spacing w:line="360" w:lineRule="auto"/>
              <w:ind w:left="0" w:firstLine="567"/>
              <w:rPr>
                <w:b/>
                <w:color w:val="000000" w:themeColor="text1"/>
                <w14:textFill>
                  <w14:solidFill>
                    <w14:schemeClr w14:val="tx1"/>
                  </w14:solidFill>
                </w14:textFill>
              </w:rPr>
            </w:pPr>
            <w:r>
              <w:rPr>
                <w:b/>
                <w:color w:val="000000" w:themeColor="text1"/>
                <w14:textFill>
                  <w14:solidFill>
                    <w14:schemeClr w14:val="tx1"/>
                  </w14:solidFill>
                </w14:textFill>
              </w:rPr>
              <w:t>大气环境</w:t>
            </w:r>
          </w:p>
          <w:p>
            <w:pPr>
              <w:widowControl/>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根据《建设项目环境影响报告表编制技术指南（污染影响类）（试行）》（环办环评〔2020〕33号）的要求：大气环境保护目标的范围为厂界外500米，项目周边500米范围内大气环境保护目标如下表所示。</w:t>
            </w:r>
          </w:p>
          <w:p>
            <w:pPr>
              <w:widowControl/>
              <w:spacing w:line="360"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表3-6 大气环境保护目标一览表</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21"/>
              <w:gridCol w:w="1409"/>
              <w:gridCol w:w="1605"/>
              <w:gridCol w:w="1512"/>
              <w:gridCol w:w="1132"/>
              <w:gridCol w:w="1263"/>
              <w:gridCol w:w="8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5" w:type="pct"/>
                  <w:vMerge w:val="restart"/>
                  <w:vAlign w:val="center"/>
                </w:tcPr>
                <w:p>
                  <w:pPr>
                    <w:pStyle w:val="469"/>
                    <w:adjustRightInd/>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环境保护目标名称</w:t>
                  </w:r>
                </w:p>
              </w:tc>
              <w:tc>
                <w:tcPr>
                  <w:tcW w:w="779" w:type="pct"/>
                  <w:vMerge w:val="restart"/>
                  <w:vAlign w:val="center"/>
                </w:tcPr>
                <w:p>
                  <w:pPr>
                    <w:pStyle w:val="469"/>
                    <w:adjustRightInd/>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距离</w:t>
                  </w:r>
                </w:p>
                <w:p>
                  <w:pPr>
                    <w:pStyle w:val="469"/>
                    <w:adjustRightInd/>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厂界（m）</w:t>
                  </w:r>
                </w:p>
              </w:tc>
              <w:tc>
                <w:tcPr>
                  <w:tcW w:w="1723" w:type="pct"/>
                  <w:gridSpan w:val="2"/>
                  <w:vAlign w:val="center"/>
                </w:tcPr>
                <w:p>
                  <w:pPr>
                    <w:pStyle w:val="469"/>
                    <w:adjustRightInd/>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坐标</w:t>
                  </w:r>
                </w:p>
              </w:tc>
              <w:tc>
                <w:tcPr>
                  <w:tcW w:w="626" w:type="pct"/>
                  <w:vMerge w:val="restart"/>
                  <w:vAlign w:val="center"/>
                </w:tcPr>
                <w:p>
                  <w:pPr>
                    <w:pStyle w:val="469"/>
                    <w:adjustRightInd/>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方位</w:t>
                  </w:r>
                </w:p>
              </w:tc>
              <w:tc>
                <w:tcPr>
                  <w:tcW w:w="698" w:type="pct"/>
                  <w:vMerge w:val="restart"/>
                  <w:vAlign w:val="center"/>
                </w:tcPr>
                <w:p>
                  <w:pPr>
                    <w:pStyle w:val="469"/>
                    <w:adjustRightInd/>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性质规模</w:t>
                  </w:r>
                </w:p>
              </w:tc>
              <w:tc>
                <w:tcPr>
                  <w:tcW w:w="496" w:type="pct"/>
                  <w:vMerge w:val="restart"/>
                  <w:vAlign w:val="center"/>
                </w:tcPr>
                <w:p>
                  <w:pPr>
                    <w:pStyle w:val="469"/>
                    <w:adjustRightInd/>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保护级别</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5" w:type="pct"/>
                  <w:vMerge w:val="continue"/>
                  <w:vAlign w:val="center"/>
                </w:tcPr>
                <w:p>
                  <w:pPr>
                    <w:pStyle w:val="469"/>
                    <w:adjustRightInd/>
                    <w:spacing w:line="240" w:lineRule="auto"/>
                    <w:rPr>
                      <w:rFonts w:ascii="Times New Roman" w:hAnsi="Times New Roman" w:eastAsia="宋体" w:cs="Times New Roman"/>
                      <w:color w:val="FF0000"/>
                      <w:sz w:val="21"/>
                      <w:szCs w:val="21"/>
                    </w:rPr>
                  </w:pPr>
                </w:p>
              </w:tc>
              <w:tc>
                <w:tcPr>
                  <w:tcW w:w="779" w:type="pct"/>
                  <w:vMerge w:val="continue"/>
                  <w:vAlign w:val="center"/>
                </w:tcPr>
                <w:p>
                  <w:pPr>
                    <w:pStyle w:val="469"/>
                    <w:adjustRightInd/>
                    <w:spacing w:line="240" w:lineRule="auto"/>
                    <w:rPr>
                      <w:rFonts w:ascii="Times New Roman" w:hAnsi="Times New Roman" w:eastAsia="宋体" w:cs="Times New Roman"/>
                      <w:color w:val="FF0000"/>
                      <w:sz w:val="21"/>
                      <w:szCs w:val="21"/>
                    </w:rPr>
                  </w:pPr>
                </w:p>
              </w:tc>
              <w:tc>
                <w:tcPr>
                  <w:tcW w:w="887" w:type="pct"/>
                  <w:vAlign w:val="center"/>
                </w:tcPr>
                <w:p>
                  <w:pPr>
                    <w:pStyle w:val="469"/>
                    <w:adjustRightInd/>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E</w:t>
                  </w:r>
                </w:p>
              </w:tc>
              <w:tc>
                <w:tcPr>
                  <w:tcW w:w="836" w:type="pct"/>
                  <w:vAlign w:val="center"/>
                </w:tcPr>
                <w:p>
                  <w:pPr>
                    <w:pStyle w:val="469"/>
                    <w:adjustRightInd/>
                    <w:spacing w:line="240" w:lineRule="auto"/>
                    <w:rPr>
                      <w:rFonts w:ascii="Times New Roman" w:hAnsi="Times New Roman" w:eastAsia="宋体" w:cs="Times New Roman"/>
                      <w:b/>
                      <w:bCs/>
                      <w:sz w:val="21"/>
                      <w:szCs w:val="21"/>
                      <w:lang w:eastAsia="zh-CN"/>
                    </w:rPr>
                  </w:pPr>
                  <w:r>
                    <w:rPr>
                      <w:rFonts w:ascii="Times New Roman" w:hAnsi="Times New Roman" w:eastAsia="宋体" w:cs="Times New Roman"/>
                      <w:b/>
                      <w:bCs/>
                      <w:sz w:val="21"/>
                      <w:szCs w:val="21"/>
                      <w:lang w:eastAsia="zh-CN"/>
                    </w:rPr>
                    <w:t>N</w:t>
                  </w:r>
                </w:p>
              </w:tc>
              <w:tc>
                <w:tcPr>
                  <w:tcW w:w="626" w:type="pct"/>
                  <w:vMerge w:val="continue"/>
                  <w:vAlign w:val="center"/>
                </w:tcPr>
                <w:p>
                  <w:pPr>
                    <w:pStyle w:val="469"/>
                    <w:adjustRightInd/>
                    <w:spacing w:line="240" w:lineRule="auto"/>
                    <w:rPr>
                      <w:rFonts w:ascii="Times New Roman" w:hAnsi="Times New Roman" w:eastAsia="宋体" w:cs="Times New Roman"/>
                      <w:b/>
                      <w:bCs/>
                      <w:color w:val="FF0000"/>
                      <w:sz w:val="21"/>
                      <w:szCs w:val="21"/>
                      <w:lang w:eastAsia="zh-CN"/>
                    </w:rPr>
                  </w:pPr>
                </w:p>
              </w:tc>
              <w:tc>
                <w:tcPr>
                  <w:tcW w:w="698" w:type="pct"/>
                  <w:vMerge w:val="continue"/>
                  <w:vAlign w:val="center"/>
                </w:tcPr>
                <w:p>
                  <w:pPr>
                    <w:pStyle w:val="469"/>
                    <w:adjustRightInd/>
                    <w:spacing w:line="240" w:lineRule="auto"/>
                    <w:rPr>
                      <w:rFonts w:ascii="Times New Roman" w:hAnsi="Times New Roman" w:eastAsia="宋体" w:cs="Times New Roman"/>
                      <w:b/>
                      <w:bCs/>
                      <w:color w:val="FF0000"/>
                      <w:sz w:val="21"/>
                      <w:szCs w:val="21"/>
                      <w:lang w:eastAsia="zh-CN"/>
                    </w:rPr>
                  </w:pPr>
                </w:p>
              </w:tc>
              <w:tc>
                <w:tcPr>
                  <w:tcW w:w="496" w:type="pct"/>
                  <w:vMerge w:val="continue"/>
                  <w:vAlign w:val="center"/>
                </w:tcPr>
                <w:p>
                  <w:pPr>
                    <w:pStyle w:val="469"/>
                    <w:adjustRightInd/>
                    <w:spacing w:line="240" w:lineRule="auto"/>
                    <w:rPr>
                      <w:rFonts w:ascii="Times New Roman" w:hAnsi="Times New Roman" w:eastAsia="宋体" w:cs="Times New Roman"/>
                      <w:b/>
                      <w:bCs/>
                      <w:color w:val="FF0000"/>
                      <w:sz w:val="21"/>
                      <w:szCs w:val="21"/>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4" w:hRule="atLeast"/>
                <w:jc w:val="center"/>
              </w:trPr>
              <w:tc>
                <w:tcPr>
                  <w:tcW w:w="675" w:type="pct"/>
                  <w:vAlign w:val="center"/>
                </w:tcPr>
                <w:p>
                  <w:pPr>
                    <w:jc w:val="center"/>
                    <w:textAlignment w:val="center"/>
                  </w:pPr>
                  <w:r>
                    <w:t>九潭村居民点1</w:t>
                  </w:r>
                </w:p>
              </w:tc>
              <w:tc>
                <w:tcPr>
                  <w:tcW w:w="779"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387</w:t>
                  </w:r>
                </w:p>
              </w:tc>
              <w:tc>
                <w:tcPr>
                  <w:tcW w:w="887"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113°58′37.18″</w:t>
                  </w:r>
                </w:p>
              </w:tc>
              <w:tc>
                <w:tcPr>
                  <w:tcW w:w="836"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23°9′33.23″</w:t>
                  </w:r>
                </w:p>
              </w:tc>
              <w:tc>
                <w:tcPr>
                  <w:tcW w:w="626"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东南面</w:t>
                  </w:r>
                </w:p>
              </w:tc>
              <w:tc>
                <w:tcPr>
                  <w:tcW w:w="698"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居住区，约350人</w:t>
                  </w:r>
                </w:p>
              </w:tc>
              <w:tc>
                <w:tcPr>
                  <w:tcW w:w="496" w:type="pct"/>
                  <w:vMerge w:val="restart"/>
                  <w:vAlign w:val="center"/>
                </w:tcPr>
                <w:p>
                  <w:pPr>
                    <w:pStyle w:val="469"/>
                    <w:adjustRightInd/>
                    <w:spacing w:line="240" w:lineRule="auto"/>
                    <w:rPr>
                      <w:rFonts w:ascii="Times New Roman" w:hAnsi="Times New Roman" w:eastAsia="宋体" w:cs="Times New Roman"/>
                      <w:bCs/>
                      <w:color w:val="FF0000"/>
                      <w:sz w:val="21"/>
                      <w:szCs w:val="21"/>
                      <w:lang w:eastAsia="zh-CN"/>
                    </w:rPr>
                  </w:pPr>
                  <w:r>
                    <w:rPr>
                      <w:rFonts w:ascii="Times New Roman" w:hAnsi="Times New Roman" w:eastAsia="宋体" w:cs="Times New Roman"/>
                      <w:bCs/>
                      <w:sz w:val="21"/>
                      <w:szCs w:val="21"/>
                      <w:lang w:eastAsia="zh-CN"/>
                    </w:rPr>
                    <w:t>环境空气二类区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5" w:type="pct"/>
                  <w:vAlign w:val="center"/>
                </w:tcPr>
                <w:p>
                  <w:pPr>
                    <w:jc w:val="center"/>
                    <w:textAlignment w:val="center"/>
                  </w:pPr>
                  <w:r>
                    <w:t>九潭村居民点2</w:t>
                  </w:r>
                </w:p>
              </w:tc>
              <w:tc>
                <w:tcPr>
                  <w:tcW w:w="779"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247</w:t>
                  </w:r>
                </w:p>
              </w:tc>
              <w:tc>
                <w:tcPr>
                  <w:tcW w:w="887"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113°58′25.82″</w:t>
                  </w:r>
                </w:p>
              </w:tc>
              <w:tc>
                <w:tcPr>
                  <w:tcW w:w="836"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23°9′45.84″</w:t>
                  </w:r>
                </w:p>
              </w:tc>
              <w:tc>
                <w:tcPr>
                  <w:tcW w:w="626"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北面</w:t>
                  </w:r>
                </w:p>
              </w:tc>
              <w:tc>
                <w:tcPr>
                  <w:tcW w:w="698"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居住区，约100人</w:t>
                  </w:r>
                </w:p>
              </w:tc>
              <w:tc>
                <w:tcPr>
                  <w:tcW w:w="496" w:type="pct"/>
                  <w:vMerge w:val="continue"/>
                  <w:vAlign w:val="center"/>
                </w:tcPr>
                <w:p>
                  <w:pPr>
                    <w:pStyle w:val="469"/>
                    <w:adjustRightInd/>
                    <w:spacing w:line="240" w:lineRule="auto"/>
                    <w:rPr>
                      <w:rFonts w:ascii="Times New Roman" w:hAnsi="Times New Roman" w:eastAsia="宋体" w:cs="Times New Roman"/>
                      <w:bCs/>
                      <w:color w:val="000000" w:themeColor="text1"/>
                      <w:sz w:val="21"/>
                      <w:szCs w:val="21"/>
                      <w:lang w:eastAsia="zh-CN"/>
                      <w14:textFill>
                        <w14:solidFill>
                          <w14:schemeClr w14:val="tx1"/>
                        </w14:solidFill>
                      </w14:textFill>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75" w:type="pct"/>
                  <w:vAlign w:val="center"/>
                </w:tcPr>
                <w:p>
                  <w:pPr>
                    <w:jc w:val="center"/>
                    <w:textAlignment w:val="center"/>
                  </w:pPr>
                  <w:r>
                    <w:t>博深之星幼儿园</w:t>
                  </w:r>
                </w:p>
              </w:tc>
              <w:tc>
                <w:tcPr>
                  <w:tcW w:w="779"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336</w:t>
                  </w:r>
                </w:p>
              </w:tc>
              <w:tc>
                <w:tcPr>
                  <w:tcW w:w="887"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113°58′35.24″</w:t>
                  </w:r>
                </w:p>
              </w:tc>
              <w:tc>
                <w:tcPr>
                  <w:tcW w:w="836"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23°9′40.61″</w:t>
                  </w:r>
                </w:p>
              </w:tc>
              <w:tc>
                <w:tcPr>
                  <w:tcW w:w="626"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东面</w:t>
                  </w:r>
                </w:p>
              </w:tc>
              <w:tc>
                <w:tcPr>
                  <w:tcW w:w="698"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学校，约200人</w:t>
                  </w:r>
                </w:p>
              </w:tc>
              <w:tc>
                <w:tcPr>
                  <w:tcW w:w="496" w:type="pct"/>
                  <w:vMerge w:val="continue"/>
                  <w:vAlign w:val="center"/>
                </w:tcPr>
                <w:p>
                  <w:pPr>
                    <w:pStyle w:val="469"/>
                    <w:adjustRightInd/>
                    <w:spacing w:line="240" w:lineRule="auto"/>
                    <w:rPr>
                      <w:rFonts w:ascii="Times New Roman" w:hAnsi="Times New Roman" w:eastAsia="宋体" w:cs="Times New Roman"/>
                      <w:bCs/>
                      <w:color w:val="000000" w:themeColor="text1"/>
                      <w:sz w:val="21"/>
                      <w:szCs w:val="21"/>
                      <w:lang w:eastAsia="zh-CN"/>
                      <w14:textFill>
                        <w14:solidFill>
                          <w14:schemeClr w14:val="tx1"/>
                        </w14:solidFill>
                      </w14:textFill>
                    </w:rPr>
                  </w:pPr>
                </w:p>
              </w:tc>
            </w:tr>
          </w:tbl>
          <w:p>
            <w:pPr>
              <w:widowControl/>
              <w:numPr>
                <w:ilvl w:val="0"/>
                <w:numId w:val="18"/>
              </w:numPr>
              <w:adjustRightInd w:val="0"/>
              <w:snapToGrid w:val="0"/>
              <w:spacing w:line="360" w:lineRule="auto"/>
              <w:ind w:left="0" w:firstLine="422" w:firstLineChars="200"/>
              <w:rPr>
                <w:b/>
                <w:color w:val="000000" w:themeColor="text1"/>
                <w:kern w:val="21"/>
                <w14:textFill>
                  <w14:solidFill>
                    <w14:schemeClr w14:val="tx1"/>
                  </w14:solidFill>
                </w14:textFill>
              </w:rPr>
            </w:pPr>
            <w:r>
              <w:rPr>
                <w:b/>
                <w:color w:val="000000" w:themeColor="text1"/>
                <w:kern w:val="21"/>
                <w14:textFill>
                  <w14:solidFill>
                    <w14:schemeClr w14:val="tx1"/>
                  </w14:solidFill>
                </w14:textFill>
              </w:rPr>
              <w:t>声环境</w:t>
            </w:r>
          </w:p>
          <w:p>
            <w:pPr>
              <w:widowControl/>
              <w:adjustRightInd w:val="0"/>
              <w:snapToGrid w:val="0"/>
              <w:spacing w:line="360" w:lineRule="auto"/>
              <w:ind w:firstLine="420" w:firstLineChars="200"/>
              <w:rPr>
                <w:color w:val="000000" w:themeColor="text1"/>
                <w14:textFill>
                  <w14:solidFill>
                    <w14:schemeClr w14:val="tx1"/>
                  </w14:solidFill>
                </w14:textFill>
              </w:rPr>
            </w:pPr>
            <w:r>
              <w:rPr>
                <w:color w:val="000000" w:themeColor="text1"/>
                <w14:textFill>
                  <w14:solidFill>
                    <w14:schemeClr w14:val="tx1"/>
                  </w14:solidFill>
                </w14:textFill>
              </w:rPr>
              <w:t>根据《建设项目环境影响报告表编制技术指南（污染影响类）（试行）》（环办环评〔2020〕33号）的要求：声环境保护目标的范围为厂界外50米，项目厂界外50米范围内无声环境保护目标。</w:t>
            </w:r>
          </w:p>
          <w:p>
            <w:pPr>
              <w:widowControl/>
              <w:numPr>
                <w:ilvl w:val="0"/>
                <w:numId w:val="18"/>
              </w:numPr>
              <w:adjustRightInd w:val="0"/>
              <w:snapToGrid w:val="0"/>
              <w:spacing w:line="360" w:lineRule="auto"/>
              <w:ind w:left="0" w:firstLine="422" w:firstLineChars="200"/>
              <w:rPr>
                <w:b/>
                <w:color w:val="000000" w:themeColor="text1"/>
                <w:kern w:val="21"/>
                <w14:textFill>
                  <w14:solidFill>
                    <w14:schemeClr w14:val="tx1"/>
                  </w14:solidFill>
                </w14:textFill>
              </w:rPr>
            </w:pPr>
            <w:r>
              <w:rPr>
                <w:b/>
                <w:color w:val="000000" w:themeColor="text1"/>
                <w:kern w:val="21"/>
                <w14:textFill>
                  <w14:solidFill>
                    <w14:schemeClr w14:val="tx1"/>
                  </w14:solidFill>
                </w14:textFill>
              </w:rPr>
              <w:t>地下水环境</w:t>
            </w:r>
          </w:p>
          <w:p>
            <w:pPr>
              <w:widowControl/>
              <w:adjustRightInd w:val="0"/>
              <w:snapToGrid w:val="0"/>
              <w:spacing w:line="360" w:lineRule="auto"/>
              <w:ind w:firstLine="420" w:firstLineChars="200"/>
              <w:rPr>
                <w:color w:val="000000" w:themeColor="text1"/>
                <w:kern w:val="21"/>
                <w14:textFill>
                  <w14:solidFill>
                    <w14:schemeClr w14:val="tx1"/>
                  </w14:solidFill>
                </w14:textFill>
              </w:rPr>
            </w:pPr>
            <w:r>
              <w:rPr>
                <w:color w:val="000000" w:themeColor="text1"/>
                <w:kern w:val="21"/>
                <w14:textFill>
                  <w14:solidFill>
                    <w14:schemeClr w14:val="tx1"/>
                  </w14:solidFill>
                </w14:textFill>
              </w:rPr>
              <w:t>项目厂界外 500 米范围内无地下水集中式饮用水水源和热水、矿泉水、温泉等特殊地下水资源。</w:t>
            </w:r>
          </w:p>
          <w:p>
            <w:pPr>
              <w:widowControl/>
              <w:numPr>
                <w:ilvl w:val="0"/>
                <w:numId w:val="18"/>
              </w:numPr>
              <w:adjustRightInd w:val="0"/>
              <w:snapToGrid w:val="0"/>
              <w:spacing w:line="360" w:lineRule="auto"/>
              <w:ind w:left="0" w:firstLine="422" w:firstLineChars="200"/>
              <w:rPr>
                <w:b/>
                <w:color w:val="000000" w:themeColor="text1"/>
                <w:kern w:val="21"/>
                <w14:textFill>
                  <w14:solidFill>
                    <w14:schemeClr w14:val="tx1"/>
                  </w14:solidFill>
                </w14:textFill>
              </w:rPr>
            </w:pPr>
            <w:r>
              <w:rPr>
                <w:b/>
                <w:color w:val="000000" w:themeColor="text1"/>
                <w:kern w:val="21"/>
                <w14:textFill>
                  <w14:solidFill>
                    <w14:schemeClr w14:val="tx1"/>
                  </w14:solidFill>
                </w14:textFill>
              </w:rPr>
              <w:t>生态环境</w:t>
            </w:r>
          </w:p>
          <w:p>
            <w:pPr>
              <w:autoSpaceDE w:val="0"/>
              <w:autoSpaceDN w:val="0"/>
              <w:adjustRightInd w:val="0"/>
              <w:snapToGrid w:val="0"/>
              <w:spacing w:line="360" w:lineRule="auto"/>
              <w:ind w:firstLine="420" w:firstLineChars="200"/>
              <w:rPr>
                <w:b/>
                <w:bCs/>
                <w:color w:val="000000" w:themeColor="text1"/>
                <w14:textFill>
                  <w14:solidFill>
                    <w14:schemeClr w14:val="tx1"/>
                  </w14:solidFill>
                </w14:textFill>
              </w:rPr>
            </w:pPr>
            <w:r>
              <w:rPr>
                <w:color w:val="000000" w:themeColor="text1"/>
                <w14:textFill>
                  <w14:solidFill>
                    <w14:schemeClr w14:val="tx1"/>
                  </w14:solidFill>
                </w14:textFill>
              </w:rPr>
              <w:t>本项目租赁现有厂房，无新增用地，区域附近无风景名胜区、自然保护区及文化遗产等特殊保护目标，生态环境不属于敏感区。且厂区内以人工植被为主，且占地范围内均已硬化，不存在大型野生动物及珍稀植物，可不开展生态现状调查</w:t>
            </w:r>
            <w:r>
              <w:rPr>
                <w:color w:val="000000" w:themeColor="text1"/>
                <w:kern w:val="21"/>
                <w14:textFill>
                  <w14:solidFill>
                    <w14:schemeClr w14:val="tx1"/>
                  </w14:solidFill>
                </w14:textFill>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1094" w:hRule="atLeast"/>
          <w:jc w:val="center"/>
        </w:trPr>
        <w:tc>
          <w:tcPr>
            <w:tcW w:w="349" w:type="pct"/>
            <w:tcMar>
              <w:left w:w="28" w:type="dxa"/>
              <w:right w:w="28" w:type="dxa"/>
            </w:tcMar>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污染</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物排</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放控</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制标</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准</w:t>
            </w:r>
          </w:p>
        </w:tc>
        <w:tc>
          <w:tcPr>
            <w:tcW w:w="4650" w:type="pct"/>
            <w:vAlign w:val="center"/>
          </w:tcPr>
          <w:p>
            <w:pPr>
              <w:numPr>
                <w:ilvl w:val="0"/>
                <w:numId w:val="19"/>
              </w:numPr>
              <w:adjustRightInd w:val="0"/>
              <w:snapToGrid w:val="0"/>
              <w:spacing w:before="120" w:beforeLines="50" w:line="360" w:lineRule="auto"/>
              <w:ind w:firstLine="422" w:firstLineChars="200"/>
              <w:rPr>
                <w:b/>
                <w:bCs/>
              </w:rPr>
            </w:pPr>
            <w:r>
              <w:rPr>
                <w:b/>
                <w:bCs/>
              </w:rPr>
              <w:t>水污染物排放标准</w:t>
            </w:r>
          </w:p>
          <w:p>
            <w:pPr>
              <w:adjustRightInd w:val="0"/>
              <w:snapToGrid w:val="0"/>
              <w:spacing w:line="360" w:lineRule="auto"/>
              <w:ind w:firstLine="420" w:firstLineChars="200"/>
            </w:pPr>
            <w:r>
              <w:t>本项目主要外排废水为员工生活污水，</w:t>
            </w:r>
            <w:r>
              <w:rPr>
                <w:bCs/>
              </w:rPr>
              <w:t>生活污水经</w:t>
            </w:r>
            <w:r>
              <w:t>三级化粪池预处理达到广东省《水污染物排放限值》(DB44/26-2001)第二时段三级标准后，经市政集污管网</w:t>
            </w:r>
            <w:r>
              <w:rPr>
                <w:bCs/>
              </w:rPr>
              <w:t>排入园洲镇第三污水处理厂</w:t>
            </w:r>
            <w:r>
              <w:t>处理达标后排入园洲新村排渠，再汇入沙河，最终注入东江</w:t>
            </w:r>
            <w:r>
              <w:rPr>
                <w:bCs/>
              </w:rPr>
              <w:t>。园洲镇第三污水处理厂</w:t>
            </w:r>
            <w:r>
              <w:t>出水水质排放执行国家《城镇污水处理厂污染物排放标准》(GB18918-2002)中的一级A标准以及广东省《水污染物排放限值》(DB44/26-2001)第二时段一级标准中的较严值，其中氨氮和总磷浓度执行《地表水环境质量标准》（GB3838-2002）Ⅴ类标准。项目污水排放标准详见下表。具体数值见下表。</w:t>
            </w:r>
          </w:p>
          <w:p>
            <w:pPr>
              <w:widowControl/>
              <w:spacing w:line="360" w:lineRule="auto"/>
              <w:jc w:val="center"/>
              <w:rPr>
                <w:b/>
                <w:bCs/>
              </w:rPr>
            </w:pPr>
            <w:r>
              <w:rPr>
                <w:b/>
                <w:bCs/>
              </w:rPr>
              <w:t>表3-7 项目水污染物排放限值 单位：mg/L</w:t>
            </w:r>
          </w:p>
          <w:tbl>
            <w:tblPr>
              <w:tblStyle w:val="100"/>
              <w:tblW w:w="49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686"/>
              <w:gridCol w:w="1147"/>
              <w:gridCol w:w="1045"/>
              <w:gridCol w:w="768"/>
              <w:gridCol w:w="1268"/>
              <w:gridCol w:w="824"/>
              <w:gridCol w:w="12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1" w:hRule="atLeast"/>
                <w:jc w:val="center"/>
              </w:trPr>
              <w:tc>
                <w:tcPr>
                  <w:tcW w:w="1494" w:type="pct"/>
                  <w:vAlign w:val="center"/>
                </w:tcPr>
                <w:p>
                  <w:pPr>
                    <w:adjustRightInd w:val="0"/>
                    <w:snapToGrid w:val="0"/>
                    <w:jc w:val="center"/>
                    <w:rPr>
                      <w:b/>
                    </w:rPr>
                  </w:pPr>
                  <w:r>
                    <w:rPr>
                      <w:b/>
                    </w:rPr>
                    <w:t>污染物</w:t>
                  </w:r>
                </w:p>
              </w:tc>
              <w:tc>
                <w:tcPr>
                  <w:tcW w:w="638" w:type="pct"/>
                  <w:vAlign w:val="center"/>
                </w:tcPr>
                <w:p>
                  <w:pPr>
                    <w:adjustRightInd w:val="0"/>
                    <w:snapToGrid w:val="0"/>
                    <w:jc w:val="center"/>
                    <w:rPr>
                      <w:b/>
                    </w:rPr>
                  </w:pPr>
                  <w:r>
                    <w:rPr>
                      <w:b/>
                    </w:rPr>
                    <w:t>COD</w:t>
                  </w:r>
                  <w:r>
                    <w:rPr>
                      <w:b/>
                      <w:vertAlign w:val="subscript"/>
                    </w:rPr>
                    <w:t>Cr</w:t>
                  </w:r>
                </w:p>
              </w:tc>
              <w:tc>
                <w:tcPr>
                  <w:tcW w:w="581" w:type="pct"/>
                  <w:vAlign w:val="center"/>
                </w:tcPr>
                <w:p>
                  <w:pPr>
                    <w:adjustRightInd w:val="0"/>
                    <w:snapToGrid w:val="0"/>
                    <w:jc w:val="center"/>
                    <w:rPr>
                      <w:b/>
                    </w:rPr>
                  </w:pPr>
                  <w:r>
                    <w:rPr>
                      <w:b/>
                    </w:rPr>
                    <w:t>BOD</w:t>
                  </w:r>
                  <w:r>
                    <w:rPr>
                      <w:b/>
                      <w:vertAlign w:val="subscript"/>
                    </w:rPr>
                    <w:t>5</w:t>
                  </w:r>
                </w:p>
              </w:tc>
              <w:tc>
                <w:tcPr>
                  <w:tcW w:w="427" w:type="pct"/>
                  <w:vAlign w:val="center"/>
                </w:tcPr>
                <w:p>
                  <w:pPr>
                    <w:adjustRightInd w:val="0"/>
                    <w:snapToGrid w:val="0"/>
                    <w:jc w:val="center"/>
                    <w:rPr>
                      <w:b/>
                    </w:rPr>
                  </w:pPr>
                  <w:r>
                    <w:rPr>
                      <w:b/>
                    </w:rPr>
                    <w:t>SS</w:t>
                  </w:r>
                </w:p>
              </w:tc>
              <w:tc>
                <w:tcPr>
                  <w:tcW w:w="705" w:type="pct"/>
                  <w:vAlign w:val="center"/>
                </w:tcPr>
                <w:p>
                  <w:pPr>
                    <w:adjustRightInd w:val="0"/>
                    <w:snapToGrid w:val="0"/>
                    <w:jc w:val="center"/>
                    <w:rPr>
                      <w:b/>
                    </w:rPr>
                  </w:pPr>
                  <w:r>
                    <w:rPr>
                      <w:b/>
                    </w:rPr>
                    <w:t>NH</w:t>
                  </w:r>
                  <w:r>
                    <w:rPr>
                      <w:b/>
                      <w:vertAlign w:val="subscript"/>
                    </w:rPr>
                    <w:t>3</w:t>
                  </w:r>
                  <w:r>
                    <w:rPr>
                      <w:b/>
                    </w:rPr>
                    <w:t>-N</w:t>
                  </w:r>
                </w:p>
              </w:tc>
              <w:tc>
                <w:tcPr>
                  <w:tcW w:w="458" w:type="pct"/>
                  <w:vAlign w:val="center"/>
                </w:tcPr>
                <w:p>
                  <w:pPr>
                    <w:adjustRightInd w:val="0"/>
                    <w:snapToGrid w:val="0"/>
                    <w:jc w:val="center"/>
                    <w:rPr>
                      <w:b/>
                    </w:rPr>
                  </w:pPr>
                  <w:r>
                    <w:rPr>
                      <w:b/>
                    </w:rPr>
                    <w:t>TP</w:t>
                  </w:r>
                </w:p>
              </w:tc>
              <w:tc>
                <w:tcPr>
                  <w:tcW w:w="695" w:type="pct"/>
                  <w:vAlign w:val="center"/>
                </w:tcPr>
                <w:p>
                  <w:pPr>
                    <w:adjustRightInd w:val="0"/>
                    <w:snapToGrid w:val="0"/>
                    <w:jc w:val="center"/>
                    <w:rPr>
                      <w:b/>
                    </w:rPr>
                  </w:pPr>
                  <w:r>
                    <w:rPr>
                      <w:b/>
                    </w:rPr>
                    <w:t>动植物油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494" w:type="pct"/>
                  <w:vAlign w:val="center"/>
                </w:tcPr>
                <w:p>
                  <w:pPr>
                    <w:adjustRightInd w:val="0"/>
                    <w:snapToGrid w:val="0"/>
                    <w:jc w:val="center"/>
                  </w:pPr>
                  <w:r>
                    <w:t>(DB44/26-2001)第二时段三级标准</w:t>
                  </w:r>
                </w:p>
              </w:tc>
              <w:tc>
                <w:tcPr>
                  <w:tcW w:w="638" w:type="pct"/>
                  <w:vAlign w:val="center"/>
                </w:tcPr>
                <w:p>
                  <w:pPr>
                    <w:adjustRightInd w:val="0"/>
                    <w:snapToGrid w:val="0"/>
                    <w:jc w:val="center"/>
                  </w:pPr>
                  <w:r>
                    <w:t>≤500</w:t>
                  </w:r>
                </w:p>
              </w:tc>
              <w:tc>
                <w:tcPr>
                  <w:tcW w:w="581" w:type="pct"/>
                  <w:vAlign w:val="center"/>
                </w:tcPr>
                <w:p>
                  <w:pPr>
                    <w:adjustRightInd w:val="0"/>
                    <w:snapToGrid w:val="0"/>
                    <w:jc w:val="center"/>
                  </w:pPr>
                  <w:r>
                    <w:t>≤300</w:t>
                  </w:r>
                </w:p>
              </w:tc>
              <w:tc>
                <w:tcPr>
                  <w:tcW w:w="427" w:type="pct"/>
                  <w:vAlign w:val="center"/>
                </w:tcPr>
                <w:p>
                  <w:pPr>
                    <w:adjustRightInd w:val="0"/>
                    <w:snapToGrid w:val="0"/>
                    <w:jc w:val="center"/>
                  </w:pPr>
                  <w:r>
                    <w:t>≤400</w:t>
                  </w:r>
                </w:p>
              </w:tc>
              <w:tc>
                <w:tcPr>
                  <w:tcW w:w="705" w:type="pct"/>
                  <w:vAlign w:val="center"/>
                </w:tcPr>
                <w:p>
                  <w:pPr>
                    <w:adjustRightInd w:val="0"/>
                    <w:snapToGrid w:val="0"/>
                    <w:jc w:val="center"/>
                  </w:pPr>
                  <w:r>
                    <w:t>--</w:t>
                  </w:r>
                </w:p>
              </w:tc>
              <w:tc>
                <w:tcPr>
                  <w:tcW w:w="458" w:type="pct"/>
                  <w:vAlign w:val="center"/>
                </w:tcPr>
                <w:p>
                  <w:pPr>
                    <w:adjustRightInd w:val="0"/>
                    <w:snapToGrid w:val="0"/>
                    <w:jc w:val="center"/>
                  </w:pPr>
                  <w:r>
                    <w:t>--</w:t>
                  </w:r>
                </w:p>
              </w:tc>
              <w:tc>
                <w:tcPr>
                  <w:tcW w:w="1123" w:type="dxa"/>
                  <w:vAlign w:val="center"/>
                </w:tcPr>
                <w:p>
                  <w:pPr>
                    <w:jc w:val="center"/>
                  </w:pPr>
                  <w: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494" w:type="pct"/>
                  <w:vAlign w:val="center"/>
                </w:tcPr>
                <w:p>
                  <w:pPr>
                    <w:adjustRightInd w:val="0"/>
                    <w:snapToGrid w:val="0"/>
                    <w:jc w:val="center"/>
                  </w:pPr>
                  <w:r>
                    <w:t>（GB18918-2002）一级A标准</w:t>
                  </w:r>
                </w:p>
              </w:tc>
              <w:tc>
                <w:tcPr>
                  <w:tcW w:w="638" w:type="pct"/>
                  <w:vAlign w:val="center"/>
                </w:tcPr>
                <w:p>
                  <w:pPr>
                    <w:snapToGrid w:val="0"/>
                    <w:jc w:val="center"/>
                  </w:pPr>
                  <w:r>
                    <w:t>≤50</w:t>
                  </w:r>
                </w:p>
              </w:tc>
              <w:tc>
                <w:tcPr>
                  <w:tcW w:w="581" w:type="pct"/>
                  <w:vAlign w:val="center"/>
                </w:tcPr>
                <w:p>
                  <w:pPr>
                    <w:snapToGrid w:val="0"/>
                    <w:jc w:val="center"/>
                  </w:pPr>
                  <w:r>
                    <w:t>≤10</w:t>
                  </w:r>
                </w:p>
              </w:tc>
              <w:tc>
                <w:tcPr>
                  <w:tcW w:w="427" w:type="pct"/>
                  <w:vAlign w:val="center"/>
                </w:tcPr>
                <w:p>
                  <w:pPr>
                    <w:snapToGrid w:val="0"/>
                    <w:jc w:val="center"/>
                  </w:pPr>
                  <w:r>
                    <w:t>≤10</w:t>
                  </w:r>
                </w:p>
              </w:tc>
              <w:tc>
                <w:tcPr>
                  <w:tcW w:w="705" w:type="pct"/>
                  <w:vAlign w:val="center"/>
                </w:tcPr>
                <w:p>
                  <w:pPr>
                    <w:snapToGrid w:val="0"/>
                    <w:jc w:val="center"/>
                  </w:pPr>
                  <w:r>
                    <w:t>≤5</w:t>
                  </w:r>
                </w:p>
              </w:tc>
              <w:tc>
                <w:tcPr>
                  <w:tcW w:w="458" w:type="pct"/>
                  <w:vAlign w:val="center"/>
                </w:tcPr>
                <w:p>
                  <w:pPr>
                    <w:adjustRightInd w:val="0"/>
                    <w:snapToGrid w:val="0"/>
                    <w:jc w:val="center"/>
                  </w:pPr>
                  <w:r>
                    <w:t>≤0.5</w:t>
                  </w:r>
                </w:p>
              </w:tc>
              <w:tc>
                <w:tcPr>
                  <w:tcW w:w="1123" w:type="dxa"/>
                  <w:vAlign w:val="center"/>
                </w:tcPr>
                <w:p>
                  <w:pPr>
                    <w:jc w:val="center"/>
                  </w:pPr>
                  <w: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5" w:hRule="atLeast"/>
                <w:jc w:val="center"/>
              </w:trPr>
              <w:tc>
                <w:tcPr>
                  <w:tcW w:w="1494" w:type="pct"/>
                  <w:vAlign w:val="center"/>
                </w:tcPr>
                <w:p>
                  <w:pPr>
                    <w:adjustRightInd w:val="0"/>
                    <w:snapToGrid w:val="0"/>
                    <w:jc w:val="center"/>
                  </w:pPr>
                  <w:r>
                    <w:t>（DB44/26-2001）中城镇二级污水处理厂第二时段一级标准</w:t>
                  </w:r>
                </w:p>
              </w:tc>
              <w:tc>
                <w:tcPr>
                  <w:tcW w:w="638" w:type="pct"/>
                  <w:vAlign w:val="center"/>
                </w:tcPr>
                <w:p>
                  <w:pPr>
                    <w:snapToGrid w:val="0"/>
                    <w:jc w:val="center"/>
                  </w:pPr>
                  <w:r>
                    <w:t>≤40</w:t>
                  </w:r>
                </w:p>
              </w:tc>
              <w:tc>
                <w:tcPr>
                  <w:tcW w:w="581" w:type="pct"/>
                  <w:vAlign w:val="center"/>
                </w:tcPr>
                <w:p>
                  <w:pPr>
                    <w:snapToGrid w:val="0"/>
                    <w:jc w:val="center"/>
                  </w:pPr>
                  <w:r>
                    <w:t>≤20</w:t>
                  </w:r>
                </w:p>
              </w:tc>
              <w:tc>
                <w:tcPr>
                  <w:tcW w:w="427" w:type="pct"/>
                  <w:vAlign w:val="center"/>
                </w:tcPr>
                <w:p>
                  <w:pPr>
                    <w:snapToGrid w:val="0"/>
                    <w:jc w:val="center"/>
                  </w:pPr>
                  <w:r>
                    <w:t>≤20</w:t>
                  </w:r>
                </w:p>
              </w:tc>
              <w:tc>
                <w:tcPr>
                  <w:tcW w:w="705" w:type="pct"/>
                  <w:vAlign w:val="center"/>
                </w:tcPr>
                <w:p>
                  <w:pPr>
                    <w:snapToGrid w:val="0"/>
                    <w:jc w:val="center"/>
                  </w:pPr>
                  <w:r>
                    <w:t>≤10</w:t>
                  </w:r>
                </w:p>
              </w:tc>
              <w:tc>
                <w:tcPr>
                  <w:tcW w:w="458" w:type="pct"/>
                  <w:vAlign w:val="center"/>
                </w:tcPr>
                <w:p>
                  <w:pPr>
                    <w:adjustRightInd w:val="0"/>
                    <w:snapToGrid w:val="0"/>
                    <w:jc w:val="center"/>
                  </w:pPr>
                  <w:r>
                    <w:t>≤0.5</w:t>
                  </w:r>
                </w:p>
              </w:tc>
              <w:tc>
                <w:tcPr>
                  <w:tcW w:w="1123" w:type="dxa"/>
                  <w:vAlign w:val="center"/>
                </w:tcPr>
                <w:p>
                  <w:pPr>
                    <w:jc w:val="center"/>
                  </w:pPr>
                  <w: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6" w:hRule="atLeast"/>
                <w:jc w:val="center"/>
              </w:trPr>
              <w:tc>
                <w:tcPr>
                  <w:tcW w:w="1494" w:type="pct"/>
                  <w:vAlign w:val="center"/>
                </w:tcPr>
                <w:p>
                  <w:pPr>
                    <w:adjustRightInd w:val="0"/>
                    <w:snapToGrid w:val="0"/>
                    <w:jc w:val="center"/>
                  </w:pPr>
                  <w:r>
                    <w:t>（GB3838-2002）Ⅴ类标准</w:t>
                  </w:r>
                </w:p>
              </w:tc>
              <w:tc>
                <w:tcPr>
                  <w:tcW w:w="638" w:type="pct"/>
                  <w:vAlign w:val="center"/>
                </w:tcPr>
                <w:p>
                  <w:pPr>
                    <w:snapToGrid w:val="0"/>
                    <w:jc w:val="center"/>
                  </w:pPr>
                  <w:r>
                    <w:t>—</w:t>
                  </w:r>
                </w:p>
              </w:tc>
              <w:tc>
                <w:tcPr>
                  <w:tcW w:w="581" w:type="pct"/>
                  <w:vAlign w:val="center"/>
                </w:tcPr>
                <w:p>
                  <w:pPr>
                    <w:snapToGrid w:val="0"/>
                    <w:jc w:val="center"/>
                  </w:pPr>
                  <w:r>
                    <w:t>—</w:t>
                  </w:r>
                </w:p>
              </w:tc>
              <w:tc>
                <w:tcPr>
                  <w:tcW w:w="427" w:type="pct"/>
                  <w:vAlign w:val="center"/>
                </w:tcPr>
                <w:p>
                  <w:pPr>
                    <w:snapToGrid w:val="0"/>
                    <w:jc w:val="center"/>
                  </w:pPr>
                  <w:r>
                    <w:t>—</w:t>
                  </w:r>
                </w:p>
              </w:tc>
              <w:tc>
                <w:tcPr>
                  <w:tcW w:w="705" w:type="pct"/>
                  <w:vAlign w:val="center"/>
                </w:tcPr>
                <w:p>
                  <w:pPr>
                    <w:snapToGrid w:val="0"/>
                    <w:jc w:val="center"/>
                  </w:pPr>
                  <w:r>
                    <w:t>≤2</w:t>
                  </w:r>
                </w:p>
              </w:tc>
              <w:tc>
                <w:tcPr>
                  <w:tcW w:w="458" w:type="pct"/>
                  <w:vAlign w:val="center"/>
                </w:tcPr>
                <w:p>
                  <w:pPr>
                    <w:adjustRightInd w:val="0"/>
                    <w:snapToGrid w:val="0"/>
                    <w:jc w:val="center"/>
                  </w:pPr>
                  <w:r>
                    <w:t>≤0.4</w:t>
                  </w:r>
                </w:p>
              </w:tc>
              <w:tc>
                <w:tcPr>
                  <w:tcW w:w="1123" w:type="dxa"/>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494" w:type="pct"/>
                  <w:vAlign w:val="center"/>
                </w:tcPr>
                <w:p>
                  <w:pPr>
                    <w:adjustRightInd w:val="0"/>
                    <w:snapToGrid w:val="0"/>
                    <w:jc w:val="center"/>
                  </w:pPr>
                  <w:r>
                    <w:rPr>
                      <w:bCs/>
                    </w:rPr>
                    <w:t>园洲镇第三污水处理厂</w:t>
                  </w:r>
                  <w:r>
                    <w:t>出水标准</w:t>
                  </w:r>
                </w:p>
              </w:tc>
              <w:tc>
                <w:tcPr>
                  <w:tcW w:w="638" w:type="pct"/>
                  <w:vAlign w:val="center"/>
                </w:tcPr>
                <w:p>
                  <w:pPr>
                    <w:adjustRightInd w:val="0"/>
                    <w:snapToGrid w:val="0"/>
                    <w:jc w:val="center"/>
                  </w:pPr>
                  <w:r>
                    <w:t>≤40</w:t>
                  </w:r>
                </w:p>
              </w:tc>
              <w:tc>
                <w:tcPr>
                  <w:tcW w:w="581" w:type="pct"/>
                  <w:vAlign w:val="center"/>
                </w:tcPr>
                <w:p>
                  <w:pPr>
                    <w:adjustRightInd w:val="0"/>
                    <w:snapToGrid w:val="0"/>
                    <w:jc w:val="center"/>
                  </w:pPr>
                  <w:r>
                    <w:t>≤10</w:t>
                  </w:r>
                </w:p>
              </w:tc>
              <w:tc>
                <w:tcPr>
                  <w:tcW w:w="427" w:type="pct"/>
                  <w:vAlign w:val="center"/>
                </w:tcPr>
                <w:p>
                  <w:pPr>
                    <w:adjustRightInd w:val="0"/>
                    <w:snapToGrid w:val="0"/>
                    <w:jc w:val="center"/>
                  </w:pPr>
                  <w:r>
                    <w:t>≤10</w:t>
                  </w:r>
                </w:p>
              </w:tc>
              <w:tc>
                <w:tcPr>
                  <w:tcW w:w="705" w:type="pct"/>
                  <w:vAlign w:val="center"/>
                </w:tcPr>
                <w:p>
                  <w:pPr>
                    <w:adjustRightInd w:val="0"/>
                    <w:snapToGrid w:val="0"/>
                    <w:jc w:val="center"/>
                  </w:pPr>
                  <w:r>
                    <w:t>≤2</w:t>
                  </w:r>
                </w:p>
              </w:tc>
              <w:tc>
                <w:tcPr>
                  <w:tcW w:w="458" w:type="pct"/>
                  <w:vAlign w:val="center"/>
                </w:tcPr>
                <w:p>
                  <w:pPr>
                    <w:adjustRightInd w:val="0"/>
                    <w:snapToGrid w:val="0"/>
                    <w:jc w:val="center"/>
                  </w:pPr>
                  <w:r>
                    <w:t>0.4</w:t>
                  </w:r>
                </w:p>
              </w:tc>
              <w:tc>
                <w:tcPr>
                  <w:tcW w:w="1123" w:type="dxa"/>
                  <w:vAlign w:val="center"/>
                </w:tcPr>
                <w:p>
                  <w:pPr>
                    <w:jc w:val="center"/>
                  </w:pPr>
                  <w:r>
                    <w:t>≤1</w:t>
                  </w:r>
                </w:p>
              </w:tc>
            </w:tr>
          </w:tbl>
          <w:p>
            <w:pPr>
              <w:numPr>
                <w:ilvl w:val="0"/>
                <w:numId w:val="19"/>
              </w:numPr>
              <w:adjustRightInd w:val="0"/>
              <w:snapToGrid w:val="0"/>
              <w:spacing w:before="120" w:beforeLines="50" w:line="360" w:lineRule="auto"/>
              <w:ind w:firstLine="422" w:firstLineChars="200"/>
              <w:rPr>
                <w:b/>
                <w:bCs/>
              </w:rPr>
            </w:pPr>
            <w:r>
              <w:rPr>
                <w:b/>
                <w:bCs/>
              </w:rPr>
              <w:t>噪声排放标准</w:t>
            </w:r>
          </w:p>
          <w:p>
            <w:pPr>
              <w:adjustRightInd w:val="0"/>
              <w:snapToGrid w:val="0"/>
              <w:spacing w:line="360" w:lineRule="auto"/>
              <w:ind w:firstLine="420" w:firstLineChars="200"/>
            </w:pPr>
            <w:r>
              <w:t>项目运营期边界噪声排放执行《工业企业厂界环境噪声排放标准》（GB12348-2008）中2类标准，即昼间≤60dB(A)、夜间≤50dB(A)。</w:t>
            </w:r>
          </w:p>
          <w:p>
            <w:pPr>
              <w:numPr>
                <w:ilvl w:val="0"/>
                <w:numId w:val="19"/>
              </w:numPr>
              <w:adjustRightInd w:val="0"/>
              <w:snapToGrid w:val="0"/>
              <w:spacing w:line="360" w:lineRule="auto"/>
              <w:ind w:firstLine="422" w:firstLineChars="200"/>
            </w:pPr>
            <w:r>
              <w:rPr>
                <w:b/>
                <w:bCs/>
              </w:rPr>
              <w:t>废气排放标准</w:t>
            </w:r>
          </w:p>
          <w:p>
            <w:pPr>
              <w:adjustRightInd w:val="0"/>
              <w:snapToGrid w:val="0"/>
              <w:spacing w:line="360" w:lineRule="auto"/>
              <w:ind w:firstLine="411" w:firstLineChars="196"/>
              <w:rPr>
                <w:bCs/>
              </w:rPr>
            </w:pPr>
            <w:r>
              <w:t>项目</w:t>
            </w:r>
            <w:r>
              <w:rPr>
                <w:rFonts w:hint="eastAsia"/>
              </w:rPr>
              <w:t>电熔和</w:t>
            </w:r>
            <w:r>
              <w:t>压铸</w:t>
            </w:r>
            <w:r>
              <w:rPr>
                <w:rFonts w:hint="eastAsia"/>
              </w:rPr>
              <w:t>过程产生</w:t>
            </w:r>
            <w:r>
              <w:t>的</w:t>
            </w:r>
            <w:r>
              <w:rPr>
                <w:rFonts w:hint="eastAsia"/>
              </w:rPr>
              <w:t>烟尘；打磨、</w:t>
            </w:r>
            <w:r>
              <w:t>抛光</w:t>
            </w:r>
            <w:r>
              <w:rPr>
                <w:rFonts w:hint="eastAsia"/>
              </w:rPr>
              <w:t>、喷砂过程产生的</w:t>
            </w:r>
            <w:r>
              <w:t>粉尘</w:t>
            </w:r>
            <w:r>
              <w:rPr>
                <w:rFonts w:hint="eastAsia"/>
              </w:rPr>
              <w:t>；</w:t>
            </w:r>
            <w:r>
              <w:rPr>
                <w:bCs/>
              </w:rPr>
              <w:t>粉末喷涂</w:t>
            </w:r>
            <w:r>
              <w:rPr>
                <w:rFonts w:hint="eastAsia"/>
                <w:bCs/>
              </w:rPr>
              <w:t>产生的</w:t>
            </w:r>
            <w:r>
              <w:rPr>
                <w:bCs/>
              </w:rPr>
              <w:t>粉尘</w:t>
            </w:r>
            <w:r>
              <w:t>执行《铸造工业大气污染物排放标准》（GB39756-2020）表1排放限值，</w:t>
            </w:r>
            <w:r>
              <w:rPr>
                <w:bCs/>
              </w:rPr>
              <w:t>烘烤固化</w:t>
            </w:r>
            <w:r>
              <w:rPr>
                <w:rFonts w:hint="eastAsia"/>
                <w:bCs/>
              </w:rPr>
              <w:t>过程产生的总VOCs、</w:t>
            </w:r>
            <w:r>
              <w:rPr>
                <w:rFonts w:hint="eastAsia"/>
              </w:rPr>
              <w:t>压铸过程产生的</w:t>
            </w:r>
            <w:r>
              <w:t>非甲烷总烃执行</w:t>
            </w:r>
            <w:r>
              <w:rPr>
                <w:bCs/>
              </w:rPr>
              <w:t>广东省</w:t>
            </w:r>
            <w:r>
              <w:t>《固定污染源挥发性有机物综合排放标准》（DB44/2367-2022）</w:t>
            </w:r>
            <w:r>
              <w:rPr>
                <w:bCs/>
              </w:rPr>
              <w:t>中表1挥发性有机物排放限值</w:t>
            </w:r>
            <w:r>
              <w:t>。</w:t>
            </w:r>
          </w:p>
          <w:p>
            <w:pPr>
              <w:adjustRightInd w:val="0"/>
              <w:snapToGrid w:val="0"/>
              <w:spacing w:line="360" w:lineRule="auto"/>
              <w:ind w:firstLine="420" w:firstLineChars="200"/>
              <w:rPr>
                <w:bCs/>
              </w:rPr>
            </w:pPr>
            <w:r>
              <w:rPr>
                <w:bCs/>
              </w:rPr>
              <w:t>厂区内无组织排放的</w:t>
            </w:r>
            <w:r>
              <w:rPr>
                <w:rFonts w:hint="eastAsia"/>
                <w:bCs/>
              </w:rPr>
              <w:t>颗粒物</w:t>
            </w:r>
            <w:r>
              <w:rPr>
                <w:bCs/>
              </w:rPr>
              <w:t>执行</w:t>
            </w:r>
            <w:r>
              <w:t>《铸造工业大气污染物排放标准》（GB39756-2020）</w:t>
            </w:r>
            <w:r>
              <w:rPr>
                <w:rStyle w:val="112"/>
              </w:rPr>
              <w:t>表A.1</w:t>
            </w:r>
            <w:r>
              <w:rPr>
                <w:bCs/>
              </w:rPr>
              <w:t>厂区内VOCs无组织排放限值</w:t>
            </w:r>
            <w:r>
              <w:rPr>
                <w:rFonts w:hint="eastAsia"/>
                <w:bCs/>
              </w:rPr>
              <w:t>，无组织排放的有机废气执行</w:t>
            </w:r>
            <w:r>
              <w:rPr>
                <w:bCs/>
              </w:rPr>
              <w:t>广东省</w:t>
            </w:r>
            <w:r>
              <w:t>《固定污染源挥发性有机物综合排放标准》（DB44/2367-2022）</w:t>
            </w:r>
            <w:r>
              <w:rPr>
                <w:bCs/>
              </w:rPr>
              <w:t>第二时段无组织排放监控浓度限值</w:t>
            </w:r>
            <w:r>
              <w:rPr>
                <w:rFonts w:hint="eastAsia"/>
                <w:bCs/>
              </w:rPr>
              <w:t>。</w:t>
            </w:r>
          </w:p>
          <w:p>
            <w:pPr>
              <w:adjustRightInd w:val="0"/>
              <w:snapToGrid w:val="0"/>
              <w:spacing w:line="360" w:lineRule="auto"/>
              <w:ind w:firstLine="420" w:firstLineChars="200"/>
              <w:rPr>
                <w:bCs/>
              </w:rPr>
            </w:pPr>
            <w:r>
              <w:rPr>
                <w:bCs/>
              </w:rPr>
              <w:t>厂界无组织排放的总VOCs</w:t>
            </w:r>
            <w:r>
              <w:rPr>
                <w:rFonts w:hint="eastAsia"/>
                <w:bCs/>
              </w:rPr>
              <w:t>参照</w:t>
            </w:r>
            <w:r>
              <w:rPr>
                <w:bCs/>
              </w:rPr>
              <w:t>广东省《家具制造行业挥发性有机化合物排放标准》（DB44/814-2010）无组织排放监控点浓度限值，颗粒物执行《大气污染物排放限值》（DB44/27-2001）第二时段无组织排放监控浓度限值。</w:t>
            </w:r>
          </w:p>
          <w:p>
            <w:pPr>
              <w:adjustRightInd w:val="0"/>
              <w:snapToGrid w:val="0"/>
              <w:spacing w:line="360" w:lineRule="auto"/>
              <w:ind w:firstLine="420" w:firstLineChars="200"/>
            </w:pPr>
            <w:r>
              <w:t>具体排放标准数据见下表</w:t>
            </w:r>
            <w:r>
              <w:rPr>
                <w:iCs/>
              </w:rPr>
              <w:t>。</w:t>
            </w:r>
          </w:p>
          <w:p>
            <w:pPr>
              <w:widowControl/>
              <w:spacing w:line="360" w:lineRule="auto"/>
              <w:jc w:val="center"/>
              <w:rPr>
                <w:b/>
                <w:bCs/>
              </w:rPr>
            </w:pPr>
            <w:r>
              <w:rPr>
                <w:b/>
                <w:bCs/>
              </w:rPr>
              <w:t>表3-8 项目大气污染物排放限值</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8"/>
              <w:gridCol w:w="1051"/>
              <w:gridCol w:w="979"/>
              <w:gridCol w:w="1329"/>
              <w:gridCol w:w="1206"/>
              <w:gridCol w:w="1670"/>
              <w:gridCol w:w="19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80" w:type="pct"/>
                  <w:vMerge w:val="restart"/>
                  <w:vAlign w:val="center"/>
                </w:tcPr>
                <w:p>
                  <w:pPr>
                    <w:topLinePunct/>
                    <w:jc w:val="center"/>
                    <w:rPr>
                      <w:b/>
                      <w:bCs/>
                    </w:rPr>
                  </w:pPr>
                  <w:r>
                    <w:rPr>
                      <w:b/>
                      <w:bCs/>
                    </w:rPr>
                    <w:t>产生环节</w:t>
                  </w:r>
                </w:p>
              </w:tc>
              <w:tc>
                <w:tcPr>
                  <w:tcW w:w="581" w:type="pct"/>
                  <w:vMerge w:val="restart"/>
                  <w:vAlign w:val="center"/>
                </w:tcPr>
                <w:p>
                  <w:pPr>
                    <w:topLinePunct/>
                    <w:jc w:val="center"/>
                    <w:rPr>
                      <w:b/>
                      <w:bCs/>
                    </w:rPr>
                  </w:pPr>
                  <w:r>
                    <w:rPr>
                      <w:b/>
                      <w:bCs/>
                    </w:rPr>
                    <w:t>排气筒高度（m）</w:t>
                  </w:r>
                </w:p>
              </w:tc>
              <w:tc>
                <w:tcPr>
                  <w:tcW w:w="541" w:type="pct"/>
                  <w:vMerge w:val="restart"/>
                  <w:vAlign w:val="center"/>
                </w:tcPr>
                <w:p>
                  <w:pPr>
                    <w:topLinePunct/>
                    <w:jc w:val="center"/>
                    <w:rPr>
                      <w:b/>
                      <w:bCs/>
                    </w:rPr>
                  </w:pPr>
                  <w:r>
                    <w:rPr>
                      <w:b/>
                      <w:bCs/>
                    </w:rPr>
                    <w:t>污染因子</w:t>
                  </w:r>
                </w:p>
              </w:tc>
              <w:tc>
                <w:tcPr>
                  <w:tcW w:w="1402" w:type="pct"/>
                  <w:gridSpan w:val="2"/>
                  <w:vAlign w:val="center"/>
                </w:tcPr>
                <w:p>
                  <w:pPr>
                    <w:topLinePunct/>
                    <w:jc w:val="center"/>
                    <w:rPr>
                      <w:b/>
                      <w:bCs/>
                    </w:rPr>
                  </w:pPr>
                  <w:r>
                    <w:rPr>
                      <w:b/>
                      <w:bCs/>
                    </w:rPr>
                    <w:t>有组织排放限值</w:t>
                  </w:r>
                </w:p>
              </w:tc>
              <w:tc>
                <w:tcPr>
                  <w:tcW w:w="923" w:type="pct"/>
                  <w:vAlign w:val="center"/>
                </w:tcPr>
                <w:p>
                  <w:pPr>
                    <w:topLinePunct/>
                    <w:jc w:val="center"/>
                    <w:rPr>
                      <w:b/>
                      <w:bCs/>
                    </w:rPr>
                  </w:pPr>
                  <w:r>
                    <w:rPr>
                      <w:b/>
                      <w:bCs/>
                    </w:rPr>
                    <w:t>无组织排放监控浓度限值</w:t>
                  </w:r>
                </w:p>
              </w:tc>
              <w:tc>
                <w:tcPr>
                  <w:tcW w:w="1071" w:type="pct"/>
                  <w:vMerge w:val="restart"/>
                  <w:vAlign w:val="center"/>
                </w:tcPr>
                <w:p>
                  <w:pPr>
                    <w:topLinePunct/>
                    <w:jc w:val="center"/>
                    <w:rPr>
                      <w:b/>
                      <w:bCs/>
                    </w:rPr>
                  </w:pPr>
                  <w:r>
                    <w:rPr>
                      <w:b/>
                      <w:bCs/>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blHeader/>
                <w:jc w:val="center"/>
              </w:trPr>
              <w:tc>
                <w:tcPr>
                  <w:tcW w:w="480" w:type="pct"/>
                  <w:vMerge w:val="continue"/>
                  <w:vAlign w:val="center"/>
                </w:tcPr>
                <w:p>
                  <w:pPr>
                    <w:topLinePunct/>
                    <w:jc w:val="center"/>
                    <w:rPr>
                      <w:b/>
                      <w:bCs/>
                    </w:rPr>
                  </w:pPr>
                </w:p>
              </w:tc>
              <w:tc>
                <w:tcPr>
                  <w:tcW w:w="581" w:type="pct"/>
                  <w:vMerge w:val="continue"/>
                  <w:vAlign w:val="center"/>
                </w:tcPr>
                <w:p>
                  <w:pPr>
                    <w:topLinePunct/>
                    <w:jc w:val="center"/>
                    <w:rPr>
                      <w:b/>
                      <w:bCs/>
                    </w:rPr>
                  </w:pPr>
                </w:p>
              </w:tc>
              <w:tc>
                <w:tcPr>
                  <w:tcW w:w="541" w:type="pct"/>
                  <w:vMerge w:val="continue"/>
                  <w:vAlign w:val="center"/>
                </w:tcPr>
                <w:p>
                  <w:pPr>
                    <w:topLinePunct/>
                    <w:jc w:val="center"/>
                    <w:rPr>
                      <w:b/>
                      <w:bCs/>
                    </w:rPr>
                  </w:pPr>
                </w:p>
              </w:tc>
              <w:tc>
                <w:tcPr>
                  <w:tcW w:w="735" w:type="pct"/>
                  <w:vAlign w:val="center"/>
                </w:tcPr>
                <w:p>
                  <w:pPr>
                    <w:topLinePunct/>
                    <w:jc w:val="center"/>
                    <w:rPr>
                      <w:b/>
                      <w:bCs/>
                    </w:rPr>
                  </w:pPr>
                  <w:r>
                    <w:rPr>
                      <w:b/>
                      <w:bCs/>
                    </w:rPr>
                    <w:t>排放浓度</w:t>
                  </w:r>
                </w:p>
                <w:p>
                  <w:pPr>
                    <w:topLinePunct/>
                    <w:jc w:val="center"/>
                    <w:rPr>
                      <w:b/>
                      <w:bCs/>
                    </w:rPr>
                  </w:pPr>
                  <w:r>
                    <w:rPr>
                      <w:b/>
                      <w:bCs/>
                    </w:rPr>
                    <w:t>（mg/m</w:t>
                  </w:r>
                  <w:r>
                    <w:rPr>
                      <w:b/>
                      <w:bCs/>
                      <w:vertAlign w:val="superscript"/>
                    </w:rPr>
                    <w:t>3</w:t>
                  </w:r>
                  <w:r>
                    <w:rPr>
                      <w:b/>
                      <w:bCs/>
                    </w:rPr>
                    <w:t>）</w:t>
                  </w:r>
                </w:p>
              </w:tc>
              <w:tc>
                <w:tcPr>
                  <w:tcW w:w="666" w:type="pct"/>
                  <w:vAlign w:val="center"/>
                </w:tcPr>
                <w:p>
                  <w:pPr>
                    <w:topLinePunct/>
                    <w:jc w:val="center"/>
                    <w:rPr>
                      <w:b/>
                      <w:bCs/>
                    </w:rPr>
                  </w:pPr>
                  <w:r>
                    <w:rPr>
                      <w:b/>
                      <w:bCs/>
                    </w:rPr>
                    <w:t>速率（kg/h）</w:t>
                  </w:r>
                </w:p>
              </w:tc>
              <w:tc>
                <w:tcPr>
                  <w:tcW w:w="923" w:type="pct"/>
                  <w:vAlign w:val="center"/>
                </w:tcPr>
                <w:p>
                  <w:pPr>
                    <w:topLinePunct/>
                    <w:jc w:val="center"/>
                  </w:pPr>
                  <w:r>
                    <w:rPr>
                      <w:b/>
                      <w:bCs/>
                    </w:rPr>
                    <w:t>浓度（mg/m</w:t>
                  </w:r>
                  <w:r>
                    <w:rPr>
                      <w:b/>
                      <w:bCs/>
                      <w:vertAlign w:val="superscript"/>
                    </w:rPr>
                    <w:t>3</w:t>
                  </w:r>
                  <w:r>
                    <w:rPr>
                      <w:b/>
                      <w:bCs/>
                    </w:rPr>
                    <w:t>）</w:t>
                  </w:r>
                </w:p>
              </w:tc>
              <w:tc>
                <w:tcPr>
                  <w:tcW w:w="1071" w:type="pct"/>
                  <w:vMerge w:val="continue"/>
                  <w:vAlign w:val="center"/>
                </w:tcPr>
                <w:p>
                  <w:pPr>
                    <w:topLinePunct/>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pct"/>
                  <w:vMerge w:val="restart"/>
                  <w:vAlign w:val="center"/>
                </w:tcPr>
                <w:p>
                  <w:pPr>
                    <w:topLinePunct/>
                    <w:jc w:val="center"/>
                  </w:pPr>
                  <w:r>
                    <w:rPr>
                      <w:rFonts w:hint="eastAsia"/>
                    </w:rPr>
                    <w:t>电熔、</w:t>
                  </w:r>
                  <w:r>
                    <w:t>压铸</w:t>
                  </w:r>
                </w:p>
              </w:tc>
              <w:tc>
                <w:tcPr>
                  <w:tcW w:w="581" w:type="pct"/>
                  <w:vMerge w:val="restart"/>
                  <w:vAlign w:val="center"/>
                </w:tcPr>
                <w:p>
                  <w:pPr>
                    <w:topLinePunct/>
                    <w:jc w:val="center"/>
                  </w:pPr>
                  <w:r>
                    <w:t>15</w:t>
                  </w:r>
                </w:p>
              </w:tc>
              <w:tc>
                <w:tcPr>
                  <w:tcW w:w="541" w:type="pct"/>
                  <w:vAlign w:val="center"/>
                </w:tcPr>
                <w:p>
                  <w:pPr>
                    <w:pStyle w:val="93"/>
                    <w:keepNext/>
                    <w:widowControl w:val="0"/>
                    <w:adjustRightInd w:val="0"/>
                    <w:snapToGrid w:val="0"/>
                    <w:spacing w:before="0" w:after="0"/>
                    <w:jc w:val="center"/>
                    <w:rPr>
                      <w:rFonts w:ascii="Times New Roman" w:hAnsi="Times New Roman"/>
                      <w:sz w:val="21"/>
                      <w:szCs w:val="21"/>
                    </w:rPr>
                  </w:pPr>
                  <w:r>
                    <w:rPr>
                      <w:rFonts w:ascii="Times New Roman" w:hAnsi="Times New Roman"/>
                      <w:sz w:val="21"/>
                      <w:szCs w:val="21"/>
                    </w:rPr>
                    <w:t>颗粒物</w:t>
                  </w:r>
                </w:p>
              </w:tc>
              <w:tc>
                <w:tcPr>
                  <w:tcW w:w="735" w:type="pct"/>
                  <w:vAlign w:val="center"/>
                </w:tcPr>
                <w:p>
                  <w:pPr>
                    <w:autoSpaceDE w:val="0"/>
                    <w:jc w:val="center"/>
                  </w:pPr>
                  <w:r>
                    <w:t>30</w:t>
                  </w:r>
                </w:p>
              </w:tc>
              <w:tc>
                <w:tcPr>
                  <w:tcW w:w="666" w:type="pct"/>
                  <w:vAlign w:val="center"/>
                </w:tcPr>
                <w:p>
                  <w:pPr>
                    <w:autoSpaceDE w:val="0"/>
                    <w:jc w:val="center"/>
                  </w:pPr>
                  <w:r>
                    <w:t>/</w:t>
                  </w:r>
                </w:p>
              </w:tc>
              <w:tc>
                <w:tcPr>
                  <w:tcW w:w="923" w:type="pct"/>
                  <w:vAlign w:val="center"/>
                </w:tcPr>
                <w:p>
                  <w:pPr>
                    <w:topLinePunct/>
                    <w:jc w:val="center"/>
                  </w:pPr>
                  <w:r>
                    <w:t>5.0</w:t>
                  </w:r>
                </w:p>
              </w:tc>
              <w:tc>
                <w:tcPr>
                  <w:tcW w:w="1071" w:type="pct"/>
                  <w:vAlign w:val="center"/>
                </w:tcPr>
                <w:p>
                  <w:pPr>
                    <w:topLinePunct/>
                    <w:jc w:val="center"/>
                  </w:pPr>
                  <w:r>
                    <w:t>GB39756-2020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pct"/>
                  <w:vMerge w:val="continue"/>
                  <w:vAlign w:val="center"/>
                </w:tcPr>
                <w:p>
                  <w:pPr>
                    <w:topLinePunct/>
                    <w:jc w:val="center"/>
                  </w:pPr>
                </w:p>
              </w:tc>
              <w:tc>
                <w:tcPr>
                  <w:tcW w:w="581" w:type="pct"/>
                  <w:vMerge w:val="continue"/>
                  <w:vAlign w:val="center"/>
                </w:tcPr>
                <w:p>
                  <w:pPr>
                    <w:topLinePunct/>
                    <w:jc w:val="center"/>
                  </w:pPr>
                </w:p>
              </w:tc>
              <w:tc>
                <w:tcPr>
                  <w:tcW w:w="541" w:type="pct"/>
                  <w:vAlign w:val="center"/>
                </w:tcPr>
                <w:p>
                  <w:pPr>
                    <w:pStyle w:val="93"/>
                    <w:keepNext/>
                    <w:widowControl w:val="0"/>
                    <w:adjustRightInd w:val="0"/>
                    <w:snapToGrid w:val="0"/>
                    <w:spacing w:before="0" w:after="0"/>
                    <w:jc w:val="center"/>
                    <w:rPr>
                      <w:rFonts w:ascii="Times New Roman" w:hAnsi="Times New Roman"/>
                      <w:sz w:val="21"/>
                      <w:szCs w:val="21"/>
                    </w:rPr>
                  </w:pPr>
                  <w:r>
                    <w:rPr>
                      <w:rFonts w:ascii="Times New Roman" w:hAnsi="Times New Roman"/>
                      <w:sz w:val="21"/>
                      <w:szCs w:val="21"/>
                    </w:rPr>
                    <w:t>非甲烷总烃</w:t>
                  </w:r>
                </w:p>
              </w:tc>
              <w:tc>
                <w:tcPr>
                  <w:tcW w:w="735" w:type="pct"/>
                  <w:vAlign w:val="center"/>
                </w:tcPr>
                <w:p>
                  <w:pPr>
                    <w:autoSpaceDE w:val="0"/>
                    <w:jc w:val="center"/>
                  </w:pPr>
                  <w:r>
                    <w:t>80</w:t>
                  </w:r>
                </w:p>
              </w:tc>
              <w:tc>
                <w:tcPr>
                  <w:tcW w:w="666" w:type="pct"/>
                  <w:vAlign w:val="center"/>
                </w:tcPr>
                <w:p>
                  <w:pPr>
                    <w:autoSpaceDE w:val="0"/>
                    <w:jc w:val="center"/>
                  </w:pPr>
                  <w:r>
                    <w:t>/</w:t>
                  </w:r>
                </w:p>
              </w:tc>
              <w:tc>
                <w:tcPr>
                  <w:tcW w:w="923" w:type="pct"/>
                  <w:vAlign w:val="center"/>
                </w:tcPr>
                <w:p>
                  <w:pPr>
                    <w:topLinePunct/>
                    <w:jc w:val="center"/>
                  </w:pPr>
                  <w:r>
                    <w:t>6.0</w:t>
                  </w:r>
                </w:p>
              </w:tc>
              <w:tc>
                <w:tcPr>
                  <w:tcW w:w="1071" w:type="pct"/>
                  <w:vAlign w:val="center"/>
                </w:tcPr>
                <w:p>
                  <w:pPr>
                    <w:topLinePunct/>
                    <w:jc w:val="center"/>
                  </w:pPr>
                  <w:r>
                    <w:t>DB44/2367-2022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pct"/>
                  <w:vAlign w:val="center"/>
                </w:tcPr>
                <w:p>
                  <w:pPr>
                    <w:topLinePunct/>
                    <w:jc w:val="center"/>
                  </w:pPr>
                  <w:r>
                    <w:t>抛光</w:t>
                  </w:r>
                </w:p>
              </w:tc>
              <w:tc>
                <w:tcPr>
                  <w:tcW w:w="581" w:type="pct"/>
                  <w:vAlign w:val="center"/>
                </w:tcPr>
                <w:p>
                  <w:pPr>
                    <w:topLinePunct/>
                    <w:jc w:val="center"/>
                  </w:pPr>
                  <w:r>
                    <w:t>15</w:t>
                  </w:r>
                </w:p>
              </w:tc>
              <w:tc>
                <w:tcPr>
                  <w:tcW w:w="541" w:type="pct"/>
                  <w:vAlign w:val="center"/>
                </w:tcPr>
                <w:p>
                  <w:pPr>
                    <w:pStyle w:val="93"/>
                    <w:keepNext/>
                    <w:widowControl w:val="0"/>
                    <w:adjustRightInd w:val="0"/>
                    <w:snapToGrid w:val="0"/>
                    <w:spacing w:before="0" w:after="0"/>
                    <w:jc w:val="center"/>
                    <w:rPr>
                      <w:rFonts w:ascii="Times New Roman" w:hAnsi="Times New Roman"/>
                      <w:sz w:val="21"/>
                      <w:szCs w:val="21"/>
                    </w:rPr>
                  </w:pPr>
                  <w:r>
                    <w:rPr>
                      <w:rFonts w:ascii="Times New Roman" w:hAnsi="Times New Roman"/>
                      <w:sz w:val="21"/>
                      <w:szCs w:val="21"/>
                    </w:rPr>
                    <w:t>颗粒物</w:t>
                  </w:r>
                </w:p>
              </w:tc>
              <w:tc>
                <w:tcPr>
                  <w:tcW w:w="735" w:type="pct"/>
                  <w:vAlign w:val="center"/>
                </w:tcPr>
                <w:p>
                  <w:pPr>
                    <w:autoSpaceDE w:val="0"/>
                    <w:jc w:val="center"/>
                  </w:pPr>
                  <w:r>
                    <w:t>30</w:t>
                  </w:r>
                </w:p>
              </w:tc>
              <w:tc>
                <w:tcPr>
                  <w:tcW w:w="666" w:type="pct"/>
                  <w:vAlign w:val="center"/>
                </w:tcPr>
                <w:p>
                  <w:pPr>
                    <w:autoSpaceDE w:val="0"/>
                    <w:jc w:val="center"/>
                  </w:pPr>
                  <w:r>
                    <w:t>/</w:t>
                  </w:r>
                </w:p>
              </w:tc>
              <w:tc>
                <w:tcPr>
                  <w:tcW w:w="923" w:type="pct"/>
                  <w:vAlign w:val="center"/>
                </w:tcPr>
                <w:p>
                  <w:pPr>
                    <w:topLinePunct/>
                    <w:jc w:val="center"/>
                  </w:pPr>
                  <w:r>
                    <w:t>5.0</w:t>
                  </w:r>
                </w:p>
              </w:tc>
              <w:tc>
                <w:tcPr>
                  <w:tcW w:w="1071" w:type="pct"/>
                  <w:vAlign w:val="center"/>
                </w:tcPr>
                <w:p>
                  <w:pPr>
                    <w:topLinePunct/>
                    <w:jc w:val="center"/>
                  </w:pPr>
                  <w:r>
                    <w:t>GB39756-2020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pct"/>
                  <w:vAlign w:val="center"/>
                </w:tcPr>
                <w:p>
                  <w:pPr>
                    <w:topLinePunct/>
                    <w:jc w:val="center"/>
                  </w:pPr>
                  <w:r>
                    <w:t>粉末喷涂</w:t>
                  </w:r>
                </w:p>
              </w:tc>
              <w:tc>
                <w:tcPr>
                  <w:tcW w:w="581" w:type="pct"/>
                  <w:vAlign w:val="center"/>
                </w:tcPr>
                <w:p>
                  <w:pPr>
                    <w:topLinePunct/>
                    <w:jc w:val="center"/>
                  </w:pPr>
                  <w:r>
                    <w:t>15</w:t>
                  </w:r>
                </w:p>
              </w:tc>
              <w:tc>
                <w:tcPr>
                  <w:tcW w:w="541" w:type="pct"/>
                  <w:vAlign w:val="center"/>
                </w:tcPr>
                <w:p>
                  <w:pPr>
                    <w:pStyle w:val="93"/>
                    <w:keepNext/>
                    <w:widowControl w:val="0"/>
                    <w:adjustRightInd w:val="0"/>
                    <w:snapToGrid w:val="0"/>
                    <w:spacing w:before="0" w:after="0"/>
                    <w:jc w:val="center"/>
                    <w:rPr>
                      <w:rFonts w:ascii="Times New Roman" w:hAnsi="Times New Roman"/>
                      <w:sz w:val="21"/>
                      <w:szCs w:val="21"/>
                    </w:rPr>
                  </w:pPr>
                  <w:r>
                    <w:rPr>
                      <w:rFonts w:ascii="Times New Roman" w:hAnsi="Times New Roman"/>
                      <w:sz w:val="21"/>
                      <w:szCs w:val="21"/>
                    </w:rPr>
                    <w:t>颗粒物</w:t>
                  </w:r>
                </w:p>
              </w:tc>
              <w:tc>
                <w:tcPr>
                  <w:tcW w:w="735" w:type="pct"/>
                  <w:vAlign w:val="center"/>
                </w:tcPr>
                <w:p>
                  <w:pPr>
                    <w:autoSpaceDE w:val="0"/>
                    <w:jc w:val="center"/>
                    <w:rPr>
                      <w:kern w:val="11"/>
                    </w:rPr>
                  </w:pPr>
                  <w:r>
                    <w:rPr>
                      <w:rFonts w:hint="eastAsia"/>
                      <w:kern w:val="11"/>
                    </w:rPr>
                    <w:t>30</w:t>
                  </w:r>
                </w:p>
              </w:tc>
              <w:tc>
                <w:tcPr>
                  <w:tcW w:w="666" w:type="pct"/>
                  <w:vAlign w:val="center"/>
                </w:tcPr>
                <w:p>
                  <w:pPr>
                    <w:autoSpaceDE w:val="0"/>
                    <w:jc w:val="center"/>
                  </w:pPr>
                  <w:r>
                    <w:rPr>
                      <w:rFonts w:hint="eastAsia"/>
                    </w:rPr>
                    <w:t>/</w:t>
                  </w:r>
                </w:p>
              </w:tc>
              <w:tc>
                <w:tcPr>
                  <w:tcW w:w="923" w:type="pct"/>
                  <w:vAlign w:val="center"/>
                </w:tcPr>
                <w:p>
                  <w:pPr>
                    <w:topLinePunct/>
                    <w:jc w:val="center"/>
                  </w:pPr>
                  <w:r>
                    <w:rPr>
                      <w:rFonts w:hint="eastAsia"/>
                    </w:rPr>
                    <w:t>5.0</w:t>
                  </w:r>
                </w:p>
              </w:tc>
              <w:tc>
                <w:tcPr>
                  <w:tcW w:w="1071" w:type="pct"/>
                  <w:vAlign w:val="center"/>
                </w:tcPr>
                <w:p>
                  <w:pPr>
                    <w:topLinePunct/>
                    <w:jc w:val="center"/>
                  </w:pPr>
                  <w:r>
                    <w:t>GB39756-2020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80" w:type="pct"/>
                  <w:vAlign w:val="center"/>
                </w:tcPr>
                <w:p>
                  <w:pPr>
                    <w:topLinePunct/>
                    <w:jc w:val="center"/>
                  </w:pPr>
                  <w:r>
                    <w:t>烘烤固化</w:t>
                  </w:r>
                </w:p>
              </w:tc>
              <w:tc>
                <w:tcPr>
                  <w:tcW w:w="581" w:type="pct"/>
                  <w:vAlign w:val="center"/>
                </w:tcPr>
                <w:p>
                  <w:pPr>
                    <w:topLinePunct/>
                    <w:jc w:val="center"/>
                  </w:pPr>
                  <w:r>
                    <w:t>15</w:t>
                  </w:r>
                </w:p>
              </w:tc>
              <w:tc>
                <w:tcPr>
                  <w:tcW w:w="541" w:type="pct"/>
                  <w:vAlign w:val="center"/>
                </w:tcPr>
                <w:p>
                  <w:pPr>
                    <w:pStyle w:val="93"/>
                    <w:keepNext/>
                    <w:widowControl w:val="0"/>
                    <w:adjustRightInd w:val="0"/>
                    <w:snapToGrid w:val="0"/>
                    <w:spacing w:before="0" w:after="0"/>
                    <w:jc w:val="center"/>
                    <w:rPr>
                      <w:rFonts w:ascii="Times New Roman" w:hAnsi="Times New Roman"/>
                      <w:sz w:val="21"/>
                      <w:szCs w:val="21"/>
                    </w:rPr>
                  </w:pPr>
                  <w:r>
                    <w:rPr>
                      <w:rFonts w:ascii="Times New Roman" w:hAnsi="Times New Roman"/>
                      <w:sz w:val="21"/>
                      <w:szCs w:val="21"/>
                    </w:rPr>
                    <w:t>总VOCs</w:t>
                  </w:r>
                </w:p>
              </w:tc>
              <w:tc>
                <w:tcPr>
                  <w:tcW w:w="735" w:type="pct"/>
                  <w:vAlign w:val="center"/>
                </w:tcPr>
                <w:p>
                  <w:pPr>
                    <w:autoSpaceDE w:val="0"/>
                    <w:jc w:val="center"/>
                  </w:pPr>
                  <w:r>
                    <w:t>100</w:t>
                  </w:r>
                </w:p>
              </w:tc>
              <w:tc>
                <w:tcPr>
                  <w:tcW w:w="666" w:type="pct"/>
                  <w:vAlign w:val="center"/>
                </w:tcPr>
                <w:p>
                  <w:pPr>
                    <w:autoSpaceDE w:val="0"/>
                    <w:jc w:val="center"/>
                  </w:pPr>
                  <w:r>
                    <w:t>/</w:t>
                  </w:r>
                </w:p>
              </w:tc>
              <w:tc>
                <w:tcPr>
                  <w:tcW w:w="923" w:type="pct"/>
                  <w:vAlign w:val="center"/>
                </w:tcPr>
                <w:p>
                  <w:pPr>
                    <w:topLinePunct/>
                    <w:jc w:val="center"/>
                  </w:pPr>
                  <w:r>
                    <w:t>2.0</w:t>
                  </w:r>
                </w:p>
              </w:tc>
              <w:tc>
                <w:tcPr>
                  <w:tcW w:w="1071" w:type="pct"/>
                  <w:vAlign w:val="center"/>
                </w:tcPr>
                <w:p>
                  <w:pPr>
                    <w:topLinePunct/>
                    <w:jc w:val="center"/>
                  </w:pPr>
                  <w:r>
                    <w:t>DB44/2367-2022</w:t>
                  </w:r>
                </w:p>
              </w:tc>
            </w:tr>
          </w:tbl>
          <w:p>
            <w:pPr>
              <w:adjustRightInd w:val="0"/>
              <w:snapToGrid w:val="0"/>
              <w:spacing w:before="120" w:beforeLines="50" w:line="360" w:lineRule="auto"/>
              <w:ind w:left="-2" w:leftChars="-1"/>
              <w:jc w:val="center"/>
              <w:rPr>
                <w:b/>
                <w:bCs/>
              </w:rPr>
            </w:pPr>
            <w:r>
              <w:rPr>
                <w:b/>
                <w:bCs/>
              </w:rPr>
              <w:t>表3-9 厂区内VOCs无组织排放限值（单位：mg/m</w:t>
            </w:r>
            <w:r>
              <w:rPr>
                <w:b/>
                <w:bCs/>
                <w:vertAlign w:val="superscript"/>
              </w:rPr>
              <w:t>3</w:t>
            </w:r>
            <w:r>
              <w:rPr>
                <w:b/>
                <w:bCs/>
              </w:rPr>
              <w:t>）</w:t>
            </w:r>
          </w:p>
          <w:tbl>
            <w:tblPr>
              <w:tblStyle w:val="10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47"/>
              <w:gridCol w:w="1374"/>
              <w:gridCol w:w="3275"/>
              <w:gridCol w:w="27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污染物项目</w:t>
                  </w:r>
                </w:p>
              </w:tc>
              <w:tc>
                <w:tcPr>
                  <w:tcW w:w="760"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排放限值</w:t>
                  </w:r>
                </w:p>
              </w:tc>
              <w:tc>
                <w:tcPr>
                  <w:tcW w:w="1812"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限值含义</w:t>
                  </w:r>
                </w:p>
              </w:tc>
              <w:tc>
                <w:tcPr>
                  <w:tcW w:w="1516"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无组织排放监控位置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jc w:val="center"/>
              </w:trPr>
              <w:tc>
                <w:tcPr>
                  <w:tcW w:w="911" w:type="pct"/>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NMHC</w:t>
                  </w:r>
                </w:p>
              </w:tc>
              <w:tc>
                <w:tcPr>
                  <w:tcW w:w="760" w:type="pct"/>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6</w:t>
                  </w:r>
                </w:p>
              </w:tc>
              <w:tc>
                <w:tcPr>
                  <w:tcW w:w="1812"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监控点处1h平均浓度值</w:t>
                  </w:r>
                </w:p>
              </w:tc>
              <w:tc>
                <w:tcPr>
                  <w:tcW w:w="1516" w:type="pct"/>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在厂房外设置监控点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11" w:type="pct"/>
                  <w:vMerge w:val="continue"/>
                  <w:vAlign w:val="center"/>
                </w:tcPr>
                <w:p>
                  <w:pPr>
                    <w:pStyle w:val="2"/>
                    <w:jc w:val="center"/>
                    <w:rPr>
                      <w:rFonts w:ascii="Times New Roman" w:hAnsi="Times New Roman" w:cs="Times New Roman"/>
                      <w:color w:val="auto"/>
                      <w:sz w:val="21"/>
                      <w:szCs w:val="21"/>
                    </w:rPr>
                  </w:pPr>
                </w:p>
              </w:tc>
              <w:tc>
                <w:tcPr>
                  <w:tcW w:w="760" w:type="pct"/>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20</w:t>
                  </w:r>
                </w:p>
              </w:tc>
              <w:tc>
                <w:tcPr>
                  <w:tcW w:w="1812"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监控点处任意一次浓度值</w:t>
                  </w:r>
                </w:p>
              </w:tc>
              <w:tc>
                <w:tcPr>
                  <w:tcW w:w="1516" w:type="pct"/>
                  <w:vMerge w:val="continue"/>
                  <w:vAlign w:val="center"/>
                </w:tcPr>
                <w:p>
                  <w:pPr>
                    <w:pStyle w:val="2"/>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911"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颗粒物</w:t>
                  </w:r>
                </w:p>
              </w:tc>
              <w:tc>
                <w:tcPr>
                  <w:tcW w:w="760"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5</w:t>
                  </w:r>
                </w:p>
              </w:tc>
              <w:tc>
                <w:tcPr>
                  <w:tcW w:w="1812"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监控点处1h平均浓度值</w:t>
                  </w:r>
                </w:p>
              </w:tc>
              <w:tc>
                <w:tcPr>
                  <w:tcW w:w="1516" w:type="pct"/>
                  <w:vMerge w:val="continue"/>
                  <w:vAlign w:val="center"/>
                </w:tcPr>
                <w:p>
                  <w:pPr>
                    <w:pStyle w:val="2"/>
                    <w:jc w:val="center"/>
                    <w:rPr>
                      <w:rFonts w:ascii="Times New Roman" w:hAnsi="Times New Roman" w:cs="Times New Roman"/>
                      <w:color w:val="auto"/>
                      <w:sz w:val="21"/>
                      <w:szCs w:val="21"/>
                    </w:rPr>
                  </w:pPr>
                </w:p>
              </w:tc>
            </w:tr>
          </w:tbl>
          <w:p>
            <w:pPr>
              <w:numPr>
                <w:ilvl w:val="0"/>
                <w:numId w:val="19"/>
              </w:numPr>
              <w:snapToGrid w:val="0"/>
              <w:spacing w:before="120" w:beforeLines="50" w:line="360" w:lineRule="auto"/>
              <w:ind w:firstLine="525" w:firstLineChars="249"/>
            </w:pPr>
            <w:r>
              <w:rPr>
                <w:b/>
                <w:bCs/>
              </w:rPr>
              <w:t>固体废物</w:t>
            </w:r>
          </w:p>
          <w:p>
            <w:pPr>
              <w:adjustRightInd w:val="0"/>
              <w:snapToGrid w:val="0"/>
              <w:spacing w:line="360" w:lineRule="auto"/>
              <w:ind w:firstLine="420" w:firstLineChars="200"/>
            </w:pPr>
            <w:r>
              <w:rPr>
                <w:bCs/>
              </w:rPr>
              <w:t>一般工业固废执行《一般工业固体废物贮存和填埋污染控制标准》(GB 18599-2020)</w:t>
            </w:r>
            <w:r>
              <w:t xml:space="preserve"> </w:t>
            </w:r>
            <w:r>
              <w:rPr>
                <w:bCs/>
              </w:rPr>
              <w:t>中的相关规定，危险废物执行《危险废物贮存污染控制标准》(GB18597-2001) 及2013年修改单中的相关规定，以及《危险废物收集、贮存、运输技术规范》（HJ 2025-2012）</w:t>
            </w:r>
            <w: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60" w:hRule="atLeast"/>
          <w:jc w:val="center"/>
        </w:trPr>
        <w:tc>
          <w:tcPr>
            <w:tcW w:w="349"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总量</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控制</w:t>
            </w:r>
          </w:p>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指标</w:t>
            </w:r>
          </w:p>
        </w:tc>
        <w:tc>
          <w:tcPr>
            <w:tcW w:w="4650" w:type="pct"/>
            <w:vAlign w:val="center"/>
          </w:tcPr>
          <w:p>
            <w:pPr>
              <w:widowControl/>
              <w:spacing w:before="120" w:beforeLines="50" w:line="360" w:lineRule="auto"/>
              <w:ind w:firstLine="420" w:firstLineChars="200"/>
            </w:pPr>
            <w:r>
              <w:t>根据项目的污染物排放总量，建议项目的总量控制指标按下表执行：</w:t>
            </w:r>
          </w:p>
          <w:p>
            <w:pPr>
              <w:widowControl/>
              <w:spacing w:line="360" w:lineRule="auto"/>
              <w:jc w:val="center"/>
              <w:rPr>
                <w:b/>
                <w:bCs/>
              </w:rPr>
            </w:pPr>
            <w:r>
              <w:rPr>
                <w:b/>
                <w:bCs/>
              </w:rPr>
              <w:t>表3-1</w:t>
            </w:r>
            <w:r>
              <w:rPr>
                <w:rFonts w:hint="eastAsia"/>
                <w:b/>
                <w:bCs/>
              </w:rPr>
              <w:t>0</w:t>
            </w:r>
            <w:r>
              <w:rPr>
                <w:b/>
                <w:bCs/>
              </w:rPr>
              <w:t xml:space="preserve"> 项目总量控制建议指标</w:t>
            </w:r>
          </w:p>
          <w:tbl>
            <w:tblPr>
              <w:tblStyle w:val="10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3"/>
              <w:gridCol w:w="1481"/>
              <w:gridCol w:w="1229"/>
              <w:gridCol w:w="1432"/>
              <w:gridCol w:w="1902"/>
              <w:gridCol w:w="21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04" w:hRule="atLeast"/>
                <w:jc w:val="center"/>
              </w:trPr>
              <w:tc>
                <w:tcPr>
                  <w:tcW w:w="455" w:type="pct"/>
                  <w:tcBorders>
                    <w:top w:val="single" w:color="auto" w:sz="4" w:space="0"/>
                    <w:left w:val="single" w:color="auto" w:sz="4" w:space="0"/>
                    <w:right w:val="single" w:color="auto" w:sz="4" w:space="0"/>
                  </w:tcBorders>
                  <w:vAlign w:val="center"/>
                </w:tcPr>
                <w:p>
                  <w:pPr>
                    <w:pStyle w:val="93"/>
                    <w:keepNext/>
                    <w:widowControl w:val="0"/>
                    <w:adjustRightInd w:val="0"/>
                    <w:snapToGrid w:val="0"/>
                    <w:spacing w:before="0" w:beforeAutospacing="0" w:after="0" w:afterAutospacing="0"/>
                    <w:jc w:val="center"/>
                    <w:rPr>
                      <w:rFonts w:ascii="Times New Roman" w:hAnsi="Times New Roman"/>
                      <w:b/>
                      <w:bCs/>
                    </w:rPr>
                  </w:pPr>
                  <w:r>
                    <w:rPr>
                      <w:rFonts w:ascii="Times New Roman" w:hAnsi="Times New Roman"/>
                      <w:b/>
                      <w:bCs/>
                      <w:kern w:val="2"/>
                      <w:sz w:val="21"/>
                    </w:rPr>
                    <w:t>类别</w:t>
                  </w:r>
                </w:p>
              </w:tc>
              <w:tc>
                <w:tcPr>
                  <w:tcW w:w="819" w:type="pct"/>
                  <w:tcBorders>
                    <w:top w:val="single" w:color="auto" w:sz="4" w:space="0"/>
                    <w:left w:val="single" w:color="auto" w:sz="4" w:space="0"/>
                    <w:right w:val="single" w:color="auto" w:sz="4" w:space="0"/>
                  </w:tcBorders>
                  <w:vAlign w:val="center"/>
                </w:tcPr>
                <w:p>
                  <w:pPr>
                    <w:pStyle w:val="93"/>
                    <w:keepNext/>
                    <w:widowControl w:val="0"/>
                    <w:adjustRightInd w:val="0"/>
                    <w:snapToGrid w:val="0"/>
                    <w:spacing w:before="0" w:beforeAutospacing="0" w:after="0" w:afterAutospacing="0"/>
                    <w:jc w:val="center"/>
                    <w:rPr>
                      <w:rFonts w:ascii="Times New Roman" w:hAnsi="Times New Roman"/>
                      <w:b/>
                      <w:bCs/>
                      <w:kern w:val="2"/>
                      <w:sz w:val="21"/>
                    </w:rPr>
                  </w:pPr>
                  <w:r>
                    <w:rPr>
                      <w:rFonts w:hint="eastAsia" w:ascii="Times New Roman" w:hAnsi="Times New Roman"/>
                      <w:b/>
                      <w:bCs/>
                      <w:kern w:val="2"/>
                      <w:sz w:val="21"/>
                    </w:rPr>
                    <w:t>污染物名称</w:t>
                  </w:r>
                </w:p>
              </w:tc>
              <w:tc>
                <w:tcPr>
                  <w:tcW w:w="680" w:type="pct"/>
                  <w:tcBorders>
                    <w:top w:val="single" w:color="auto" w:sz="4" w:space="0"/>
                    <w:left w:val="single" w:color="auto" w:sz="4" w:space="0"/>
                    <w:right w:val="single" w:color="auto" w:sz="4" w:space="0"/>
                  </w:tcBorders>
                  <w:vAlign w:val="center"/>
                </w:tcPr>
                <w:p>
                  <w:pPr>
                    <w:pStyle w:val="93"/>
                    <w:keepNext/>
                    <w:widowControl w:val="0"/>
                    <w:adjustRightInd w:val="0"/>
                    <w:snapToGrid w:val="0"/>
                    <w:spacing w:before="0" w:beforeAutospacing="0" w:after="0" w:afterAutospacing="0"/>
                    <w:jc w:val="center"/>
                    <w:rPr>
                      <w:rFonts w:ascii="Times New Roman" w:hAnsi="Times New Roman"/>
                      <w:b/>
                      <w:bCs/>
                      <w:kern w:val="2"/>
                      <w:sz w:val="21"/>
                    </w:rPr>
                  </w:pPr>
                  <w:r>
                    <w:rPr>
                      <w:rFonts w:hint="eastAsia" w:ascii="Times New Roman" w:hAnsi="Times New Roman"/>
                      <w:b/>
                      <w:bCs/>
                      <w:kern w:val="2"/>
                      <w:sz w:val="21"/>
                    </w:rPr>
                    <w:t>排放形式</w:t>
                  </w:r>
                </w:p>
              </w:tc>
              <w:tc>
                <w:tcPr>
                  <w:tcW w:w="792" w:type="pct"/>
                  <w:tcBorders>
                    <w:top w:val="single" w:color="auto" w:sz="4" w:space="0"/>
                    <w:left w:val="single" w:color="auto" w:sz="4" w:space="0"/>
                    <w:right w:val="single" w:color="auto" w:sz="4" w:space="0"/>
                  </w:tcBorders>
                  <w:vAlign w:val="center"/>
                </w:tcPr>
                <w:p>
                  <w:pPr>
                    <w:adjustRightInd w:val="0"/>
                    <w:snapToGrid w:val="0"/>
                    <w:jc w:val="center"/>
                    <w:rPr>
                      <w:b/>
                      <w:bCs/>
                    </w:rPr>
                  </w:pPr>
                  <w:r>
                    <w:rPr>
                      <w:rFonts w:hint="eastAsia"/>
                      <w:b/>
                      <w:bCs/>
                    </w:rPr>
                    <w:t>达标排放量</w:t>
                  </w:r>
                </w:p>
              </w:tc>
              <w:tc>
                <w:tcPr>
                  <w:tcW w:w="105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rPr>
                  </w:pPr>
                  <w:r>
                    <w:rPr>
                      <w:rFonts w:hint="eastAsia"/>
                      <w:b/>
                      <w:bCs/>
                    </w:rPr>
                    <w:t>达标排放标准</w:t>
                  </w:r>
                </w:p>
              </w:tc>
              <w:tc>
                <w:tcPr>
                  <w:tcW w:w="1199"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rPr>
                  </w:pPr>
                  <w:r>
                    <w:rPr>
                      <w:b/>
                      <w:bCs/>
                    </w:rPr>
                    <w:t>总量建议控制指标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55" w:type="pct"/>
                  <w:vMerge w:val="restart"/>
                  <w:tcBorders>
                    <w:left w:val="single" w:color="auto" w:sz="4" w:space="0"/>
                    <w:right w:val="single" w:color="auto" w:sz="4" w:space="0"/>
                  </w:tcBorders>
                  <w:vAlign w:val="center"/>
                </w:tcPr>
                <w:p>
                  <w:pPr>
                    <w:adjustRightInd w:val="0"/>
                    <w:snapToGrid w:val="0"/>
                    <w:jc w:val="center"/>
                  </w:pPr>
                  <w:r>
                    <w:rPr>
                      <w:rFonts w:hint="eastAsia"/>
                    </w:rPr>
                    <w:t>生活污水</w:t>
                  </w:r>
                </w:p>
              </w:tc>
              <w:tc>
                <w:tcPr>
                  <w:tcW w:w="819"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废水量</w:t>
                  </w:r>
                </w:p>
              </w:tc>
              <w:tc>
                <w:tcPr>
                  <w:tcW w:w="680"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w:t>
                  </w:r>
                </w:p>
              </w:tc>
              <w:tc>
                <w:tcPr>
                  <w:tcW w:w="7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27</w:t>
                  </w:r>
                  <w:r>
                    <w:t>0t/a</w:t>
                  </w:r>
                </w:p>
              </w:tc>
              <w:tc>
                <w:tcPr>
                  <w:tcW w:w="105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w:t>
                  </w:r>
                </w:p>
              </w:tc>
              <w:tc>
                <w:tcPr>
                  <w:tcW w:w="1199" w:type="pct"/>
                  <w:vMerge w:val="restart"/>
                  <w:tcBorders>
                    <w:top w:val="single" w:color="auto" w:sz="4" w:space="0"/>
                    <w:left w:val="single" w:color="auto" w:sz="4" w:space="0"/>
                    <w:right w:val="single" w:color="auto" w:sz="4" w:space="0"/>
                  </w:tcBorders>
                  <w:vAlign w:val="center"/>
                </w:tcPr>
                <w:p>
                  <w:pPr>
                    <w:adjustRightInd w:val="0"/>
                    <w:snapToGrid w:val="0"/>
                    <w:jc w:val="center"/>
                  </w:pPr>
                  <w:r>
                    <w:t>来源于园洲镇第三污水处理厂，项目不另外</w:t>
                  </w:r>
                  <w:r>
                    <w:rPr>
                      <w:kern w:val="21"/>
                    </w:rPr>
                    <w:t>调配总量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55" w:type="pct"/>
                  <w:vMerge w:val="continue"/>
                  <w:tcBorders>
                    <w:left w:val="single" w:color="auto" w:sz="4" w:space="0"/>
                    <w:right w:val="single" w:color="auto" w:sz="4" w:space="0"/>
                  </w:tcBorders>
                  <w:vAlign w:val="center"/>
                </w:tcPr>
                <w:p>
                  <w:pPr>
                    <w:adjustRightInd w:val="0"/>
                    <w:snapToGrid w:val="0"/>
                    <w:jc w:val="center"/>
                  </w:pPr>
                </w:p>
              </w:tc>
              <w:tc>
                <w:tcPr>
                  <w:tcW w:w="819"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CODcr</w:t>
                  </w:r>
                </w:p>
              </w:tc>
              <w:tc>
                <w:tcPr>
                  <w:tcW w:w="680" w:type="pct"/>
                  <w:tcBorders>
                    <w:top w:val="single" w:color="auto" w:sz="4" w:space="0"/>
                    <w:left w:val="single" w:color="auto" w:sz="4" w:space="0"/>
                    <w:bottom w:val="single" w:color="auto" w:sz="4" w:space="0"/>
                    <w:right w:val="single" w:color="auto" w:sz="4" w:space="0"/>
                  </w:tcBorders>
                  <w:vAlign w:val="center"/>
                </w:tcPr>
                <w:p>
                  <w:pPr>
                    <w:jc w:val="center"/>
                  </w:pPr>
                  <w:r>
                    <w:rPr>
                      <w:rFonts w:hint="eastAsia"/>
                    </w:rPr>
                    <w:t>/</w:t>
                  </w:r>
                </w:p>
              </w:tc>
              <w:tc>
                <w:tcPr>
                  <w:tcW w:w="7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0.0</w:t>
                  </w:r>
                  <w:r>
                    <w:rPr>
                      <w:rFonts w:hint="eastAsia"/>
                    </w:rPr>
                    <w:t>108</w:t>
                  </w:r>
                  <w:r>
                    <w:t>t/a</w:t>
                  </w:r>
                </w:p>
              </w:tc>
              <w:tc>
                <w:tcPr>
                  <w:tcW w:w="105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≤40mg/L</w:t>
                  </w:r>
                </w:p>
              </w:tc>
              <w:tc>
                <w:tcPr>
                  <w:tcW w:w="1199" w:type="pct"/>
                  <w:vMerge w:val="continue"/>
                  <w:tcBorders>
                    <w:left w:val="single" w:color="auto" w:sz="4" w:space="0"/>
                    <w:right w:val="single" w:color="auto" w:sz="4" w:space="0"/>
                  </w:tcBorders>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55" w:type="pct"/>
                  <w:vMerge w:val="continue"/>
                  <w:tcBorders>
                    <w:left w:val="single" w:color="auto" w:sz="4" w:space="0"/>
                    <w:right w:val="single" w:color="auto" w:sz="4" w:space="0"/>
                  </w:tcBorders>
                  <w:vAlign w:val="center"/>
                </w:tcPr>
                <w:p>
                  <w:pPr>
                    <w:adjustRightInd w:val="0"/>
                    <w:snapToGrid w:val="0"/>
                    <w:jc w:val="center"/>
                  </w:pPr>
                </w:p>
              </w:tc>
              <w:tc>
                <w:tcPr>
                  <w:tcW w:w="819" w:type="pct"/>
                  <w:tcBorders>
                    <w:top w:val="single" w:color="auto" w:sz="4" w:space="0"/>
                    <w:left w:val="single" w:color="auto" w:sz="4" w:space="0"/>
                    <w:bottom w:val="single" w:color="auto" w:sz="4" w:space="0"/>
                    <w:right w:val="single" w:color="auto" w:sz="4" w:space="0"/>
                  </w:tcBorders>
                  <w:vAlign w:val="center"/>
                </w:tcPr>
                <w:p>
                  <w:pPr>
                    <w:jc w:val="center"/>
                  </w:pPr>
                  <w:r>
                    <w:rPr>
                      <w:snapToGrid w:val="0"/>
                      <w:kern w:val="21"/>
                    </w:rPr>
                    <w:t>NH</w:t>
                  </w:r>
                  <w:r>
                    <w:rPr>
                      <w:snapToGrid w:val="0"/>
                      <w:kern w:val="21"/>
                      <w:vertAlign w:val="subscript"/>
                    </w:rPr>
                    <w:t>3</w:t>
                  </w:r>
                  <w:r>
                    <w:rPr>
                      <w:snapToGrid w:val="0"/>
                      <w:kern w:val="21"/>
                    </w:rPr>
                    <w:t>-N</w:t>
                  </w:r>
                </w:p>
              </w:tc>
              <w:tc>
                <w:tcPr>
                  <w:tcW w:w="680" w:type="pct"/>
                  <w:tcBorders>
                    <w:top w:val="single" w:color="auto" w:sz="4" w:space="0"/>
                    <w:left w:val="single" w:color="auto" w:sz="4" w:space="0"/>
                    <w:bottom w:val="single" w:color="auto" w:sz="4" w:space="0"/>
                    <w:right w:val="single" w:color="auto" w:sz="4" w:space="0"/>
                  </w:tcBorders>
                  <w:vAlign w:val="center"/>
                </w:tcPr>
                <w:p>
                  <w:pPr>
                    <w:jc w:val="center"/>
                    <w:rPr>
                      <w:snapToGrid w:val="0"/>
                      <w:kern w:val="21"/>
                    </w:rPr>
                  </w:pPr>
                  <w:r>
                    <w:rPr>
                      <w:rFonts w:hint="eastAsia"/>
                    </w:rPr>
                    <w:t>/</w:t>
                  </w:r>
                </w:p>
              </w:tc>
              <w:tc>
                <w:tcPr>
                  <w:tcW w:w="7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0.000</w:t>
                  </w:r>
                  <w:r>
                    <w:rPr>
                      <w:rFonts w:hint="eastAsia"/>
                    </w:rPr>
                    <w:t>54</w:t>
                  </w:r>
                  <w:r>
                    <w:t>t/a</w:t>
                  </w:r>
                </w:p>
              </w:tc>
              <w:tc>
                <w:tcPr>
                  <w:tcW w:w="105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≤2.0mg/L</w:t>
                  </w:r>
                </w:p>
              </w:tc>
              <w:tc>
                <w:tcPr>
                  <w:tcW w:w="1199" w:type="pct"/>
                  <w:vMerge w:val="continue"/>
                  <w:tcBorders>
                    <w:left w:val="single" w:color="auto" w:sz="4" w:space="0"/>
                    <w:bottom w:val="single" w:color="auto" w:sz="4" w:space="0"/>
                    <w:right w:val="single" w:color="auto" w:sz="4" w:space="0"/>
                  </w:tcBorders>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55" w:type="pct"/>
                  <w:vMerge w:val="restart"/>
                  <w:tcBorders>
                    <w:left w:val="single" w:color="auto" w:sz="4" w:space="0"/>
                    <w:right w:val="single" w:color="auto" w:sz="4" w:space="0"/>
                  </w:tcBorders>
                  <w:vAlign w:val="center"/>
                </w:tcPr>
                <w:p>
                  <w:pPr>
                    <w:adjustRightInd w:val="0"/>
                    <w:snapToGrid w:val="0"/>
                    <w:jc w:val="center"/>
                  </w:pPr>
                  <w:r>
                    <w:rPr>
                      <w:rFonts w:hint="eastAsia"/>
                    </w:rPr>
                    <w:t>废气</w:t>
                  </w:r>
                </w:p>
              </w:tc>
              <w:tc>
                <w:tcPr>
                  <w:tcW w:w="819" w:type="pct"/>
                  <w:vMerge w:val="restart"/>
                  <w:tcBorders>
                    <w:top w:val="single" w:color="auto" w:sz="4" w:space="0"/>
                    <w:left w:val="single" w:color="auto" w:sz="4" w:space="0"/>
                    <w:right w:val="single" w:color="auto" w:sz="4" w:space="0"/>
                  </w:tcBorders>
                  <w:vAlign w:val="center"/>
                </w:tcPr>
                <w:p>
                  <w:pPr>
                    <w:snapToGrid w:val="0"/>
                    <w:spacing w:line="300" w:lineRule="auto"/>
                    <w:jc w:val="center"/>
                  </w:pPr>
                  <w:r>
                    <w:t>颗粒物</w:t>
                  </w:r>
                </w:p>
              </w:tc>
              <w:tc>
                <w:tcPr>
                  <w:tcW w:w="680" w:type="pct"/>
                  <w:tcBorders>
                    <w:top w:val="single" w:color="auto" w:sz="4" w:space="0"/>
                    <w:left w:val="single" w:color="auto" w:sz="4" w:space="0"/>
                    <w:bottom w:val="single" w:color="auto" w:sz="4" w:space="0"/>
                    <w:right w:val="single" w:color="auto" w:sz="4" w:space="0"/>
                  </w:tcBorders>
                  <w:vAlign w:val="center"/>
                </w:tcPr>
                <w:p>
                  <w:pPr>
                    <w:snapToGrid w:val="0"/>
                    <w:jc w:val="center"/>
                  </w:pPr>
                  <w:r>
                    <w:t>有组织</w:t>
                  </w:r>
                </w:p>
              </w:tc>
              <w:tc>
                <w:tcPr>
                  <w:tcW w:w="7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0.</w:t>
                  </w:r>
                  <w:r>
                    <w:rPr>
                      <w:rFonts w:hint="eastAsia"/>
                    </w:rPr>
                    <w:t>26341</w:t>
                  </w:r>
                  <w:r>
                    <w:t>t/a</w:t>
                  </w:r>
                </w:p>
              </w:tc>
              <w:tc>
                <w:tcPr>
                  <w:tcW w:w="105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≤30</w:t>
                  </w:r>
                  <w:r>
                    <w:t>mg/m</w:t>
                  </w:r>
                  <w:r>
                    <w:rPr>
                      <w:vertAlign w:val="superscript"/>
                    </w:rPr>
                    <w:t>3</w:t>
                  </w:r>
                </w:p>
              </w:tc>
              <w:tc>
                <w:tcPr>
                  <w:tcW w:w="1199" w:type="pct"/>
                  <w:vMerge w:val="restart"/>
                  <w:tcBorders>
                    <w:top w:val="single" w:color="auto" w:sz="4" w:space="0"/>
                    <w:left w:val="single" w:color="auto" w:sz="4" w:space="0"/>
                    <w:right w:val="single" w:color="auto" w:sz="4" w:space="0"/>
                  </w:tcBorders>
                  <w:vAlign w:val="center"/>
                </w:tcPr>
                <w:p>
                  <w:pPr>
                    <w:adjustRightInd w:val="0"/>
                    <w:snapToGrid w:val="0"/>
                    <w:jc w:val="center"/>
                  </w:pPr>
                  <w:r>
                    <w:rPr>
                      <w:snapToGrid w:val="0"/>
                      <w:kern w:val="21"/>
                    </w:rPr>
                    <w:t>无需申请总量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55" w:type="pct"/>
                  <w:vMerge w:val="continue"/>
                  <w:tcBorders>
                    <w:left w:val="single" w:color="auto" w:sz="4" w:space="0"/>
                    <w:right w:val="single" w:color="auto" w:sz="4" w:space="0"/>
                  </w:tcBorders>
                  <w:vAlign w:val="center"/>
                </w:tcPr>
                <w:p>
                  <w:pPr>
                    <w:adjustRightInd w:val="0"/>
                    <w:snapToGrid w:val="0"/>
                    <w:jc w:val="center"/>
                  </w:pPr>
                </w:p>
              </w:tc>
              <w:tc>
                <w:tcPr>
                  <w:tcW w:w="819" w:type="pct"/>
                  <w:vMerge w:val="continue"/>
                  <w:tcBorders>
                    <w:left w:val="single" w:color="auto" w:sz="4" w:space="0"/>
                    <w:right w:val="single" w:color="auto" w:sz="4" w:space="0"/>
                  </w:tcBorders>
                  <w:vAlign w:val="center"/>
                </w:tcPr>
                <w:p>
                  <w:pPr>
                    <w:jc w:val="center"/>
                  </w:pPr>
                </w:p>
              </w:tc>
              <w:tc>
                <w:tcPr>
                  <w:tcW w:w="680" w:type="pct"/>
                  <w:tcBorders>
                    <w:top w:val="single" w:color="auto" w:sz="4" w:space="0"/>
                    <w:left w:val="single" w:color="auto" w:sz="4" w:space="0"/>
                    <w:bottom w:val="single" w:color="auto" w:sz="4" w:space="0"/>
                    <w:right w:val="single" w:color="auto" w:sz="4" w:space="0"/>
                  </w:tcBorders>
                  <w:vAlign w:val="center"/>
                </w:tcPr>
                <w:p>
                  <w:pPr>
                    <w:snapToGrid w:val="0"/>
                    <w:jc w:val="center"/>
                  </w:pPr>
                  <w:r>
                    <w:t>无组织</w:t>
                  </w:r>
                </w:p>
              </w:tc>
              <w:tc>
                <w:tcPr>
                  <w:tcW w:w="7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0.</w:t>
                  </w:r>
                  <w:r>
                    <w:rPr>
                      <w:rFonts w:hint="eastAsia"/>
                    </w:rPr>
                    <w:t>65842</w:t>
                  </w:r>
                  <w:r>
                    <w:t>t/a</w:t>
                  </w:r>
                </w:p>
              </w:tc>
              <w:tc>
                <w:tcPr>
                  <w:tcW w:w="105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厂内≤5.0</w:t>
                  </w:r>
                  <w:r>
                    <w:t>mg/m</w:t>
                  </w:r>
                  <w:r>
                    <w:rPr>
                      <w:vertAlign w:val="superscript"/>
                    </w:rPr>
                    <w:t>3</w:t>
                  </w:r>
                  <w:r>
                    <w:rPr>
                      <w:rFonts w:hint="eastAsia"/>
                    </w:rPr>
                    <w:t>；厂界≤1.0</w:t>
                  </w:r>
                  <w:r>
                    <w:t>mg/m</w:t>
                  </w:r>
                  <w:r>
                    <w:rPr>
                      <w:vertAlign w:val="superscript"/>
                    </w:rPr>
                    <w:t>3</w:t>
                  </w:r>
                </w:p>
              </w:tc>
              <w:tc>
                <w:tcPr>
                  <w:tcW w:w="1199" w:type="pct"/>
                  <w:vMerge w:val="continue"/>
                  <w:tcBorders>
                    <w:left w:val="single" w:color="auto" w:sz="4" w:space="0"/>
                    <w:right w:val="single" w:color="auto" w:sz="4" w:space="0"/>
                  </w:tcBorders>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55" w:type="pct"/>
                  <w:vMerge w:val="continue"/>
                  <w:tcBorders>
                    <w:left w:val="single" w:color="auto" w:sz="4" w:space="0"/>
                    <w:right w:val="single" w:color="auto" w:sz="4" w:space="0"/>
                  </w:tcBorders>
                  <w:vAlign w:val="center"/>
                </w:tcPr>
                <w:p>
                  <w:pPr>
                    <w:adjustRightInd w:val="0"/>
                    <w:snapToGrid w:val="0"/>
                    <w:jc w:val="center"/>
                  </w:pPr>
                </w:p>
              </w:tc>
              <w:tc>
                <w:tcPr>
                  <w:tcW w:w="819" w:type="pct"/>
                  <w:vMerge w:val="continue"/>
                  <w:tcBorders>
                    <w:left w:val="single" w:color="auto" w:sz="4" w:space="0"/>
                    <w:bottom w:val="single" w:color="auto" w:sz="4" w:space="0"/>
                    <w:right w:val="single" w:color="auto" w:sz="4" w:space="0"/>
                  </w:tcBorders>
                  <w:vAlign w:val="center"/>
                </w:tcPr>
                <w:p>
                  <w:pPr>
                    <w:jc w:val="center"/>
                  </w:pPr>
                </w:p>
              </w:tc>
              <w:tc>
                <w:tcPr>
                  <w:tcW w:w="680" w:type="pct"/>
                  <w:tcBorders>
                    <w:top w:val="single" w:color="auto" w:sz="4" w:space="0"/>
                    <w:left w:val="single" w:color="auto" w:sz="4" w:space="0"/>
                    <w:bottom w:val="single" w:color="auto" w:sz="4" w:space="0"/>
                    <w:right w:val="single" w:color="auto" w:sz="4" w:space="0"/>
                  </w:tcBorders>
                  <w:vAlign w:val="center"/>
                </w:tcPr>
                <w:p>
                  <w:pPr>
                    <w:snapToGrid w:val="0"/>
                    <w:jc w:val="center"/>
                  </w:pPr>
                  <w:r>
                    <w:t>合计</w:t>
                  </w:r>
                </w:p>
              </w:tc>
              <w:tc>
                <w:tcPr>
                  <w:tcW w:w="7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0.</w:t>
                  </w:r>
                  <w:r>
                    <w:rPr>
                      <w:rFonts w:hint="eastAsia"/>
                    </w:rPr>
                    <w:t>92183</w:t>
                  </w:r>
                  <w:r>
                    <w:t>t/a</w:t>
                  </w:r>
                </w:p>
              </w:tc>
              <w:tc>
                <w:tcPr>
                  <w:tcW w:w="105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w:t>
                  </w:r>
                </w:p>
              </w:tc>
              <w:tc>
                <w:tcPr>
                  <w:tcW w:w="1199" w:type="pct"/>
                  <w:vMerge w:val="continue"/>
                  <w:tcBorders>
                    <w:left w:val="single" w:color="auto" w:sz="4" w:space="0"/>
                    <w:bottom w:val="single" w:color="auto" w:sz="4" w:space="0"/>
                    <w:right w:val="single" w:color="auto" w:sz="4" w:space="0"/>
                  </w:tcBorders>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55" w:type="pct"/>
                  <w:vMerge w:val="continue"/>
                  <w:tcBorders>
                    <w:left w:val="single" w:color="auto" w:sz="4" w:space="0"/>
                    <w:right w:val="single" w:color="auto" w:sz="4" w:space="0"/>
                  </w:tcBorders>
                  <w:vAlign w:val="center"/>
                </w:tcPr>
                <w:p>
                  <w:pPr>
                    <w:adjustRightInd w:val="0"/>
                    <w:snapToGrid w:val="0"/>
                    <w:jc w:val="center"/>
                  </w:pPr>
                </w:p>
              </w:tc>
              <w:tc>
                <w:tcPr>
                  <w:tcW w:w="819" w:type="pct"/>
                  <w:vMerge w:val="restart"/>
                  <w:tcBorders>
                    <w:top w:val="single" w:color="auto" w:sz="4" w:space="0"/>
                    <w:left w:val="single" w:color="auto" w:sz="4" w:space="0"/>
                    <w:right w:val="single" w:color="auto" w:sz="4" w:space="0"/>
                  </w:tcBorders>
                  <w:vAlign w:val="center"/>
                </w:tcPr>
                <w:p>
                  <w:pPr>
                    <w:snapToGrid w:val="0"/>
                    <w:spacing w:line="300" w:lineRule="auto"/>
                    <w:jc w:val="center"/>
                  </w:pPr>
                  <w:r>
                    <w:t>VOCs</w:t>
                  </w:r>
                </w:p>
              </w:tc>
              <w:tc>
                <w:tcPr>
                  <w:tcW w:w="680" w:type="pct"/>
                  <w:tcBorders>
                    <w:top w:val="single" w:color="auto" w:sz="4" w:space="0"/>
                    <w:left w:val="single" w:color="auto" w:sz="4" w:space="0"/>
                    <w:bottom w:val="single" w:color="auto" w:sz="4" w:space="0"/>
                    <w:right w:val="single" w:color="auto" w:sz="4" w:space="0"/>
                  </w:tcBorders>
                  <w:vAlign w:val="center"/>
                </w:tcPr>
                <w:p>
                  <w:pPr>
                    <w:snapToGrid w:val="0"/>
                    <w:jc w:val="center"/>
                  </w:pPr>
                  <w:r>
                    <w:t>有组织</w:t>
                  </w:r>
                </w:p>
              </w:tc>
              <w:tc>
                <w:tcPr>
                  <w:tcW w:w="7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0.0</w:t>
                  </w:r>
                  <w:r>
                    <w:rPr>
                      <w:rFonts w:hint="eastAsia"/>
                    </w:rPr>
                    <w:t>0248</w:t>
                  </w:r>
                  <w:r>
                    <w:t>t/a</w:t>
                  </w:r>
                </w:p>
              </w:tc>
              <w:tc>
                <w:tcPr>
                  <w:tcW w:w="105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≤100</w:t>
                  </w:r>
                  <w:r>
                    <w:t>mg/m</w:t>
                  </w:r>
                  <w:r>
                    <w:rPr>
                      <w:vertAlign w:val="superscript"/>
                    </w:rPr>
                    <w:t>3</w:t>
                  </w:r>
                </w:p>
              </w:tc>
              <w:tc>
                <w:tcPr>
                  <w:tcW w:w="1199" w:type="pct"/>
                  <w:vMerge w:val="restart"/>
                  <w:tcBorders>
                    <w:top w:val="single" w:color="auto" w:sz="4" w:space="0"/>
                    <w:left w:val="single" w:color="auto" w:sz="4" w:space="0"/>
                    <w:right w:val="single" w:color="auto" w:sz="4" w:space="0"/>
                  </w:tcBorders>
                  <w:vAlign w:val="center"/>
                </w:tcPr>
                <w:p>
                  <w:pPr>
                    <w:adjustRightInd w:val="0"/>
                    <w:snapToGrid w:val="0"/>
                    <w:jc w:val="center"/>
                  </w:pPr>
                  <w:r>
                    <w:rPr>
                      <w:rFonts w:hint="eastAsia"/>
                    </w:rPr>
                    <w:t>0.00455</w:t>
                  </w:r>
                  <w: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55" w:type="pct"/>
                  <w:vMerge w:val="continue"/>
                  <w:tcBorders>
                    <w:left w:val="single" w:color="auto" w:sz="4" w:space="0"/>
                    <w:right w:val="single" w:color="auto" w:sz="4" w:space="0"/>
                  </w:tcBorders>
                  <w:vAlign w:val="center"/>
                </w:tcPr>
                <w:p>
                  <w:pPr>
                    <w:adjustRightInd w:val="0"/>
                    <w:snapToGrid w:val="0"/>
                    <w:jc w:val="center"/>
                  </w:pPr>
                </w:p>
              </w:tc>
              <w:tc>
                <w:tcPr>
                  <w:tcW w:w="819" w:type="pct"/>
                  <w:vMerge w:val="continue"/>
                  <w:tcBorders>
                    <w:left w:val="single" w:color="auto" w:sz="4" w:space="0"/>
                    <w:right w:val="single" w:color="auto" w:sz="4" w:space="0"/>
                  </w:tcBorders>
                  <w:vAlign w:val="center"/>
                </w:tcPr>
                <w:p>
                  <w:pPr>
                    <w:jc w:val="center"/>
                  </w:pPr>
                </w:p>
              </w:tc>
              <w:tc>
                <w:tcPr>
                  <w:tcW w:w="680" w:type="pct"/>
                  <w:tcBorders>
                    <w:top w:val="single" w:color="auto" w:sz="4" w:space="0"/>
                    <w:left w:val="single" w:color="auto" w:sz="4" w:space="0"/>
                    <w:bottom w:val="single" w:color="auto" w:sz="4" w:space="0"/>
                    <w:right w:val="single" w:color="auto" w:sz="4" w:space="0"/>
                  </w:tcBorders>
                  <w:vAlign w:val="center"/>
                </w:tcPr>
                <w:p>
                  <w:pPr>
                    <w:snapToGrid w:val="0"/>
                    <w:jc w:val="center"/>
                  </w:pPr>
                  <w:r>
                    <w:t>无组织</w:t>
                  </w:r>
                </w:p>
              </w:tc>
              <w:tc>
                <w:tcPr>
                  <w:tcW w:w="7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0.</w:t>
                  </w:r>
                  <w:r>
                    <w:rPr>
                      <w:rFonts w:hint="eastAsia"/>
                    </w:rPr>
                    <w:t>00207</w:t>
                  </w:r>
                  <w:r>
                    <w:t>t/a</w:t>
                  </w:r>
                </w:p>
              </w:tc>
              <w:tc>
                <w:tcPr>
                  <w:tcW w:w="105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厂界≤2.0</w:t>
                  </w:r>
                  <w:r>
                    <w:t>mg/m</w:t>
                  </w:r>
                  <w:r>
                    <w:rPr>
                      <w:vertAlign w:val="superscript"/>
                    </w:rPr>
                    <w:t>3</w:t>
                  </w:r>
                </w:p>
              </w:tc>
              <w:tc>
                <w:tcPr>
                  <w:tcW w:w="1199" w:type="pct"/>
                  <w:vMerge w:val="continue"/>
                  <w:tcBorders>
                    <w:left w:val="single" w:color="auto" w:sz="4" w:space="0"/>
                    <w:right w:val="single" w:color="auto" w:sz="4" w:space="0"/>
                  </w:tcBorders>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1" w:hRule="atLeast"/>
                <w:jc w:val="center"/>
              </w:trPr>
              <w:tc>
                <w:tcPr>
                  <w:tcW w:w="455" w:type="pct"/>
                  <w:vMerge w:val="continue"/>
                  <w:tcBorders>
                    <w:left w:val="single" w:color="auto" w:sz="4" w:space="0"/>
                    <w:right w:val="single" w:color="auto" w:sz="4" w:space="0"/>
                  </w:tcBorders>
                  <w:vAlign w:val="center"/>
                </w:tcPr>
                <w:p>
                  <w:pPr>
                    <w:adjustRightInd w:val="0"/>
                    <w:snapToGrid w:val="0"/>
                    <w:jc w:val="center"/>
                  </w:pPr>
                </w:p>
              </w:tc>
              <w:tc>
                <w:tcPr>
                  <w:tcW w:w="819" w:type="pct"/>
                  <w:vMerge w:val="continue"/>
                  <w:tcBorders>
                    <w:left w:val="single" w:color="auto" w:sz="4" w:space="0"/>
                    <w:bottom w:val="single" w:color="auto" w:sz="4" w:space="0"/>
                    <w:right w:val="single" w:color="auto" w:sz="4" w:space="0"/>
                  </w:tcBorders>
                  <w:vAlign w:val="center"/>
                </w:tcPr>
                <w:p>
                  <w:pPr>
                    <w:jc w:val="center"/>
                  </w:pPr>
                </w:p>
              </w:tc>
              <w:tc>
                <w:tcPr>
                  <w:tcW w:w="680" w:type="pct"/>
                  <w:tcBorders>
                    <w:top w:val="single" w:color="auto" w:sz="4" w:space="0"/>
                    <w:left w:val="single" w:color="auto" w:sz="4" w:space="0"/>
                    <w:bottom w:val="single" w:color="auto" w:sz="4" w:space="0"/>
                    <w:right w:val="single" w:color="auto" w:sz="4" w:space="0"/>
                  </w:tcBorders>
                  <w:vAlign w:val="center"/>
                </w:tcPr>
                <w:p>
                  <w:pPr>
                    <w:snapToGrid w:val="0"/>
                    <w:jc w:val="center"/>
                  </w:pPr>
                  <w:r>
                    <w:t>合计</w:t>
                  </w:r>
                </w:p>
              </w:tc>
              <w:tc>
                <w:tcPr>
                  <w:tcW w:w="79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0.0</w:t>
                  </w:r>
                  <w:r>
                    <w:rPr>
                      <w:rFonts w:hint="eastAsia"/>
                    </w:rPr>
                    <w:t>0455</w:t>
                  </w:r>
                  <w:r>
                    <w:t>t/a</w:t>
                  </w:r>
                </w:p>
              </w:tc>
              <w:tc>
                <w:tcPr>
                  <w:tcW w:w="105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rPr>
                      <w:rFonts w:hint="eastAsia"/>
                    </w:rPr>
                    <w:t>/</w:t>
                  </w:r>
                </w:p>
              </w:tc>
              <w:tc>
                <w:tcPr>
                  <w:tcW w:w="1199" w:type="pct"/>
                  <w:vMerge w:val="continue"/>
                  <w:tcBorders>
                    <w:left w:val="single" w:color="auto" w:sz="4" w:space="0"/>
                    <w:bottom w:val="single" w:color="auto" w:sz="4" w:space="0"/>
                    <w:right w:val="single" w:color="auto" w:sz="4" w:space="0"/>
                  </w:tcBorders>
                  <w:vAlign w:val="center"/>
                </w:tcPr>
                <w:p>
                  <w:pPr>
                    <w:adjustRightInd w:val="0"/>
                    <w:snapToGrid w:val="0"/>
                    <w:jc w:val="center"/>
                  </w:pPr>
                </w:p>
              </w:tc>
            </w:tr>
          </w:tbl>
          <w:p>
            <w:pPr>
              <w:pStyle w:val="6"/>
              <w:spacing w:before="120" w:after="120"/>
              <w:ind w:left="0" w:firstLine="0"/>
            </w:pPr>
            <w:r>
              <w:rPr>
                <w:rFonts w:hint="eastAsia" w:ascii="Times New Roman" w:eastAsia="宋体"/>
                <w:b w:val="0"/>
                <w:bCs w:val="0"/>
                <w:kern w:val="21"/>
                <w:sz w:val="21"/>
                <w:szCs w:val="21"/>
              </w:rPr>
              <w:t>注：非甲烷总烃纳入VOCs总量控制中；</w:t>
            </w:r>
            <w:r>
              <w:rPr>
                <w:rFonts w:ascii="Times New Roman" w:eastAsia="宋体"/>
                <w:b w:val="0"/>
                <w:bCs w:val="0"/>
                <w:kern w:val="21"/>
                <w:sz w:val="21"/>
                <w:szCs w:val="21"/>
              </w:rPr>
              <w:t>项目废气总量指标由</w:t>
            </w:r>
            <w:r>
              <w:rPr>
                <w:rFonts w:hint="eastAsia" w:ascii="Times New Roman" w:eastAsia="宋体"/>
                <w:b w:val="0"/>
                <w:bCs w:val="0"/>
                <w:kern w:val="21"/>
                <w:sz w:val="21"/>
                <w:szCs w:val="21"/>
              </w:rPr>
              <w:t>惠州市</w:t>
            </w:r>
            <w:r>
              <w:rPr>
                <w:rFonts w:ascii="Times New Roman" w:eastAsia="宋体"/>
                <w:b w:val="0"/>
                <w:bCs w:val="0"/>
                <w:kern w:val="21"/>
                <w:sz w:val="21"/>
                <w:szCs w:val="21"/>
              </w:rPr>
              <w:t>生态环境局博罗</w:t>
            </w:r>
            <w:r>
              <w:rPr>
                <w:rFonts w:hint="eastAsia" w:ascii="Times New Roman" w:eastAsia="宋体"/>
                <w:b w:val="0"/>
                <w:bCs w:val="0"/>
                <w:kern w:val="21"/>
                <w:sz w:val="21"/>
                <w:szCs w:val="21"/>
              </w:rPr>
              <w:t>分局</w:t>
            </w:r>
            <w:r>
              <w:rPr>
                <w:rFonts w:ascii="Times New Roman" w:eastAsia="宋体"/>
                <w:b w:val="0"/>
                <w:bCs w:val="0"/>
                <w:kern w:val="21"/>
                <w:sz w:val="21"/>
                <w:szCs w:val="21"/>
              </w:rPr>
              <w:t>分配。</w:t>
            </w:r>
          </w:p>
        </w:tc>
      </w:tr>
    </w:tbl>
    <w:p>
      <w:pPr>
        <w:pStyle w:val="93"/>
        <w:tabs>
          <w:tab w:val="left" w:pos="276"/>
          <w:tab w:val="center" w:pos="4422"/>
        </w:tabs>
        <w:outlineLvl w:val="0"/>
        <w:rPr>
          <w:rFonts w:ascii="Times New Roman" w:hAnsi="Times New Roman"/>
          <w:color w:val="000000" w:themeColor="text1"/>
          <w14:textFill>
            <w14:solidFill>
              <w14:schemeClr w14:val="tx1"/>
            </w14:solidFill>
          </w14:textFill>
        </w:rPr>
        <w:sectPr>
          <w:pgSz w:w="11907" w:h="16840"/>
          <w:pgMar w:top="1440" w:right="1080" w:bottom="1440" w:left="1080" w:header="851" w:footer="851" w:gutter="0"/>
          <w:cols w:space="720" w:num="1"/>
          <w:docGrid w:linePitch="312" w:charSpace="0"/>
        </w:sectPr>
      </w:pPr>
    </w:p>
    <w:p>
      <w:pPr>
        <w:pStyle w:val="93"/>
        <w:jc w:val="center"/>
        <w:outlineLvl w:val="0"/>
        <w:rPr>
          <w:rFonts w:cs="宋体"/>
          <w:b/>
          <w:color w:val="000000" w:themeColor="text1"/>
          <w:sz w:val="28"/>
          <w:szCs w:val="28"/>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四、主要环境影响和保护措施</w:t>
      </w:r>
    </w:p>
    <w:tbl>
      <w:tblPr>
        <w:tblStyle w:val="100"/>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00"/>
        <w:gridCol w:w="85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049" w:hRule="atLeast"/>
          <w:jc w:val="center"/>
        </w:trPr>
        <w:tc>
          <w:tcPr>
            <w:tcW w:w="223" w:type="pct"/>
            <w:tcMar>
              <w:left w:w="28" w:type="dxa"/>
              <w:right w:w="28" w:type="dxa"/>
            </w:tcMar>
            <w:vAlign w:val="center"/>
          </w:tcPr>
          <w:p>
            <w:pPr>
              <w:pStyle w:val="93"/>
              <w:adjustRightInd w:val="0"/>
              <w:snapToGrid w:val="0"/>
              <w:spacing w:before="0" w:beforeAutospacing="0" w:after="0" w:afterAutospacing="0"/>
              <w:jc w:val="center"/>
              <w:rPr>
                <w:rFonts w:ascii="Times New Roman" w:hAnsi="Times New Roman" w:cs="宋体"/>
                <w:bCs/>
                <w:color w:val="000000" w:themeColor="text1"/>
                <w:kern w:val="2"/>
                <w:sz w:val="21"/>
                <w:szCs w:val="21"/>
                <w14:textFill>
                  <w14:solidFill>
                    <w14:schemeClr w14:val="tx1"/>
                  </w14:solidFill>
                </w14:textFill>
              </w:rPr>
            </w:pPr>
            <w:r>
              <w:rPr>
                <w:rFonts w:hint="eastAsia" w:ascii="Times New Roman" w:hAnsi="Times New Roman" w:cs="宋体"/>
                <w:color w:val="000000" w:themeColor="text1"/>
                <w:kern w:val="2"/>
                <w:sz w:val="21"/>
                <w:szCs w:val="21"/>
                <w14:textFill>
                  <w14:solidFill>
                    <w14:schemeClr w14:val="tx1"/>
                  </w14:solidFill>
                </w14:textFill>
              </w:rPr>
              <w:t>施工期环境保护措施</w:t>
            </w:r>
          </w:p>
        </w:tc>
        <w:tc>
          <w:tcPr>
            <w:tcW w:w="4776" w:type="pct"/>
            <w:vAlign w:val="center"/>
          </w:tcPr>
          <w:p>
            <w:pPr>
              <w:adjustRightInd w:val="0"/>
              <w:snapToGrid w:val="0"/>
              <w:jc w:val="center"/>
              <w:rPr>
                <w:color w:val="000000" w:themeColor="text1"/>
                <w14:textFill>
                  <w14:solidFill>
                    <w14:schemeClr w14:val="tx1"/>
                  </w14:solidFill>
                </w14:textFill>
              </w:rPr>
            </w:pPr>
            <w:r>
              <w:rPr>
                <w:color w:val="000000" w:themeColor="text1"/>
                <w14:textFill>
                  <w14:solidFill>
                    <w14:schemeClr w14:val="tx1"/>
                  </w14:solidFill>
                </w14:textFill>
              </w:rPr>
              <w:t>项目租用现有厂房进行生产，</w:t>
            </w:r>
            <w:r>
              <w:rPr>
                <w:rFonts w:hint="eastAsia"/>
                <w:color w:val="000000" w:themeColor="text1"/>
                <w14:textFill>
                  <w14:solidFill>
                    <w14:schemeClr w14:val="tx1"/>
                  </w14:solidFill>
                </w14:textFill>
              </w:rPr>
              <w:t>施工期仅涉及设备安装，环境影响较小。</w:t>
            </w:r>
          </w:p>
        </w:tc>
      </w:tr>
    </w:tbl>
    <w:p>
      <w:pPr>
        <w:pStyle w:val="2"/>
        <w:sectPr>
          <w:pgSz w:w="11907" w:h="16840"/>
          <w:pgMar w:top="1701" w:right="1531" w:bottom="2127" w:left="1531" w:header="851" w:footer="851" w:gutter="0"/>
          <w:cols w:space="720" w:num="1"/>
          <w:docGrid w:linePitch="312" w:charSpace="0"/>
        </w:sectPr>
      </w:pPr>
    </w:p>
    <w:tbl>
      <w:tblPr>
        <w:tblStyle w:val="100"/>
        <w:tblW w:w="499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715"/>
        <w:gridCol w:w="14818"/>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249" w:hRule="atLeast"/>
          <w:jc w:val="center"/>
        </w:trPr>
        <w:tc>
          <w:tcPr>
            <w:tcW w:w="230" w:type="pct"/>
            <w:tcMar>
              <w:left w:w="28" w:type="dxa"/>
              <w:right w:w="28" w:type="dxa"/>
            </w:tcMar>
            <w:vAlign w:val="center"/>
          </w:tcPr>
          <w:p>
            <w:pPr>
              <w:adjustRightInd w:val="0"/>
              <w:snapToGrid w:val="0"/>
              <w:jc w:val="center"/>
              <w:rPr>
                <w:color w:val="000000" w:themeColor="text1"/>
                <w14:textFill>
                  <w14:solidFill>
                    <w14:schemeClr w14:val="tx1"/>
                  </w14:solidFill>
                </w14:textFill>
              </w:rPr>
            </w:pPr>
            <w:r>
              <w:rPr>
                <w:bCs/>
                <w:color w:val="000000" w:themeColor="text1"/>
                <w14:textFill>
                  <w14:solidFill>
                    <w14:schemeClr w14:val="tx1"/>
                  </w14:solidFill>
                </w14:textFill>
              </w:rPr>
              <w:t>运营期环境影响和保护措施</w:t>
            </w:r>
          </w:p>
        </w:tc>
        <w:tc>
          <w:tcPr>
            <w:tcW w:w="4769" w:type="pct"/>
            <w:vAlign w:val="center"/>
          </w:tcPr>
          <w:p>
            <w:pPr>
              <w:pStyle w:val="20"/>
              <w:spacing w:line="360" w:lineRule="auto"/>
              <w:rPr>
                <w:color w:val="000000" w:themeColor="text1"/>
                <w:sz w:val="21"/>
                <w:szCs w:val="21"/>
                <w:lang w:eastAsia="zh-CN"/>
                <w14:textFill>
                  <w14:solidFill>
                    <w14:schemeClr w14:val="tx1"/>
                  </w14:solidFill>
                </w14:textFill>
              </w:rPr>
            </w:pPr>
            <w:bookmarkStart w:id="2" w:name="_Toc515316308"/>
            <w:bookmarkStart w:id="3" w:name="_Toc30266"/>
            <w:bookmarkStart w:id="4" w:name="_Toc26232"/>
            <w:bookmarkStart w:id="5" w:name="_Toc515316309"/>
            <w:r>
              <w:rPr>
                <w:color w:val="000000" w:themeColor="text1"/>
                <w:sz w:val="21"/>
                <w:szCs w:val="21"/>
                <w:lang w:eastAsia="zh-CN"/>
                <w14:textFill>
                  <w14:solidFill>
                    <w14:schemeClr w14:val="tx1"/>
                  </w14:solidFill>
                </w14:textFill>
              </w:rPr>
              <w:t>一、</w:t>
            </w:r>
            <w:bookmarkEnd w:id="2"/>
            <w:bookmarkEnd w:id="3"/>
            <w:r>
              <w:rPr>
                <w:color w:val="000000" w:themeColor="text1"/>
                <w:sz w:val="21"/>
                <w:szCs w:val="21"/>
                <w:lang w:eastAsia="zh-CN"/>
                <w14:textFill>
                  <w14:solidFill>
                    <w14:schemeClr w14:val="tx1"/>
                  </w14:solidFill>
                </w14:textFill>
              </w:rPr>
              <w:t>大气污染源及环保措施分析</w:t>
            </w:r>
          </w:p>
          <w:p>
            <w:pPr>
              <w:adjustRightInd w:val="0"/>
              <w:spacing w:line="360" w:lineRule="auto"/>
              <w:ind w:firstLine="422" w:firstLineChars="200"/>
              <w:textAlignment w:val="baseline"/>
              <w:rPr>
                <w:b/>
                <w:color w:val="000000" w:themeColor="text1"/>
                <w14:textFill>
                  <w14:solidFill>
                    <w14:schemeClr w14:val="tx1"/>
                  </w14:solidFill>
                </w14:textFill>
              </w:rPr>
            </w:pPr>
            <w:r>
              <w:rPr>
                <w:rFonts w:hint="eastAsia"/>
                <w:b/>
                <w:color w:val="000000" w:themeColor="text1"/>
                <w14:textFill>
                  <w14:solidFill>
                    <w14:schemeClr w14:val="tx1"/>
                  </w14:solidFill>
                </w14:textFill>
              </w:rPr>
              <w:t>1、</w:t>
            </w:r>
            <w:r>
              <w:rPr>
                <w:b/>
                <w:color w:val="000000" w:themeColor="text1"/>
                <w14:textFill>
                  <w14:solidFill>
                    <w14:schemeClr w14:val="tx1"/>
                  </w14:solidFill>
                </w14:textFill>
              </w:rPr>
              <w:t>废气源强核算</w:t>
            </w:r>
          </w:p>
          <w:bookmarkEnd w:id="4"/>
          <w:bookmarkEnd w:id="5"/>
          <w:p>
            <w:pPr>
              <w:widowControl/>
              <w:spacing w:line="360" w:lineRule="auto"/>
              <w:jc w:val="center"/>
              <w:rPr>
                <w:b/>
                <w:color w:val="000000" w:themeColor="text1"/>
                <w14:textFill>
                  <w14:solidFill>
                    <w14:schemeClr w14:val="tx1"/>
                  </w14:solidFill>
                </w14:textFill>
              </w:rPr>
            </w:pPr>
            <w:r>
              <w:rPr>
                <w:b/>
                <w:color w:val="000000" w:themeColor="text1"/>
                <w14:textFill>
                  <w14:solidFill>
                    <w14:schemeClr w14:val="tx1"/>
                  </w14:solidFill>
                </w14:textFill>
              </w:rPr>
              <w:t>表4-1 废气污染物产排污核算汇总表</w:t>
            </w:r>
          </w:p>
          <w:p>
            <w:pPr>
              <w:pStyle w:val="2"/>
              <w:jc w:val="center"/>
              <w:rPr>
                <w:rFonts w:ascii="Times New Roman" w:hAnsi="Times New Roman" w:cs="Times New Roman"/>
                <w:b/>
                <w:color w:val="000000" w:themeColor="text1"/>
                <w:sz w:val="21"/>
                <w:szCs w:val="21"/>
                <w14:textFill>
                  <w14:solidFill>
                    <w14:schemeClr w14:val="tx1"/>
                  </w14:solidFill>
                </w14:textFill>
              </w:rPr>
            </w:pPr>
            <w:r>
              <w:rPr>
                <w:rFonts w:ascii="Times New Roman" w:hAnsi="Times New Roman" w:cs="Times New Roman"/>
                <w:b/>
                <w:color w:val="000000" w:themeColor="text1"/>
                <w:sz w:val="21"/>
                <w:szCs w:val="21"/>
                <w14:textFill>
                  <w14:solidFill>
                    <w14:schemeClr w14:val="tx1"/>
                  </w14:solidFill>
                </w14:textFill>
              </w:rPr>
              <w:t>（单位:风量：m</w:t>
            </w:r>
            <w:r>
              <w:rPr>
                <w:rFonts w:ascii="Times New Roman" w:hAnsi="Times New Roman" w:cs="Times New Roman"/>
                <w:b/>
                <w:color w:val="000000" w:themeColor="text1"/>
                <w:sz w:val="21"/>
                <w:szCs w:val="21"/>
                <w:vertAlign w:val="superscript"/>
                <w14:textFill>
                  <w14:solidFill>
                    <w14:schemeClr w14:val="tx1"/>
                  </w14:solidFill>
                </w14:textFill>
              </w:rPr>
              <w:t>3</w:t>
            </w:r>
            <w:r>
              <w:rPr>
                <w:rFonts w:ascii="Times New Roman" w:hAnsi="Times New Roman" w:cs="Times New Roman"/>
                <w:b/>
                <w:color w:val="000000" w:themeColor="text1"/>
                <w:sz w:val="21"/>
                <w:szCs w:val="21"/>
                <w14:textFill>
                  <w14:solidFill>
                    <w14:schemeClr w14:val="tx1"/>
                  </w14:solidFill>
                </w14:textFill>
              </w:rPr>
              <w:t>/h；浓度：mg/m</w:t>
            </w:r>
            <w:r>
              <w:rPr>
                <w:rFonts w:ascii="Times New Roman" w:hAnsi="Times New Roman" w:cs="Times New Roman"/>
                <w:b/>
                <w:color w:val="000000" w:themeColor="text1"/>
                <w:sz w:val="21"/>
                <w:szCs w:val="21"/>
                <w:vertAlign w:val="superscript"/>
                <w14:textFill>
                  <w14:solidFill>
                    <w14:schemeClr w14:val="tx1"/>
                  </w14:solidFill>
                </w14:textFill>
              </w:rPr>
              <w:t>3</w:t>
            </w:r>
            <w:r>
              <w:rPr>
                <w:rFonts w:ascii="Times New Roman" w:hAnsi="Times New Roman" w:cs="Times New Roman"/>
                <w:b/>
                <w:color w:val="000000" w:themeColor="text1"/>
                <w:sz w:val="21"/>
                <w:szCs w:val="21"/>
                <w14:textFill>
                  <w14:solidFill>
                    <w14:schemeClr w14:val="tx1"/>
                  </w14:solidFill>
                </w14:textFill>
              </w:rPr>
              <w:t>；产生量、排放量：t/a；速率：kg/h；去除率、效率：%）</w:t>
            </w:r>
          </w:p>
          <w:tbl>
            <w:tblPr>
              <w:tblStyle w:val="10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81"/>
              <w:gridCol w:w="1013"/>
              <w:gridCol w:w="1010"/>
              <w:gridCol w:w="908"/>
              <w:gridCol w:w="811"/>
              <w:gridCol w:w="1033"/>
              <w:gridCol w:w="753"/>
              <w:gridCol w:w="756"/>
              <w:gridCol w:w="937"/>
              <w:gridCol w:w="890"/>
              <w:gridCol w:w="1112"/>
              <w:gridCol w:w="1010"/>
              <w:gridCol w:w="709"/>
              <w:gridCol w:w="750"/>
              <w:gridCol w:w="1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45" w:type="pct"/>
                  <w:vMerge w:val="restart"/>
                  <w:vAlign w:val="center"/>
                </w:tcPr>
                <w:p>
                  <w:pPr>
                    <w:jc w:val="center"/>
                    <w:rPr>
                      <w:b/>
                      <w:sz w:val="18"/>
                      <w:szCs w:val="18"/>
                    </w:rPr>
                  </w:pPr>
                  <w:r>
                    <w:rPr>
                      <w:b/>
                      <w:sz w:val="18"/>
                      <w:szCs w:val="18"/>
                    </w:rPr>
                    <w:t>产排污环节</w:t>
                  </w:r>
                </w:p>
              </w:tc>
              <w:tc>
                <w:tcPr>
                  <w:tcW w:w="347" w:type="pct"/>
                  <w:vMerge w:val="restart"/>
                  <w:vAlign w:val="center"/>
                </w:tcPr>
                <w:p>
                  <w:pPr>
                    <w:jc w:val="center"/>
                    <w:rPr>
                      <w:b/>
                      <w:sz w:val="18"/>
                      <w:szCs w:val="18"/>
                    </w:rPr>
                  </w:pPr>
                  <w:r>
                    <w:rPr>
                      <w:b/>
                      <w:sz w:val="18"/>
                      <w:szCs w:val="18"/>
                    </w:rPr>
                    <w:t>污染物种类</w:t>
                  </w:r>
                </w:p>
              </w:tc>
              <w:tc>
                <w:tcPr>
                  <w:tcW w:w="935" w:type="pct"/>
                  <w:gridSpan w:val="3"/>
                  <w:vAlign w:val="center"/>
                </w:tcPr>
                <w:p>
                  <w:pPr>
                    <w:jc w:val="center"/>
                    <w:rPr>
                      <w:b/>
                      <w:sz w:val="18"/>
                      <w:szCs w:val="18"/>
                    </w:rPr>
                  </w:pPr>
                  <w:r>
                    <w:rPr>
                      <w:b/>
                      <w:sz w:val="18"/>
                      <w:szCs w:val="18"/>
                    </w:rPr>
                    <w:t>污染物产生情况</w:t>
                  </w:r>
                </w:p>
              </w:tc>
              <w:tc>
                <w:tcPr>
                  <w:tcW w:w="1497" w:type="pct"/>
                  <w:gridSpan w:val="5"/>
                  <w:vAlign w:val="center"/>
                </w:tcPr>
                <w:p>
                  <w:pPr>
                    <w:jc w:val="center"/>
                    <w:rPr>
                      <w:b/>
                      <w:bCs/>
                      <w:sz w:val="18"/>
                      <w:szCs w:val="18"/>
                    </w:rPr>
                  </w:pPr>
                  <w:r>
                    <w:rPr>
                      <w:b/>
                      <w:bCs/>
                      <w:sz w:val="18"/>
                      <w:szCs w:val="18"/>
                    </w:rPr>
                    <w:t>治理设施</w:t>
                  </w:r>
                </w:p>
              </w:tc>
              <w:tc>
                <w:tcPr>
                  <w:tcW w:w="970" w:type="pct"/>
                  <w:gridSpan w:val="3"/>
                  <w:vAlign w:val="center"/>
                </w:tcPr>
                <w:p>
                  <w:pPr>
                    <w:jc w:val="center"/>
                    <w:rPr>
                      <w:b/>
                      <w:bCs/>
                      <w:sz w:val="18"/>
                      <w:szCs w:val="18"/>
                    </w:rPr>
                  </w:pPr>
                  <w:r>
                    <w:rPr>
                      <w:b/>
                      <w:sz w:val="18"/>
                      <w:szCs w:val="18"/>
                    </w:rPr>
                    <w:t>污染物排放情况</w:t>
                  </w:r>
                </w:p>
              </w:tc>
              <w:tc>
                <w:tcPr>
                  <w:tcW w:w="257" w:type="pct"/>
                  <w:vMerge w:val="restart"/>
                  <w:vAlign w:val="center"/>
                </w:tcPr>
                <w:p>
                  <w:pPr>
                    <w:jc w:val="center"/>
                    <w:rPr>
                      <w:b/>
                      <w:bCs/>
                      <w:sz w:val="18"/>
                      <w:szCs w:val="18"/>
                    </w:rPr>
                  </w:pPr>
                  <w:r>
                    <w:rPr>
                      <w:b/>
                      <w:bCs/>
                      <w:sz w:val="18"/>
                      <w:szCs w:val="18"/>
                    </w:rPr>
                    <w:t>排放形式</w:t>
                  </w:r>
                </w:p>
              </w:tc>
              <w:tc>
                <w:tcPr>
                  <w:tcW w:w="346" w:type="pct"/>
                  <w:vMerge w:val="restart"/>
                  <w:vAlign w:val="center"/>
                </w:tcPr>
                <w:p>
                  <w:pPr>
                    <w:jc w:val="center"/>
                    <w:rPr>
                      <w:b/>
                      <w:bCs/>
                      <w:sz w:val="18"/>
                      <w:szCs w:val="18"/>
                    </w:rPr>
                  </w:pPr>
                  <w:r>
                    <w:rPr>
                      <w:b/>
                      <w:bCs/>
                      <w:sz w:val="18"/>
                      <w:szCs w:val="18"/>
                    </w:rPr>
                    <w:t>排放口编号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3" w:hRule="atLeast"/>
                <w:jc w:val="center"/>
              </w:trPr>
              <w:tc>
                <w:tcPr>
                  <w:tcW w:w="645" w:type="pct"/>
                  <w:vMerge w:val="continue"/>
                  <w:vAlign w:val="center"/>
                </w:tcPr>
                <w:p>
                  <w:pPr>
                    <w:jc w:val="center"/>
                    <w:rPr>
                      <w:b/>
                      <w:sz w:val="18"/>
                      <w:szCs w:val="18"/>
                    </w:rPr>
                  </w:pPr>
                </w:p>
              </w:tc>
              <w:tc>
                <w:tcPr>
                  <w:tcW w:w="347" w:type="pct"/>
                  <w:vMerge w:val="continue"/>
                  <w:vAlign w:val="center"/>
                </w:tcPr>
                <w:p>
                  <w:pPr>
                    <w:jc w:val="center"/>
                    <w:rPr>
                      <w:b/>
                      <w:sz w:val="18"/>
                      <w:szCs w:val="18"/>
                    </w:rPr>
                  </w:pPr>
                </w:p>
              </w:tc>
              <w:tc>
                <w:tcPr>
                  <w:tcW w:w="346" w:type="pct"/>
                  <w:vAlign w:val="center"/>
                </w:tcPr>
                <w:p>
                  <w:pPr>
                    <w:jc w:val="center"/>
                    <w:rPr>
                      <w:b/>
                      <w:sz w:val="18"/>
                      <w:szCs w:val="18"/>
                    </w:rPr>
                  </w:pPr>
                  <w:r>
                    <w:rPr>
                      <w:b/>
                      <w:sz w:val="18"/>
                      <w:szCs w:val="18"/>
                    </w:rPr>
                    <w:t>产生量</w:t>
                  </w:r>
                </w:p>
              </w:tc>
              <w:tc>
                <w:tcPr>
                  <w:tcW w:w="311" w:type="pct"/>
                  <w:vAlign w:val="center"/>
                </w:tcPr>
                <w:p>
                  <w:pPr>
                    <w:jc w:val="center"/>
                    <w:rPr>
                      <w:b/>
                      <w:sz w:val="18"/>
                      <w:szCs w:val="18"/>
                    </w:rPr>
                  </w:pPr>
                  <w:r>
                    <w:rPr>
                      <w:b/>
                      <w:sz w:val="18"/>
                      <w:szCs w:val="18"/>
                    </w:rPr>
                    <w:t>产生速率</w:t>
                  </w:r>
                </w:p>
              </w:tc>
              <w:tc>
                <w:tcPr>
                  <w:tcW w:w="278" w:type="pct"/>
                  <w:vAlign w:val="center"/>
                </w:tcPr>
                <w:p>
                  <w:pPr>
                    <w:jc w:val="center"/>
                    <w:rPr>
                      <w:b/>
                      <w:sz w:val="18"/>
                      <w:szCs w:val="18"/>
                    </w:rPr>
                  </w:pPr>
                  <w:r>
                    <w:rPr>
                      <w:b/>
                      <w:sz w:val="18"/>
                      <w:szCs w:val="18"/>
                    </w:rPr>
                    <w:t>产生浓度</w:t>
                  </w:r>
                </w:p>
              </w:tc>
              <w:tc>
                <w:tcPr>
                  <w:tcW w:w="354" w:type="pct"/>
                  <w:vAlign w:val="center"/>
                </w:tcPr>
                <w:p>
                  <w:pPr>
                    <w:jc w:val="center"/>
                    <w:rPr>
                      <w:b/>
                      <w:bCs/>
                      <w:sz w:val="18"/>
                      <w:szCs w:val="18"/>
                    </w:rPr>
                  </w:pPr>
                  <w:r>
                    <w:rPr>
                      <w:b/>
                      <w:bCs/>
                      <w:sz w:val="18"/>
                      <w:szCs w:val="18"/>
                    </w:rPr>
                    <w:t>治理工艺</w:t>
                  </w:r>
                </w:p>
              </w:tc>
              <w:tc>
                <w:tcPr>
                  <w:tcW w:w="258" w:type="pct"/>
                  <w:vAlign w:val="center"/>
                </w:tcPr>
                <w:p>
                  <w:pPr>
                    <w:jc w:val="center"/>
                    <w:rPr>
                      <w:b/>
                      <w:bCs/>
                      <w:sz w:val="18"/>
                      <w:szCs w:val="18"/>
                    </w:rPr>
                  </w:pPr>
                  <w:r>
                    <w:rPr>
                      <w:b/>
                      <w:bCs/>
                      <w:sz w:val="18"/>
                      <w:szCs w:val="18"/>
                    </w:rPr>
                    <w:t>收集效率</w:t>
                  </w:r>
                </w:p>
              </w:tc>
              <w:tc>
                <w:tcPr>
                  <w:tcW w:w="259" w:type="pct"/>
                  <w:vAlign w:val="center"/>
                </w:tcPr>
                <w:p>
                  <w:pPr>
                    <w:jc w:val="center"/>
                    <w:rPr>
                      <w:b/>
                      <w:bCs/>
                      <w:sz w:val="18"/>
                      <w:szCs w:val="18"/>
                    </w:rPr>
                  </w:pPr>
                  <w:r>
                    <w:rPr>
                      <w:b/>
                      <w:bCs/>
                      <w:sz w:val="18"/>
                      <w:szCs w:val="18"/>
                    </w:rPr>
                    <w:t>风量</w:t>
                  </w:r>
                </w:p>
              </w:tc>
              <w:tc>
                <w:tcPr>
                  <w:tcW w:w="321" w:type="pct"/>
                  <w:vAlign w:val="center"/>
                </w:tcPr>
                <w:p>
                  <w:pPr>
                    <w:jc w:val="center"/>
                    <w:rPr>
                      <w:b/>
                      <w:bCs/>
                      <w:sz w:val="18"/>
                      <w:szCs w:val="18"/>
                    </w:rPr>
                  </w:pPr>
                  <w:r>
                    <w:rPr>
                      <w:b/>
                      <w:bCs/>
                      <w:sz w:val="18"/>
                      <w:szCs w:val="18"/>
                    </w:rPr>
                    <w:t>治理工艺去除率</w:t>
                  </w:r>
                </w:p>
              </w:tc>
              <w:tc>
                <w:tcPr>
                  <w:tcW w:w="304" w:type="pct"/>
                  <w:vAlign w:val="center"/>
                </w:tcPr>
                <w:p>
                  <w:pPr>
                    <w:jc w:val="center"/>
                    <w:rPr>
                      <w:b/>
                      <w:bCs/>
                      <w:sz w:val="18"/>
                      <w:szCs w:val="18"/>
                    </w:rPr>
                  </w:pPr>
                  <w:r>
                    <w:rPr>
                      <w:b/>
                      <w:bCs/>
                      <w:sz w:val="18"/>
                      <w:szCs w:val="18"/>
                    </w:rPr>
                    <w:t>是否为可行技术</w:t>
                  </w:r>
                </w:p>
              </w:tc>
              <w:tc>
                <w:tcPr>
                  <w:tcW w:w="381" w:type="pct"/>
                  <w:vAlign w:val="center"/>
                </w:tcPr>
                <w:p>
                  <w:pPr>
                    <w:jc w:val="center"/>
                    <w:rPr>
                      <w:b/>
                      <w:bCs/>
                      <w:sz w:val="18"/>
                      <w:szCs w:val="18"/>
                    </w:rPr>
                  </w:pPr>
                  <w:r>
                    <w:rPr>
                      <w:b/>
                      <w:bCs/>
                      <w:sz w:val="18"/>
                      <w:szCs w:val="18"/>
                    </w:rPr>
                    <w:t>排放量</w:t>
                  </w:r>
                </w:p>
              </w:tc>
              <w:tc>
                <w:tcPr>
                  <w:tcW w:w="346" w:type="pct"/>
                  <w:vAlign w:val="center"/>
                </w:tcPr>
                <w:p>
                  <w:pPr>
                    <w:jc w:val="center"/>
                    <w:rPr>
                      <w:b/>
                      <w:bCs/>
                      <w:sz w:val="18"/>
                      <w:szCs w:val="18"/>
                    </w:rPr>
                  </w:pPr>
                  <w:r>
                    <w:rPr>
                      <w:b/>
                      <w:bCs/>
                      <w:sz w:val="18"/>
                      <w:szCs w:val="18"/>
                    </w:rPr>
                    <w:t>排放速率</w:t>
                  </w:r>
                </w:p>
              </w:tc>
              <w:tc>
                <w:tcPr>
                  <w:tcW w:w="243" w:type="pct"/>
                  <w:vAlign w:val="center"/>
                </w:tcPr>
                <w:p>
                  <w:pPr>
                    <w:jc w:val="center"/>
                    <w:rPr>
                      <w:b/>
                      <w:bCs/>
                      <w:sz w:val="18"/>
                      <w:szCs w:val="18"/>
                    </w:rPr>
                  </w:pPr>
                  <w:r>
                    <w:rPr>
                      <w:b/>
                      <w:bCs/>
                      <w:sz w:val="18"/>
                      <w:szCs w:val="18"/>
                    </w:rPr>
                    <w:t>排放浓度</w:t>
                  </w:r>
                </w:p>
              </w:tc>
              <w:tc>
                <w:tcPr>
                  <w:tcW w:w="257" w:type="pct"/>
                  <w:vMerge w:val="continue"/>
                  <w:vAlign w:val="center"/>
                </w:tcPr>
                <w:p>
                  <w:pPr>
                    <w:jc w:val="center"/>
                    <w:rPr>
                      <w:b/>
                      <w:bCs/>
                      <w:sz w:val="18"/>
                      <w:szCs w:val="18"/>
                    </w:rPr>
                  </w:pPr>
                </w:p>
              </w:tc>
              <w:tc>
                <w:tcPr>
                  <w:tcW w:w="346" w:type="pct"/>
                  <w:vMerge w:val="continue"/>
                  <w:vAlign w:val="center"/>
                </w:tcPr>
                <w:p>
                  <w:pPr>
                    <w:jc w:val="center"/>
                    <w:rPr>
                      <w:b/>
                      <w:bCs/>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645" w:type="pct"/>
                  <w:vMerge w:val="restart"/>
                  <w:vAlign w:val="center"/>
                </w:tcPr>
                <w:p>
                  <w:pPr>
                    <w:jc w:val="center"/>
                    <w:rPr>
                      <w:sz w:val="18"/>
                      <w:szCs w:val="18"/>
                    </w:rPr>
                  </w:pPr>
                  <w:r>
                    <w:rPr>
                      <w:sz w:val="18"/>
                      <w:szCs w:val="18"/>
                    </w:rPr>
                    <w:t>电熔、压铸成型</w:t>
                  </w:r>
                </w:p>
              </w:tc>
              <w:tc>
                <w:tcPr>
                  <w:tcW w:w="347" w:type="pct"/>
                  <w:vAlign w:val="center"/>
                </w:tcPr>
                <w:p>
                  <w:pPr>
                    <w:widowControl/>
                    <w:jc w:val="center"/>
                    <w:textAlignment w:val="center"/>
                    <w:rPr>
                      <w:sz w:val="18"/>
                      <w:szCs w:val="18"/>
                    </w:rPr>
                  </w:pPr>
                  <w:r>
                    <w:rPr>
                      <w:sz w:val="18"/>
                      <w:szCs w:val="18"/>
                    </w:rPr>
                    <w:t>非甲烷总烃</w:t>
                  </w:r>
                </w:p>
              </w:tc>
              <w:tc>
                <w:tcPr>
                  <w:tcW w:w="346" w:type="pct"/>
                  <w:vAlign w:val="center"/>
                </w:tcPr>
                <w:p>
                  <w:pPr>
                    <w:widowControl/>
                    <w:jc w:val="center"/>
                    <w:textAlignment w:val="center"/>
                    <w:rPr>
                      <w:bCs/>
                      <w:sz w:val="18"/>
                      <w:szCs w:val="18"/>
                    </w:rPr>
                  </w:pPr>
                  <w:r>
                    <w:rPr>
                      <w:sz w:val="18"/>
                      <w:szCs w:val="18"/>
                      <w:lang w:bidi="ar"/>
                    </w:rPr>
                    <w:t>0.00816</w:t>
                  </w:r>
                </w:p>
              </w:tc>
              <w:tc>
                <w:tcPr>
                  <w:tcW w:w="311" w:type="pct"/>
                  <w:vAlign w:val="center"/>
                </w:tcPr>
                <w:p>
                  <w:pPr>
                    <w:widowControl/>
                    <w:jc w:val="center"/>
                    <w:textAlignment w:val="center"/>
                    <w:rPr>
                      <w:sz w:val="18"/>
                      <w:szCs w:val="18"/>
                    </w:rPr>
                  </w:pPr>
                  <w:r>
                    <w:rPr>
                      <w:sz w:val="18"/>
                      <w:szCs w:val="18"/>
                      <w:lang w:bidi="ar"/>
                    </w:rPr>
                    <w:t xml:space="preserve">0.0034 </w:t>
                  </w:r>
                </w:p>
              </w:tc>
              <w:tc>
                <w:tcPr>
                  <w:tcW w:w="278" w:type="pct"/>
                  <w:vAlign w:val="center"/>
                </w:tcPr>
                <w:p>
                  <w:pPr>
                    <w:widowControl/>
                    <w:jc w:val="center"/>
                    <w:textAlignment w:val="center"/>
                    <w:rPr>
                      <w:sz w:val="18"/>
                      <w:szCs w:val="18"/>
                    </w:rPr>
                  </w:pPr>
                  <w:r>
                    <w:rPr>
                      <w:sz w:val="18"/>
                      <w:szCs w:val="18"/>
                      <w:lang w:bidi="ar"/>
                    </w:rPr>
                    <w:t xml:space="preserve">0.31 </w:t>
                  </w:r>
                </w:p>
              </w:tc>
              <w:tc>
                <w:tcPr>
                  <w:tcW w:w="354" w:type="pct"/>
                  <w:vAlign w:val="center"/>
                </w:tcPr>
                <w:p>
                  <w:pPr>
                    <w:widowControl/>
                    <w:jc w:val="center"/>
                    <w:textAlignment w:val="center"/>
                    <w:rPr>
                      <w:sz w:val="18"/>
                      <w:szCs w:val="18"/>
                    </w:rPr>
                  </w:pPr>
                  <w:r>
                    <w:rPr>
                      <w:rFonts w:hint="eastAsia" w:ascii="宋体" w:hAnsi="宋体" w:cs="宋体"/>
                      <w:sz w:val="18"/>
                      <w:szCs w:val="18"/>
                      <w:lang w:bidi="ar"/>
                    </w:rPr>
                    <w:t>水喷淋</w:t>
                  </w:r>
                  <w:r>
                    <w:rPr>
                      <w:sz w:val="18"/>
                      <w:szCs w:val="18"/>
                      <w:lang w:bidi="ar"/>
                    </w:rPr>
                    <w:t>+</w:t>
                  </w:r>
                  <w:r>
                    <w:rPr>
                      <w:rFonts w:hint="eastAsia" w:ascii="宋体" w:hAnsi="宋体" w:cs="宋体"/>
                      <w:sz w:val="18"/>
                      <w:szCs w:val="18"/>
                      <w:lang w:bidi="ar"/>
                    </w:rPr>
                    <w:t>二级活性炭吸附</w:t>
                  </w:r>
                </w:p>
              </w:tc>
              <w:tc>
                <w:tcPr>
                  <w:tcW w:w="258" w:type="pct"/>
                  <w:vAlign w:val="center"/>
                </w:tcPr>
                <w:p>
                  <w:pPr>
                    <w:widowControl/>
                    <w:jc w:val="center"/>
                    <w:textAlignment w:val="center"/>
                    <w:rPr>
                      <w:sz w:val="18"/>
                      <w:szCs w:val="18"/>
                    </w:rPr>
                  </w:pPr>
                  <w:r>
                    <w:rPr>
                      <w:sz w:val="18"/>
                      <w:szCs w:val="18"/>
                      <w:lang w:bidi="ar"/>
                    </w:rPr>
                    <w:t>80%</w:t>
                  </w:r>
                </w:p>
              </w:tc>
              <w:tc>
                <w:tcPr>
                  <w:tcW w:w="259" w:type="pct"/>
                  <w:vAlign w:val="center"/>
                </w:tcPr>
                <w:p>
                  <w:pPr>
                    <w:widowControl/>
                    <w:jc w:val="center"/>
                    <w:textAlignment w:val="center"/>
                    <w:rPr>
                      <w:sz w:val="18"/>
                      <w:szCs w:val="18"/>
                    </w:rPr>
                  </w:pPr>
                  <w:r>
                    <w:rPr>
                      <w:sz w:val="18"/>
                      <w:szCs w:val="18"/>
                      <w:lang w:bidi="ar"/>
                    </w:rPr>
                    <w:t>11000</w:t>
                  </w:r>
                </w:p>
              </w:tc>
              <w:tc>
                <w:tcPr>
                  <w:tcW w:w="321" w:type="pct"/>
                  <w:vAlign w:val="center"/>
                </w:tcPr>
                <w:p>
                  <w:pPr>
                    <w:widowControl/>
                    <w:jc w:val="center"/>
                    <w:textAlignment w:val="center"/>
                    <w:rPr>
                      <w:sz w:val="18"/>
                      <w:szCs w:val="18"/>
                    </w:rPr>
                  </w:pPr>
                  <w:r>
                    <w:rPr>
                      <w:sz w:val="18"/>
                      <w:szCs w:val="18"/>
                      <w:lang w:bidi="ar"/>
                    </w:rPr>
                    <w:t>70%</w:t>
                  </w:r>
                </w:p>
              </w:tc>
              <w:tc>
                <w:tcPr>
                  <w:tcW w:w="304" w:type="pct"/>
                  <w:vAlign w:val="center"/>
                </w:tcPr>
                <w:p>
                  <w:pPr>
                    <w:widowControl/>
                    <w:jc w:val="center"/>
                    <w:textAlignment w:val="center"/>
                    <w:rPr>
                      <w:sz w:val="18"/>
                      <w:szCs w:val="18"/>
                    </w:rPr>
                  </w:pPr>
                  <w:r>
                    <w:rPr>
                      <w:rFonts w:hint="eastAsia" w:ascii="宋体" w:hAnsi="宋体" w:cs="宋体"/>
                      <w:sz w:val="18"/>
                      <w:szCs w:val="18"/>
                      <w:lang w:bidi="ar"/>
                    </w:rPr>
                    <w:t>是</w:t>
                  </w:r>
                </w:p>
              </w:tc>
              <w:tc>
                <w:tcPr>
                  <w:tcW w:w="381" w:type="pct"/>
                  <w:vAlign w:val="center"/>
                </w:tcPr>
                <w:p>
                  <w:pPr>
                    <w:widowControl/>
                    <w:jc w:val="center"/>
                    <w:textAlignment w:val="center"/>
                    <w:rPr>
                      <w:sz w:val="18"/>
                      <w:szCs w:val="18"/>
                    </w:rPr>
                  </w:pPr>
                  <w:r>
                    <w:rPr>
                      <w:sz w:val="18"/>
                      <w:szCs w:val="18"/>
                      <w:lang w:bidi="ar"/>
                    </w:rPr>
                    <w:t xml:space="preserve">0.001958 </w:t>
                  </w:r>
                </w:p>
              </w:tc>
              <w:tc>
                <w:tcPr>
                  <w:tcW w:w="346" w:type="pct"/>
                  <w:vAlign w:val="center"/>
                </w:tcPr>
                <w:p>
                  <w:pPr>
                    <w:widowControl/>
                    <w:jc w:val="center"/>
                    <w:textAlignment w:val="center"/>
                    <w:rPr>
                      <w:sz w:val="18"/>
                      <w:szCs w:val="18"/>
                    </w:rPr>
                  </w:pPr>
                  <w:r>
                    <w:rPr>
                      <w:sz w:val="18"/>
                      <w:szCs w:val="18"/>
                      <w:lang w:bidi="ar"/>
                    </w:rPr>
                    <w:t>0.00</w:t>
                  </w:r>
                  <w:r>
                    <w:rPr>
                      <w:rFonts w:hint="eastAsia"/>
                      <w:sz w:val="18"/>
                      <w:szCs w:val="18"/>
                      <w:lang w:bidi="ar"/>
                    </w:rPr>
                    <w:t>109</w:t>
                  </w:r>
                </w:p>
              </w:tc>
              <w:tc>
                <w:tcPr>
                  <w:tcW w:w="243" w:type="pct"/>
                  <w:vAlign w:val="center"/>
                </w:tcPr>
                <w:p>
                  <w:pPr>
                    <w:widowControl/>
                    <w:jc w:val="center"/>
                    <w:textAlignment w:val="center"/>
                    <w:rPr>
                      <w:sz w:val="18"/>
                      <w:szCs w:val="18"/>
                    </w:rPr>
                  </w:pPr>
                  <w:r>
                    <w:rPr>
                      <w:sz w:val="18"/>
                      <w:szCs w:val="18"/>
                      <w:lang w:bidi="ar"/>
                    </w:rPr>
                    <w:t>0.0</w:t>
                  </w:r>
                  <w:r>
                    <w:rPr>
                      <w:rFonts w:hint="eastAsia"/>
                      <w:sz w:val="18"/>
                      <w:szCs w:val="18"/>
                      <w:lang w:bidi="ar"/>
                    </w:rPr>
                    <w:t>99</w:t>
                  </w:r>
                  <w:r>
                    <w:rPr>
                      <w:sz w:val="18"/>
                      <w:szCs w:val="18"/>
                      <w:lang w:bidi="ar"/>
                    </w:rPr>
                    <w:t xml:space="preserve"> </w:t>
                  </w:r>
                </w:p>
              </w:tc>
              <w:tc>
                <w:tcPr>
                  <w:tcW w:w="257" w:type="pct"/>
                  <w:vMerge w:val="restart"/>
                  <w:vAlign w:val="center"/>
                </w:tcPr>
                <w:p>
                  <w:pPr>
                    <w:widowControl/>
                    <w:jc w:val="center"/>
                    <w:textAlignment w:val="center"/>
                    <w:rPr>
                      <w:sz w:val="18"/>
                      <w:szCs w:val="18"/>
                    </w:rPr>
                  </w:pPr>
                  <w:r>
                    <w:rPr>
                      <w:rFonts w:hint="eastAsia" w:ascii="宋体" w:hAnsi="宋体" w:cs="宋体"/>
                      <w:sz w:val="18"/>
                      <w:szCs w:val="18"/>
                      <w:lang w:bidi="ar"/>
                    </w:rPr>
                    <w:t>有组织</w:t>
                  </w:r>
                </w:p>
              </w:tc>
              <w:tc>
                <w:tcPr>
                  <w:tcW w:w="346" w:type="pct"/>
                  <w:vMerge w:val="restart"/>
                  <w:vAlign w:val="center"/>
                </w:tcPr>
                <w:p>
                  <w:pPr>
                    <w:widowControl/>
                    <w:jc w:val="center"/>
                    <w:textAlignment w:val="center"/>
                    <w:rPr>
                      <w:sz w:val="18"/>
                      <w:szCs w:val="18"/>
                    </w:rPr>
                  </w:pPr>
                  <w:r>
                    <w:rPr>
                      <w:rFonts w:hint="eastAsia"/>
                      <w:sz w:val="18"/>
                      <w:szCs w:val="18"/>
                    </w:rPr>
                    <w:t>DA001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7" w:hRule="atLeast"/>
                <w:jc w:val="center"/>
              </w:trPr>
              <w:tc>
                <w:tcPr>
                  <w:tcW w:w="645" w:type="pct"/>
                  <w:vMerge w:val="continue"/>
                  <w:vAlign w:val="center"/>
                </w:tcPr>
                <w:p>
                  <w:pPr>
                    <w:jc w:val="center"/>
                    <w:rPr>
                      <w:sz w:val="18"/>
                      <w:szCs w:val="18"/>
                    </w:rPr>
                  </w:pPr>
                </w:p>
              </w:tc>
              <w:tc>
                <w:tcPr>
                  <w:tcW w:w="347" w:type="pct"/>
                  <w:vAlign w:val="center"/>
                </w:tcPr>
                <w:p>
                  <w:pPr>
                    <w:jc w:val="center"/>
                    <w:rPr>
                      <w:sz w:val="18"/>
                      <w:szCs w:val="18"/>
                    </w:rPr>
                  </w:pPr>
                  <w:r>
                    <w:rPr>
                      <w:sz w:val="18"/>
                      <w:szCs w:val="18"/>
                    </w:rPr>
                    <w:t>颗粒物</w:t>
                  </w:r>
                </w:p>
              </w:tc>
              <w:tc>
                <w:tcPr>
                  <w:tcW w:w="346" w:type="pct"/>
                  <w:vAlign w:val="center"/>
                </w:tcPr>
                <w:p>
                  <w:pPr>
                    <w:widowControl/>
                    <w:jc w:val="center"/>
                    <w:textAlignment w:val="center"/>
                    <w:rPr>
                      <w:sz w:val="18"/>
                      <w:szCs w:val="18"/>
                    </w:rPr>
                  </w:pPr>
                  <w:r>
                    <w:rPr>
                      <w:sz w:val="18"/>
                      <w:szCs w:val="18"/>
                      <w:lang w:bidi="ar"/>
                    </w:rPr>
                    <w:t>0.8106</w:t>
                  </w:r>
                </w:p>
              </w:tc>
              <w:tc>
                <w:tcPr>
                  <w:tcW w:w="311" w:type="pct"/>
                  <w:vAlign w:val="center"/>
                </w:tcPr>
                <w:p>
                  <w:pPr>
                    <w:widowControl/>
                    <w:jc w:val="center"/>
                    <w:textAlignment w:val="center"/>
                    <w:rPr>
                      <w:sz w:val="18"/>
                      <w:szCs w:val="18"/>
                    </w:rPr>
                  </w:pPr>
                  <w:r>
                    <w:rPr>
                      <w:sz w:val="18"/>
                      <w:szCs w:val="18"/>
                      <w:lang w:bidi="ar"/>
                    </w:rPr>
                    <w:t xml:space="preserve">0.3378 </w:t>
                  </w:r>
                </w:p>
              </w:tc>
              <w:tc>
                <w:tcPr>
                  <w:tcW w:w="278" w:type="pct"/>
                  <w:vAlign w:val="center"/>
                </w:tcPr>
                <w:p>
                  <w:pPr>
                    <w:widowControl/>
                    <w:jc w:val="center"/>
                    <w:textAlignment w:val="center"/>
                    <w:rPr>
                      <w:sz w:val="18"/>
                      <w:szCs w:val="18"/>
                    </w:rPr>
                  </w:pPr>
                  <w:r>
                    <w:rPr>
                      <w:sz w:val="18"/>
                      <w:szCs w:val="18"/>
                      <w:lang w:bidi="ar"/>
                    </w:rPr>
                    <w:t xml:space="preserve">30.70 </w:t>
                  </w:r>
                </w:p>
              </w:tc>
              <w:tc>
                <w:tcPr>
                  <w:tcW w:w="354" w:type="pct"/>
                  <w:vAlign w:val="center"/>
                </w:tcPr>
                <w:p>
                  <w:pPr>
                    <w:widowControl/>
                    <w:jc w:val="center"/>
                    <w:textAlignment w:val="center"/>
                    <w:rPr>
                      <w:sz w:val="18"/>
                      <w:szCs w:val="18"/>
                    </w:rPr>
                  </w:pPr>
                  <w:r>
                    <w:rPr>
                      <w:rFonts w:hint="eastAsia" w:ascii="宋体" w:hAnsi="宋体" w:cs="宋体"/>
                      <w:sz w:val="18"/>
                      <w:szCs w:val="18"/>
                      <w:lang w:bidi="ar"/>
                    </w:rPr>
                    <w:t>水喷淋</w:t>
                  </w:r>
                  <w:r>
                    <w:rPr>
                      <w:sz w:val="18"/>
                      <w:szCs w:val="18"/>
                      <w:lang w:bidi="ar"/>
                    </w:rPr>
                    <w:t>+</w:t>
                  </w:r>
                  <w:r>
                    <w:rPr>
                      <w:rFonts w:hint="eastAsia" w:ascii="宋体" w:hAnsi="宋体" w:cs="宋体"/>
                      <w:sz w:val="18"/>
                      <w:szCs w:val="18"/>
                      <w:lang w:bidi="ar"/>
                    </w:rPr>
                    <w:t>二级活性炭吸附</w:t>
                  </w:r>
                </w:p>
              </w:tc>
              <w:tc>
                <w:tcPr>
                  <w:tcW w:w="258" w:type="pct"/>
                  <w:vAlign w:val="center"/>
                </w:tcPr>
                <w:p>
                  <w:pPr>
                    <w:widowControl/>
                    <w:jc w:val="center"/>
                    <w:textAlignment w:val="center"/>
                    <w:rPr>
                      <w:sz w:val="18"/>
                      <w:szCs w:val="18"/>
                    </w:rPr>
                  </w:pPr>
                  <w:r>
                    <w:rPr>
                      <w:sz w:val="18"/>
                      <w:szCs w:val="18"/>
                      <w:lang w:bidi="ar"/>
                    </w:rPr>
                    <w:t>80%</w:t>
                  </w:r>
                </w:p>
              </w:tc>
              <w:tc>
                <w:tcPr>
                  <w:tcW w:w="259" w:type="pct"/>
                  <w:vAlign w:val="center"/>
                </w:tcPr>
                <w:p>
                  <w:pPr>
                    <w:widowControl/>
                    <w:jc w:val="center"/>
                    <w:textAlignment w:val="center"/>
                    <w:rPr>
                      <w:sz w:val="18"/>
                      <w:szCs w:val="18"/>
                    </w:rPr>
                  </w:pPr>
                  <w:r>
                    <w:rPr>
                      <w:sz w:val="18"/>
                      <w:szCs w:val="18"/>
                      <w:lang w:bidi="ar"/>
                    </w:rPr>
                    <w:t>11000</w:t>
                  </w:r>
                </w:p>
              </w:tc>
              <w:tc>
                <w:tcPr>
                  <w:tcW w:w="321" w:type="pct"/>
                  <w:vAlign w:val="center"/>
                </w:tcPr>
                <w:p>
                  <w:pPr>
                    <w:widowControl/>
                    <w:jc w:val="center"/>
                    <w:textAlignment w:val="center"/>
                    <w:rPr>
                      <w:sz w:val="18"/>
                      <w:szCs w:val="18"/>
                    </w:rPr>
                  </w:pPr>
                  <w:r>
                    <w:rPr>
                      <w:sz w:val="18"/>
                      <w:szCs w:val="18"/>
                      <w:lang w:bidi="ar"/>
                    </w:rPr>
                    <w:t>90%</w:t>
                  </w:r>
                </w:p>
              </w:tc>
              <w:tc>
                <w:tcPr>
                  <w:tcW w:w="304" w:type="pct"/>
                  <w:vAlign w:val="center"/>
                </w:tcPr>
                <w:p>
                  <w:pPr>
                    <w:widowControl/>
                    <w:jc w:val="center"/>
                    <w:textAlignment w:val="center"/>
                    <w:rPr>
                      <w:sz w:val="18"/>
                      <w:szCs w:val="18"/>
                    </w:rPr>
                  </w:pPr>
                  <w:r>
                    <w:rPr>
                      <w:rFonts w:hint="eastAsia" w:ascii="宋体" w:hAnsi="宋体" w:cs="宋体"/>
                      <w:sz w:val="18"/>
                      <w:szCs w:val="18"/>
                      <w:lang w:bidi="ar"/>
                    </w:rPr>
                    <w:t>是</w:t>
                  </w:r>
                </w:p>
              </w:tc>
              <w:tc>
                <w:tcPr>
                  <w:tcW w:w="381" w:type="pct"/>
                  <w:vAlign w:val="center"/>
                </w:tcPr>
                <w:p>
                  <w:pPr>
                    <w:widowControl/>
                    <w:jc w:val="center"/>
                    <w:textAlignment w:val="center"/>
                    <w:rPr>
                      <w:sz w:val="18"/>
                      <w:szCs w:val="18"/>
                    </w:rPr>
                  </w:pPr>
                  <w:r>
                    <w:rPr>
                      <w:sz w:val="18"/>
                      <w:szCs w:val="18"/>
                      <w:lang w:bidi="ar"/>
                    </w:rPr>
                    <w:t xml:space="preserve">0.06485 </w:t>
                  </w:r>
                </w:p>
              </w:tc>
              <w:tc>
                <w:tcPr>
                  <w:tcW w:w="346" w:type="pct"/>
                  <w:vAlign w:val="center"/>
                </w:tcPr>
                <w:p>
                  <w:pPr>
                    <w:widowControl/>
                    <w:jc w:val="center"/>
                    <w:textAlignment w:val="center"/>
                    <w:rPr>
                      <w:sz w:val="18"/>
                      <w:szCs w:val="18"/>
                    </w:rPr>
                  </w:pPr>
                  <w:r>
                    <w:rPr>
                      <w:sz w:val="18"/>
                      <w:szCs w:val="18"/>
                      <w:lang w:bidi="ar"/>
                    </w:rPr>
                    <w:t>0.02702</w:t>
                  </w:r>
                </w:p>
              </w:tc>
              <w:tc>
                <w:tcPr>
                  <w:tcW w:w="243" w:type="pct"/>
                  <w:vAlign w:val="center"/>
                </w:tcPr>
                <w:p>
                  <w:pPr>
                    <w:widowControl/>
                    <w:jc w:val="center"/>
                    <w:textAlignment w:val="center"/>
                    <w:rPr>
                      <w:sz w:val="18"/>
                      <w:szCs w:val="18"/>
                    </w:rPr>
                  </w:pPr>
                  <w:r>
                    <w:rPr>
                      <w:sz w:val="18"/>
                      <w:szCs w:val="18"/>
                      <w:lang w:bidi="ar"/>
                    </w:rPr>
                    <w:t xml:space="preserve">2.456 </w:t>
                  </w:r>
                </w:p>
              </w:tc>
              <w:tc>
                <w:tcPr>
                  <w:tcW w:w="257" w:type="pct"/>
                  <w:vMerge w:val="continue"/>
                  <w:vAlign w:val="center"/>
                </w:tcPr>
                <w:p>
                  <w:pPr>
                    <w:jc w:val="center"/>
                    <w:rPr>
                      <w:sz w:val="18"/>
                      <w:szCs w:val="18"/>
                    </w:rPr>
                  </w:pPr>
                </w:p>
              </w:tc>
              <w:tc>
                <w:tcPr>
                  <w:tcW w:w="346" w:type="pct"/>
                  <w:vMerge w:val="continue"/>
                  <w:vAlign w:val="center"/>
                </w:tcPr>
                <w:p>
                  <w:pPr>
                    <w:widowControl/>
                    <w:jc w:val="center"/>
                    <w:textAlignment w:val="center"/>
                    <w:rPr>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6" w:hRule="atLeast"/>
                <w:jc w:val="center"/>
              </w:trPr>
              <w:tc>
                <w:tcPr>
                  <w:tcW w:w="645" w:type="pct"/>
                  <w:vAlign w:val="center"/>
                </w:tcPr>
                <w:p>
                  <w:pPr>
                    <w:jc w:val="center"/>
                    <w:rPr>
                      <w:sz w:val="18"/>
                      <w:szCs w:val="18"/>
                    </w:rPr>
                  </w:pPr>
                  <w:r>
                    <w:rPr>
                      <w:rFonts w:hint="eastAsia"/>
                      <w:sz w:val="18"/>
                      <w:szCs w:val="18"/>
                    </w:rPr>
                    <w:t>打磨、抛光、喷砂</w:t>
                  </w:r>
                </w:p>
              </w:tc>
              <w:tc>
                <w:tcPr>
                  <w:tcW w:w="347" w:type="pct"/>
                  <w:vAlign w:val="center"/>
                </w:tcPr>
                <w:p>
                  <w:pPr>
                    <w:widowControl/>
                    <w:jc w:val="center"/>
                    <w:textAlignment w:val="center"/>
                    <w:rPr>
                      <w:sz w:val="18"/>
                      <w:szCs w:val="18"/>
                    </w:rPr>
                  </w:pPr>
                  <w:r>
                    <w:rPr>
                      <w:sz w:val="18"/>
                      <w:szCs w:val="18"/>
                    </w:rPr>
                    <w:t>颗粒物</w:t>
                  </w:r>
                </w:p>
              </w:tc>
              <w:tc>
                <w:tcPr>
                  <w:tcW w:w="346" w:type="pct"/>
                  <w:vAlign w:val="center"/>
                </w:tcPr>
                <w:p>
                  <w:pPr>
                    <w:widowControl/>
                    <w:jc w:val="center"/>
                    <w:textAlignment w:val="center"/>
                    <w:rPr>
                      <w:bCs/>
                      <w:sz w:val="18"/>
                      <w:szCs w:val="18"/>
                    </w:rPr>
                  </w:pPr>
                  <w:r>
                    <w:rPr>
                      <w:sz w:val="18"/>
                      <w:szCs w:val="18"/>
                      <w:lang w:bidi="ar"/>
                    </w:rPr>
                    <w:t>2.2995</w:t>
                  </w:r>
                </w:p>
              </w:tc>
              <w:tc>
                <w:tcPr>
                  <w:tcW w:w="311" w:type="pct"/>
                  <w:vAlign w:val="center"/>
                </w:tcPr>
                <w:p>
                  <w:pPr>
                    <w:widowControl/>
                    <w:jc w:val="center"/>
                    <w:textAlignment w:val="center"/>
                    <w:rPr>
                      <w:sz w:val="18"/>
                      <w:szCs w:val="18"/>
                    </w:rPr>
                  </w:pPr>
                  <w:r>
                    <w:rPr>
                      <w:sz w:val="18"/>
                      <w:szCs w:val="18"/>
                      <w:lang w:bidi="ar"/>
                    </w:rPr>
                    <w:t xml:space="preserve">0.9581 </w:t>
                  </w:r>
                </w:p>
              </w:tc>
              <w:tc>
                <w:tcPr>
                  <w:tcW w:w="278" w:type="pct"/>
                  <w:vAlign w:val="center"/>
                </w:tcPr>
                <w:p>
                  <w:pPr>
                    <w:widowControl/>
                    <w:jc w:val="center"/>
                    <w:textAlignment w:val="center"/>
                    <w:rPr>
                      <w:sz w:val="18"/>
                      <w:szCs w:val="18"/>
                    </w:rPr>
                  </w:pPr>
                  <w:r>
                    <w:rPr>
                      <w:sz w:val="18"/>
                      <w:szCs w:val="18"/>
                      <w:lang w:bidi="ar"/>
                    </w:rPr>
                    <w:t xml:space="preserve">56.36 </w:t>
                  </w:r>
                </w:p>
              </w:tc>
              <w:tc>
                <w:tcPr>
                  <w:tcW w:w="354" w:type="pct"/>
                  <w:vAlign w:val="center"/>
                </w:tcPr>
                <w:p>
                  <w:pPr>
                    <w:widowControl/>
                    <w:jc w:val="center"/>
                    <w:textAlignment w:val="center"/>
                  </w:pPr>
                  <w:r>
                    <w:rPr>
                      <w:rFonts w:hint="eastAsia" w:ascii="宋体" w:hAnsi="宋体" w:cs="宋体"/>
                      <w:sz w:val="18"/>
                      <w:szCs w:val="18"/>
                      <w:lang w:bidi="ar"/>
                    </w:rPr>
                    <w:t>旋风除尘</w:t>
                  </w:r>
                </w:p>
              </w:tc>
              <w:tc>
                <w:tcPr>
                  <w:tcW w:w="258" w:type="pct"/>
                  <w:vAlign w:val="center"/>
                </w:tcPr>
                <w:p>
                  <w:pPr>
                    <w:widowControl/>
                    <w:jc w:val="center"/>
                    <w:textAlignment w:val="center"/>
                    <w:rPr>
                      <w:sz w:val="18"/>
                      <w:szCs w:val="18"/>
                    </w:rPr>
                  </w:pPr>
                  <w:r>
                    <w:rPr>
                      <w:sz w:val="18"/>
                      <w:szCs w:val="18"/>
                      <w:lang w:bidi="ar"/>
                    </w:rPr>
                    <w:t>80%</w:t>
                  </w:r>
                </w:p>
              </w:tc>
              <w:tc>
                <w:tcPr>
                  <w:tcW w:w="259" w:type="pct"/>
                  <w:vAlign w:val="center"/>
                </w:tcPr>
                <w:p>
                  <w:pPr>
                    <w:widowControl/>
                    <w:jc w:val="center"/>
                    <w:textAlignment w:val="center"/>
                    <w:rPr>
                      <w:sz w:val="18"/>
                      <w:szCs w:val="18"/>
                    </w:rPr>
                  </w:pPr>
                  <w:r>
                    <w:rPr>
                      <w:sz w:val="18"/>
                      <w:szCs w:val="18"/>
                      <w:lang w:bidi="ar"/>
                    </w:rPr>
                    <w:t>17000</w:t>
                  </w:r>
                </w:p>
              </w:tc>
              <w:tc>
                <w:tcPr>
                  <w:tcW w:w="321" w:type="pct"/>
                  <w:vAlign w:val="center"/>
                </w:tcPr>
                <w:p>
                  <w:pPr>
                    <w:widowControl/>
                    <w:jc w:val="center"/>
                    <w:textAlignment w:val="center"/>
                    <w:rPr>
                      <w:sz w:val="18"/>
                      <w:szCs w:val="18"/>
                    </w:rPr>
                  </w:pPr>
                  <w:r>
                    <w:rPr>
                      <w:sz w:val="18"/>
                      <w:szCs w:val="18"/>
                      <w:lang w:bidi="ar"/>
                    </w:rPr>
                    <w:t>90%</w:t>
                  </w:r>
                </w:p>
              </w:tc>
              <w:tc>
                <w:tcPr>
                  <w:tcW w:w="304" w:type="pct"/>
                  <w:vAlign w:val="center"/>
                </w:tcPr>
                <w:p>
                  <w:pPr>
                    <w:widowControl/>
                    <w:jc w:val="center"/>
                    <w:textAlignment w:val="center"/>
                    <w:rPr>
                      <w:sz w:val="18"/>
                      <w:szCs w:val="18"/>
                    </w:rPr>
                  </w:pPr>
                  <w:r>
                    <w:rPr>
                      <w:rFonts w:hint="eastAsia" w:ascii="宋体" w:hAnsi="宋体" w:cs="宋体"/>
                      <w:sz w:val="18"/>
                      <w:szCs w:val="18"/>
                      <w:lang w:bidi="ar"/>
                    </w:rPr>
                    <w:t>是</w:t>
                  </w:r>
                </w:p>
              </w:tc>
              <w:tc>
                <w:tcPr>
                  <w:tcW w:w="381" w:type="pct"/>
                  <w:vAlign w:val="center"/>
                </w:tcPr>
                <w:p>
                  <w:pPr>
                    <w:widowControl/>
                    <w:jc w:val="center"/>
                    <w:textAlignment w:val="center"/>
                    <w:rPr>
                      <w:sz w:val="18"/>
                      <w:szCs w:val="18"/>
                    </w:rPr>
                  </w:pPr>
                  <w:r>
                    <w:rPr>
                      <w:sz w:val="18"/>
                      <w:szCs w:val="18"/>
                      <w:lang w:bidi="ar"/>
                    </w:rPr>
                    <w:t xml:space="preserve">0.1840 </w:t>
                  </w:r>
                </w:p>
              </w:tc>
              <w:tc>
                <w:tcPr>
                  <w:tcW w:w="346" w:type="pct"/>
                  <w:vAlign w:val="center"/>
                </w:tcPr>
                <w:p>
                  <w:pPr>
                    <w:widowControl/>
                    <w:jc w:val="center"/>
                    <w:textAlignment w:val="center"/>
                    <w:rPr>
                      <w:sz w:val="18"/>
                      <w:szCs w:val="18"/>
                    </w:rPr>
                  </w:pPr>
                  <w:r>
                    <w:rPr>
                      <w:sz w:val="18"/>
                      <w:szCs w:val="18"/>
                      <w:lang w:bidi="ar"/>
                    </w:rPr>
                    <w:t>0.07665</w:t>
                  </w:r>
                </w:p>
              </w:tc>
              <w:tc>
                <w:tcPr>
                  <w:tcW w:w="243" w:type="pct"/>
                  <w:vAlign w:val="center"/>
                </w:tcPr>
                <w:p>
                  <w:pPr>
                    <w:widowControl/>
                    <w:jc w:val="center"/>
                    <w:textAlignment w:val="center"/>
                    <w:rPr>
                      <w:sz w:val="18"/>
                      <w:szCs w:val="18"/>
                    </w:rPr>
                  </w:pPr>
                  <w:r>
                    <w:rPr>
                      <w:sz w:val="18"/>
                      <w:szCs w:val="18"/>
                      <w:lang w:bidi="ar"/>
                    </w:rPr>
                    <w:t xml:space="preserve">4.509 </w:t>
                  </w:r>
                </w:p>
              </w:tc>
              <w:tc>
                <w:tcPr>
                  <w:tcW w:w="257" w:type="pct"/>
                  <w:vAlign w:val="center"/>
                </w:tcPr>
                <w:p>
                  <w:pPr>
                    <w:widowControl/>
                    <w:jc w:val="center"/>
                    <w:textAlignment w:val="center"/>
                    <w:rPr>
                      <w:sz w:val="18"/>
                      <w:szCs w:val="18"/>
                      <w:highlight w:val="yellow"/>
                    </w:rPr>
                  </w:pPr>
                  <w:r>
                    <w:rPr>
                      <w:rFonts w:hint="eastAsia" w:ascii="宋体" w:hAnsi="宋体" w:cs="宋体"/>
                      <w:sz w:val="18"/>
                      <w:szCs w:val="18"/>
                      <w:lang w:bidi="ar"/>
                    </w:rPr>
                    <w:t>有组织</w:t>
                  </w:r>
                </w:p>
              </w:tc>
              <w:tc>
                <w:tcPr>
                  <w:tcW w:w="346" w:type="pct"/>
                  <w:vAlign w:val="center"/>
                </w:tcPr>
                <w:p>
                  <w:pPr>
                    <w:widowControl/>
                    <w:jc w:val="center"/>
                    <w:textAlignment w:val="center"/>
                    <w:rPr>
                      <w:sz w:val="18"/>
                      <w:szCs w:val="18"/>
                    </w:rPr>
                  </w:pPr>
                  <w:r>
                    <w:rPr>
                      <w:rFonts w:hint="eastAsia"/>
                      <w:sz w:val="18"/>
                      <w:szCs w:val="18"/>
                    </w:rPr>
                    <w:t>DA002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45" w:type="pct"/>
                  <w:vAlign w:val="center"/>
                </w:tcPr>
                <w:p>
                  <w:pPr>
                    <w:jc w:val="center"/>
                    <w:rPr>
                      <w:sz w:val="18"/>
                      <w:szCs w:val="18"/>
                    </w:rPr>
                  </w:pPr>
                  <w:r>
                    <w:rPr>
                      <w:sz w:val="18"/>
                      <w:szCs w:val="18"/>
                    </w:rPr>
                    <w:t>喷粉</w:t>
                  </w:r>
                </w:p>
              </w:tc>
              <w:tc>
                <w:tcPr>
                  <w:tcW w:w="347" w:type="pct"/>
                  <w:vAlign w:val="center"/>
                </w:tcPr>
                <w:p>
                  <w:pPr>
                    <w:widowControl/>
                    <w:jc w:val="center"/>
                    <w:textAlignment w:val="center"/>
                    <w:rPr>
                      <w:sz w:val="18"/>
                      <w:szCs w:val="18"/>
                    </w:rPr>
                  </w:pPr>
                  <w:r>
                    <w:rPr>
                      <w:sz w:val="18"/>
                      <w:szCs w:val="18"/>
                    </w:rPr>
                    <w:t>颗粒物</w:t>
                  </w:r>
                </w:p>
              </w:tc>
              <w:tc>
                <w:tcPr>
                  <w:tcW w:w="346" w:type="pct"/>
                  <w:vAlign w:val="center"/>
                </w:tcPr>
                <w:p>
                  <w:pPr>
                    <w:widowControl/>
                    <w:jc w:val="center"/>
                    <w:textAlignment w:val="center"/>
                    <w:rPr>
                      <w:sz w:val="18"/>
                      <w:szCs w:val="18"/>
                    </w:rPr>
                  </w:pPr>
                  <w:r>
                    <w:rPr>
                      <w:sz w:val="18"/>
                      <w:szCs w:val="18"/>
                      <w:lang w:bidi="ar"/>
                    </w:rPr>
                    <w:t>0.182</w:t>
                  </w:r>
                </w:p>
              </w:tc>
              <w:tc>
                <w:tcPr>
                  <w:tcW w:w="311" w:type="pct"/>
                  <w:vAlign w:val="center"/>
                </w:tcPr>
                <w:p>
                  <w:pPr>
                    <w:widowControl/>
                    <w:jc w:val="center"/>
                    <w:textAlignment w:val="center"/>
                    <w:rPr>
                      <w:sz w:val="18"/>
                      <w:szCs w:val="18"/>
                    </w:rPr>
                  </w:pPr>
                  <w:r>
                    <w:rPr>
                      <w:sz w:val="18"/>
                      <w:szCs w:val="18"/>
                      <w:lang w:bidi="ar"/>
                    </w:rPr>
                    <w:t xml:space="preserve">0.07583 </w:t>
                  </w:r>
                </w:p>
              </w:tc>
              <w:tc>
                <w:tcPr>
                  <w:tcW w:w="278" w:type="pct"/>
                  <w:vAlign w:val="center"/>
                </w:tcPr>
                <w:p>
                  <w:pPr>
                    <w:widowControl/>
                    <w:jc w:val="center"/>
                    <w:textAlignment w:val="center"/>
                    <w:rPr>
                      <w:sz w:val="18"/>
                      <w:szCs w:val="18"/>
                      <w:lang w:bidi="ar"/>
                    </w:rPr>
                  </w:pPr>
                  <w:r>
                    <w:rPr>
                      <w:sz w:val="18"/>
                      <w:szCs w:val="18"/>
                      <w:lang w:bidi="ar"/>
                    </w:rPr>
                    <w:t xml:space="preserve">34.47 </w:t>
                  </w:r>
                </w:p>
              </w:tc>
              <w:tc>
                <w:tcPr>
                  <w:tcW w:w="354" w:type="pct"/>
                  <w:vAlign w:val="center"/>
                </w:tcPr>
                <w:p>
                  <w:pPr>
                    <w:widowControl/>
                    <w:jc w:val="center"/>
                    <w:textAlignment w:val="center"/>
                    <w:rPr>
                      <w:sz w:val="18"/>
                      <w:szCs w:val="18"/>
                    </w:rPr>
                  </w:pPr>
                  <w:r>
                    <w:rPr>
                      <w:rFonts w:hint="eastAsia" w:ascii="宋体" w:hAnsi="宋体" w:cs="宋体"/>
                      <w:sz w:val="18"/>
                      <w:szCs w:val="18"/>
                      <w:lang w:bidi="ar"/>
                    </w:rPr>
                    <w:t>布袋除尘器</w:t>
                  </w:r>
                </w:p>
              </w:tc>
              <w:tc>
                <w:tcPr>
                  <w:tcW w:w="258" w:type="pct"/>
                  <w:vAlign w:val="center"/>
                </w:tcPr>
                <w:p>
                  <w:pPr>
                    <w:widowControl/>
                    <w:jc w:val="center"/>
                    <w:textAlignment w:val="center"/>
                    <w:rPr>
                      <w:sz w:val="18"/>
                      <w:szCs w:val="18"/>
                    </w:rPr>
                  </w:pPr>
                  <w:r>
                    <w:rPr>
                      <w:sz w:val="18"/>
                      <w:szCs w:val="18"/>
                      <w:lang w:bidi="ar"/>
                    </w:rPr>
                    <w:t>80%</w:t>
                  </w:r>
                </w:p>
              </w:tc>
              <w:tc>
                <w:tcPr>
                  <w:tcW w:w="259" w:type="pct"/>
                  <w:vAlign w:val="center"/>
                </w:tcPr>
                <w:p>
                  <w:pPr>
                    <w:widowControl/>
                    <w:jc w:val="center"/>
                    <w:textAlignment w:val="center"/>
                    <w:rPr>
                      <w:sz w:val="18"/>
                      <w:szCs w:val="18"/>
                    </w:rPr>
                  </w:pPr>
                  <w:r>
                    <w:rPr>
                      <w:sz w:val="18"/>
                      <w:szCs w:val="18"/>
                      <w:lang w:bidi="ar"/>
                    </w:rPr>
                    <w:t>2200</w:t>
                  </w:r>
                </w:p>
              </w:tc>
              <w:tc>
                <w:tcPr>
                  <w:tcW w:w="321" w:type="pct"/>
                  <w:vAlign w:val="center"/>
                </w:tcPr>
                <w:p>
                  <w:pPr>
                    <w:widowControl/>
                    <w:jc w:val="center"/>
                    <w:textAlignment w:val="center"/>
                    <w:rPr>
                      <w:sz w:val="18"/>
                      <w:szCs w:val="18"/>
                    </w:rPr>
                  </w:pPr>
                  <w:r>
                    <w:rPr>
                      <w:sz w:val="18"/>
                      <w:szCs w:val="18"/>
                      <w:lang w:bidi="ar"/>
                    </w:rPr>
                    <w:t>90%</w:t>
                  </w:r>
                </w:p>
              </w:tc>
              <w:tc>
                <w:tcPr>
                  <w:tcW w:w="304" w:type="pct"/>
                  <w:vAlign w:val="center"/>
                </w:tcPr>
                <w:p>
                  <w:pPr>
                    <w:widowControl/>
                    <w:jc w:val="center"/>
                    <w:textAlignment w:val="center"/>
                    <w:rPr>
                      <w:sz w:val="18"/>
                      <w:szCs w:val="18"/>
                    </w:rPr>
                  </w:pPr>
                  <w:r>
                    <w:rPr>
                      <w:rFonts w:hint="eastAsia" w:ascii="宋体" w:hAnsi="宋体" w:cs="宋体"/>
                      <w:sz w:val="18"/>
                      <w:szCs w:val="18"/>
                      <w:lang w:bidi="ar"/>
                    </w:rPr>
                    <w:t>是</w:t>
                  </w:r>
                </w:p>
              </w:tc>
              <w:tc>
                <w:tcPr>
                  <w:tcW w:w="381" w:type="pct"/>
                  <w:vAlign w:val="center"/>
                </w:tcPr>
                <w:p>
                  <w:pPr>
                    <w:widowControl/>
                    <w:jc w:val="center"/>
                    <w:textAlignment w:val="center"/>
                    <w:rPr>
                      <w:sz w:val="18"/>
                      <w:szCs w:val="18"/>
                    </w:rPr>
                  </w:pPr>
                  <w:r>
                    <w:rPr>
                      <w:sz w:val="18"/>
                      <w:szCs w:val="18"/>
                      <w:lang w:bidi="ar"/>
                    </w:rPr>
                    <w:t>0.01456</w:t>
                  </w:r>
                </w:p>
              </w:tc>
              <w:tc>
                <w:tcPr>
                  <w:tcW w:w="346" w:type="pct"/>
                  <w:vAlign w:val="center"/>
                </w:tcPr>
                <w:p>
                  <w:pPr>
                    <w:widowControl/>
                    <w:jc w:val="center"/>
                    <w:textAlignment w:val="center"/>
                    <w:rPr>
                      <w:sz w:val="18"/>
                      <w:szCs w:val="18"/>
                    </w:rPr>
                  </w:pPr>
                  <w:r>
                    <w:rPr>
                      <w:sz w:val="18"/>
                      <w:szCs w:val="18"/>
                      <w:lang w:bidi="ar"/>
                    </w:rPr>
                    <w:t xml:space="preserve">0.00607 </w:t>
                  </w:r>
                </w:p>
              </w:tc>
              <w:tc>
                <w:tcPr>
                  <w:tcW w:w="243" w:type="pct"/>
                  <w:vAlign w:val="center"/>
                </w:tcPr>
                <w:p>
                  <w:pPr>
                    <w:widowControl/>
                    <w:jc w:val="center"/>
                    <w:textAlignment w:val="center"/>
                    <w:rPr>
                      <w:sz w:val="18"/>
                      <w:szCs w:val="18"/>
                    </w:rPr>
                  </w:pPr>
                  <w:r>
                    <w:rPr>
                      <w:sz w:val="18"/>
                      <w:szCs w:val="18"/>
                      <w:lang w:bidi="ar"/>
                    </w:rPr>
                    <w:t xml:space="preserve">2.758 </w:t>
                  </w:r>
                </w:p>
              </w:tc>
              <w:tc>
                <w:tcPr>
                  <w:tcW w:w="257" w:type="pct"/>
                  <w:vAlign w:val="center"/>
                </w:tcPr>
                <w:p>
                  <w:pPr>
                    <w:widowControl/>
                    <w:jc w:val="center"/>
                    <w:textAlignment w:val="center"/>
                    <w:rPr>
                      <w:sz w:val="18"/>
                      <w:szCs w:val="18"/>
                    </w:rPr>
                  </w:pPr>
                  <w:r>
                    <w:rPr>
                      <w:rFonts w:hint="eastAsia" w:ascii="宋体" w:hAnsi="宋体" w:cs="宋体"/>
                      <w:sz w:val="18"/>
                      <w:szCs w:val="18"/>
                      <w:lang w:bidi="ar"/>
                    </w:rPr>
                    <w:t>有组织</w:t>
                  </w:r>
                </w:p>
              </w:tc>
              <w:tc>
                <w:tcPr>
                  <w:tcW w:w="346" w:type="pct"/>
                  <w:vAlign w:val="center"/>
                </w:tcPr>
                <w:p>
                  <w:pPr>
                    <w:widowControl/>
                    <w:jc w:val="center"/>
                    <w:textAlignment w:val="center"/>
                    <w:rPr>
                      <w:sz w:val="18"/>
                      <w:szCs w:val="18"/>
                    </w:rPr>
                  </w:pPr>
                  <w:r>
                    <w:rPr>
                      <w:rFonts w:hint="eastAsia"/>
                      <w:sz w:val="18"/>
                      <w:szCs w:val="18"/>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645" w:type="pct"/>
                  <w:vAlign w:val="center"/>
                </w:tcPr>
                <w:p>
                  <w:pPr>
                    <w:jc w:val="center"/>
                    <w:rPr>
                      <w:sz w:val="18"/>
                      <w:szCs w:val="18"/>
                    </w:rPr>
                  </w:pPr>
                  <w:r>
                    <w:rPr>
                      <w:sz w:val="18"/>
                      <w:szCs w:val="18"/>
                    </w:rPr>
                    <w:t>烘烤固化</w:t>
                  </w:r>
                </w:p>
              </w:tc>
              <w:tc>
                <w:tcPr>
                  <w:tcW w:w="347" w:type="pct"/>
                  <w:vAlign w:val="center"/>
                </w:tcPr>
                <w:p>
                  <w:pPr>
                    <w:widowControl/>
                    <w:jc w:val="center"/>
                    <w:textAlignment w:val="center"/>
                    <w:rPr>
                      <w:sz w:val="18"/>
                      <w:szCs w:val="18"/>
                    </w:rPr>
                  </w:pPr>
                  <w:r>
                    <w:rPr>
                      <w:sz w:val="18"/>
                      <w:szCs w:val="18"/>
                    </w:rPr>
                    <w:t>总VOCs</w:t>
                  </w:r>
                </w:p>
              </w:tc>
              <w:tc>
                <w:tcPr>
                  <w:tcW w:w="346" w:type="pct"/>
                  <w:vAlign w:val="center"/>
                </w:tcPr>
                <w:p>
                  <w:pPr>
                    <w:widowControl/>
                    <w:jc w:val="center"/>
                    <w:textAlignment w:val="center"/>
                    <w:rPr>
                      <w:sz w:val="18"/>
                      <w:szCs w:val="18"/>
                    </w:rPr>
                  </w:pPr>
                  <w:r>
                    <w:rPr>
                      <w:sz w:val="18"/>
                      <w:szCs w:val="18"/>
                      <w:lang w:bidi="ar"/>
                    </w:rPr>
                    <w:t>0.002184</w:t>
                  </w:r>
                </w:p>
              </w:tc>
              <w:tc>
                <w:tcPr>
                  <w:tcW w:w="311" w:type="pct"/>
                  <w:vAlign w:val="center"/>
                </w:tcPr>
                <w:p>
                  <w:pPr>
                    <w:widowControl/>
                    <w:jc w:val="center"/>
                    <w:textAlignment w:val="center"/>
                    <w:rPr>
                      <w:sz w:val="18"/>
                      <w:szCs w:val="18"/>
                    </w:rPr>
                  </w:pPr>
                  <w:r>
                    <w:rPr>
                      <w:sz w:val="18"/>
                      <w:szCs w:val="18"/>
                      <w:lang w:bidi="ar"/>
                    </w:rPr>
                    <w:t>0.00091</w:t>
                  </w:r>
                </w:p>
              </w:tc>
              <w:tc>
                <w:tcPr>
                  <w:tcW w:w="278" w:type="pct"/>
                  <w:vAlign w:val="center"/>
                </w:tcPr>
                <w:p>
                  <w:pPr>
                    <w:widowControl/>
                    <w:jc w:val="center"/>
                    <w:textAlignment w:val="center"/>
                    <w:rPr>
                      <w:sz w:val="18"/>
                      <w:szCs w:val="18"/>
                      <w:lang w:bidi="ar"/>
                    </w:rPr>
                  </w:pPr>
                  <w:r>
                    <w:rPr>
                      <w:sz w:val="18"/>
                      <w:szCs w:val="18"/>
                      <w:lang w:bidi="ar"/>
                    </w:rPr>
                    <w:t xml:space="preserve">0.41 </w:t>
                  </w:r>
                </w:p>
              </w:tc>
              <w:tc>
                <w:tcPr>
                  <w:tcW w:w="354" w:type="pct"/>
                  <w:vAlign w:val="center"/>
                </w:tcPr>
                <w:p>
                  <w:pPr>
                    <w:widowControl/>
                    <w:jc w:val="center"/>
                    <w:textAlignment w:val="center"/>
                    <w:rPr>
                      <w:sz w:val="18"/>
                      <w:szCs w:val="18"/>
                    </w:rPr>
                  </w:pPr>
                  <w:r>
                    <w:rPr>
                      <w:rFonts w:hint="eastAsia" w:ascii="宋体" w:hAnsi="宋体" w:cs="宋体"/>
                      <w:sz w:val="18"/>
                      <w:szCs w:val="18"/>
                      <w:lang w:bidi="ar"/>
                    </w:rPr>
                    <w:t>水喷淋</w:t>
                  </w:r>
                  <w:r>
                    <w:rPr>
                      <w:sz w:val="18"/>
                      <w:szCs w:val="18"/>
                      <w:lang w:bidi="ar"/>
                    </w:rPr>
                    <w:t>+</w:t>
                  </w:r>
                  <w:r>
                    <w:rPr>
                      <w:rFonts w:hint="eastAsia" w:ascii="宋体" w:hAnsi="宋体" w:cs="宋体"/>
                      <w:sz w:val="18"/>
                      <w:szCs w:val="18"/>
                      <w:lang w:bidi="ar"/>
                    </w:rPr>
                    <w:t>二级活性炭吸附</w:t>
                  </w:r>
                </w:p>
              </w:tc>
              <w:tc>
                <w:tcPr>
                  <w:tcW w:w="258" w:type="pct"/>
                  <w:vAlign w:val="center"/>
                </w:tcPr>
                <w:p>
                  <w:pPr>
                    <w:widowControl/>
                    <w:jc w:val="center"/>
                    <w:textAlignment w:val="center"/>
                    <w:rPr>
                      <w:sz w:val="18"/>
                      <w:szCs w:val="18"/>
                    </w:rPr>
                  </w:pPr>
                  <w:r>
                    <w:rPr>
                      <w:sz w:val="18"/>
                      <w:szCs w:val="18"/>
                      <w:lang w:bidi="ar"/>
                    </w:rPr>
                    <w:t>80%</w:t>
                  </w:r>
                </w:p>
              </w:tc>
              <w:tc>
                <w:tcPr>
                  <w:tcW w:w="259" w:type="pct"/>
                  <w:vAlign w:val="center"/>
                </w:tcPr>
                <w:p>
                  <w:pPr>
                    <w:widowControl/>
                    <w:jc w:val="center"/>
                    <w:textAlignment w:val="center"/>
                    <w:rPr>
                      <w:sz w:val="18"/>
                      <w:szCs w:val="18"/>
                    </w:rPr>
                  </w:pPr>
                  <w:r>
                    <w:rPr>
                      <w:sz w:val="18"/>
                      <w:szCs w:val="18"/>
                      <w:lang w:bidi="ar"/>
                    </w:rPr>
                    <w:t>2200</w:t>
                  </w:r>
                </w:p>
              </w:tc>
              <w:tc>
                <w:tcPr>
                  <w:tcW w:w="321" w:type="pct"/>
                  <w:vAlign w:val="center"/>
                </w:tcPr>
                <w:p>
                  <w:pPr>
                    <w:widowControl/>
                    <w:jc w:val="center"/>
                    <w:textAlignment w:val="center"/>
                    <w:rPr>
                      <w:sz w:val="18"/>
                      <w:szCs w:val="18"/>
                    </w:rPr>
                  </w:pPr>
                  <w:r>
                    <w:rPr>
                      <w:sz w:val="18"/>
                      <w:szCs w:val="18"/>
                      <w:lang w:bidi="ar"/>
                    </w:rPr>
                    <w:t>70%</w:t>
                  </w:r>
                </w:p>
              </w:tc>
              <w:tc>
                <w:tcPr>
                  <w:tcW w:w="304" w:type="pct"/>
                  <w:vAlign w:val="center"/>
                </w:tcPr>
                <w:p>
                  <w:pPr>
                    <w:widowControl/>
                    <w:jc w:val="center"/>
                    <w:textAlignment w:val="center"/>
                    <w:rPr>
                      <w:sz w:val="18"/>
                      <w:szCs w:val="18"/>
                    </w:rPr>
                  </w:pPr>
                  <w:r>
                    <w:rPr>
                      <w:rFonts w:hint="eastAsia" w:ascii="宋体" w:hAnsi="宋体" w:cs="宋体"/>
                      <w:sz w:val="18"/>
                      <w:szCs w:val="18"/>
                      <w:lang w:bidi="ar"/>
                    </w:rPr>
                    <w:t>是</w:t>
                  </w:r>
                </w:p>
              </w:tc>
              <w:tc>
                <w:tcPr>
                  <w:tcW w:w="381" w:type="pct"/>
                  <w:vAlign w:val="center"/>
                </w:tcPr>
                <w:p>
                  <w:pPr>
                    <w:widowControl/>
                    <w:jc w:val="center"/>
                    <w:textAlignment w:val="center"/>
                    <w:rPr>
                      <w:sz w:val="18"/>
                      <w:szCs w:val="18"/>
                    </w:rPr>
                  </w:pPr>
                  <w:r>
                    <w:rPr>
                      <w:sz w:val="18"/>
                      <w:szCs w:val="18"/>
                      <w:lang w:bidi="ar"/>
                    </w:rPr>
                    <w:t xml:space="preserve">0.0005242 </w:t>
                  </w:r>
                </w:p>
              </w:tc>
              <w:tc>
                <w:tcPr>
                  <w:tcW w:w="346" w:type="pct"/>
                  <w:vAlign w:val="center"/>
                </w:tcPr>
                <w:p>
                  <w:pPr>
                    <w:widowControl/>
                    <w:jc w:val="center"/>
                    <w:textAlignment w:val="center"/>
                    <w:rPr>
                      <w:sz w:val="18"/>
                      <w:szCs w:val="18"/>
                    </w:rPr>
                  </w:pPr>
                  <w:r>
                    <w:rPr>
                      <w:sz w:val="18"/>
                      <w:szCs w:val="18"/>
                      <w:lang w:bidi="ar"/>
                    </w:rPr>
                    <w:t xml:space="preserve">0.000218 </w:t>
                  </w:r>
                </w:p>
              </w:tc>
              <w:tc>
                <w:tcPr>
                  <w:tcW w:w="243" w:type="pct"/>
                  <w:vAlign w:val="center"/>
                </w:tcPr>
                <w:p>
                  <w:pPr>
                    <w:widowControl/>
                    <w:jc w:val="center"/>
                    <w:textAlignment w:val="center"/>
                    <w:rPr>
                      <w:sz w:val="18"/>
                      <w:szCs w:val="18"/>
                    </w:rPr>
                  </w:pPr>
                  <w:r>
                    <w:rPr>
                      <w:sz w:val="18"/>
                      <w:szCs w:val="18"/>
                      <w:lang w:bidi="ar"/>
                    </w:rPr>
                    <w:t xml:space="preserve">0.099 </w:t>
                  </w:r>
                </w:p>
              </w:tc>
              <w:tc>
                <w:tcPr>
                  <w:tcW w:w="257" w:type="pct"/>
                  <w:vAlign w:val="center"/>
                </w:tcPr>
                <w:p>
                  <w:pPr>
                    <w:widowControl/>
                    <w:jc w:val="center"/>
                    <w:textAlignment w:val="center"/>
                    <w:rPr>
                      <w:sz w:val="18"/>
                      <w:szCs w:val="18"/>
                    </w:rPr>
                  </w:pPr>
                  <w:r>
                    <w:rPr>
                      <w:rFonts w:hint="eastAsia" w:ascii="宋体" w:hAnsi="宋体" w:cs="宋体"/>
                      <w:sz w:val="18"/>
                      <w:szCs w:val="18"/>
                      <w:lang w:bidi="ar"/>
                    </w:rPr>
                    <w:t>有组织</w:t>
                  </w:r>
                </w:p>
              </w:tc>
              <w:tc>
                <w:tcPr>
                  <w:tcW w:w="346" w:type="pct"/>
                  <w:vAlign w:val="center"/>
                </w:tcPr>
                <w:p>
                  <w:pPr>
                    <w:widowControl/>
                    <w:jc w:val="center"/>
                    <w:textAlignment w:val="center"/>
                    <w:rPr>
                      <w:sz w:val="18"/>
                      <w:szCs w:val="18"/>
                    </w:rPr>
                  </w:pPr>
                  <w:r>
                    <w:rPr>
                      <w:rFonts w:hint="eastAsia"/>
                      <w:sz w:val="18"/>
                      <w:szCs w:val="18"/>
                    </w:rPr>
                    <w:t>DA004</w:t>
                  </w:r>
                </w:p>
              </w:tc>
            </w:tr>
          </w:tbl>
          <w:p>
            <w:pPr>
              <w:adjustRightInd w:val="0"/>
              <w:snapToGrid w:val="0"/>
              <w:rPr>
                <w:color w:val="000000" w:themeColor="text1"/>
                <w14:textFill>
                  <w14:solidFill>
                    <w14:schemeClr w14:val="tx1"/>
                  </w14:solidFill>
                </w14:textFill>
              </w:rPr>
            </w:pPr>
          </w:p>
        </w:tc>
      </w:tr>
    </w:tbl>
    <w:p>
      <w:pPr>
        <w:pStyle w:val="2"/>
        <w:sectPr>
          <w:pgSz w:w="16840" w:h="11907" w:orient="landscape"/>
          <w:pgMar w:top="720" w:right="720" w:bottom="720" w:left="720" w:header="851" w:footer="851" w:gutter="0"/>
          <w:cols w:space="720" w:num="1"/>
          <w:docGrid w:linePitch="312" w:charSpace="0"/>
        </w:sectPr>
      </w:pP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48"/>
        <w:gridCol w:w="95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43" w:hRule="atLeast"/>
          <w:jc w:val="center"/>
        </w:trPr>
        <w:tc>
          <w:tcPr>
            <w:tcW w:w="225" w:type="pct"/>
            <w:vAlign w:val="center"/>
          </w:tcPr>
          <w:p>
            <w:pPr>
              <w:adjustRightInd w:val="0"/>
              <w:snapToGrid w:val="0"/>
              <w:jc w:val="center"/>
              <w:rPr>
                <w:bCs/>
                <w:color w:val="000000" w:themeColor="text1"/>
                <w14:textFill>
                  <w14:solidFill>
                    <w14:schemeClr w14:val="tx1"/>
                  </w14:solidFill>
                </w14:textFill>
              </w:rPr>
            </w:pPr>
            <w:r>
              <w:rPr>
                <w:bCs/>
                <w:color w:val="000000" w:themeColor="text1"/>
                <w14:textFill>
                  <w14:solidFill>
                    <w14:schemeClr w14:val="tx1"/>
                  </w14:solidFill>
                </w14:textFill>
              </w:rPr>
              <w:t>运营</w:t>
            </w:r>
          </w:p>
          <w:p>
            <w:pPr>
              <w:adjustRightInd w:val="0"/>
              <w:snapToGrid w:val="0"/>
              <w:jc w:val="center"/>
              <w:rPr>
                <w:bCs/>
                <w:color w:val="000000" w:themeColor="text1"/>
                <w14:textFill>
                  <w14:solidFill>
                    <w14:schemeClr w14:val="tx1"/>
                  </w14:solidFill>
                </w14:textFill>
              </w:rPr>
            </w:pPr>
            <w:r>
              <w:rPr>
                <w:bCs/>
                <w:color w:val="000000" w:themeColor="text1"/>
                <w14:textFill>
                  <w14:solidFill>
                    <w14:schemeClr w14:val="tx1"/>
                  </w14:solidFill>
                </w14:textFill>
              </w:rPr>
              <w:t>期环</w:t>
            </w:r>
          </w:p>
          <w:p>
            <w:pPr>
              <w:adjustRightInd w:val="0"/>
              <w:snapToGrid w:val="0"/>
              <w:jc w:val="center"/>
              <w:rPr>
                <w:bCs/>
                <w:color w:val="000000" w:themeColor="text1"/>
                <w14:textFill>
                  <w14:solidFill>
                    <w14:schemeClr w14:val="tx1"/>
                  </w14:solidFill>
                </w14:textFill>
              </w:rPr>
            </w:pPr>
            <w:r>
              <w:rPr>
                <w:bCs/>
                <w:color w:val="000000" w:themeColor="text1"/>
                <w14:textFill>
                  <w14:solidFill>
                    <w14:schemeClr w14:val="tx1"/>
                  </w14:solidFill>
                </w14:textFill>
              </w:rPr>
              <w:t>境影</w:t>
            </w:r>
          </w:p>
          <w:p>
            <w:pPr>
              <w:adjustRightInd w:val="0"/>
              <w:snapToGrid w:val="0"/>
              <w:jc w:val="center"/>
              <w:rPr>
                <w:bCs/>
                <w:color w:val="000000" w:themeColor="text1"/>
                <w14:textFill>
                  <w14:solidFill>
                    <w14:schemeClr w14:val="tx1"/>
                  </w14:solidFill>
                </w14:textFill>
              </w:rPr>
            </w:pPr>
            <w:r>
              <w:rPr>
                <w:bCs/>
                <w:color w:val="000000" w:themeColor="text1"/>
                <w14:textFill>
                  <w14:solidFill>
                    <w14:schemeClr w14:val="tx1"/>
                  </w14:solidFill>
                </w14:textFill>
              </w:rPr>
              <w:t>响和</w:t>
            </w:r>
          </w:p>
          <w:p>
            <w:pPr>
              <w:adjustRightInd w:val="0"/>
              <w:snapToGrid w:val="0"/>
              <w:jc w:val="center"/>
              <w:rPr>
                <w:bCs/>
                <w:color w:val="000000" w:themeColor="text1"/>
                <w14:textFill>
                  <w14:solidFill>
                    <w14:schemeClr w14:val="tx1"/>
                  </w14:solidFill>
                </w14:textFill>
              </w:rPr>
            </w:pPr>
            <w:r>
              <w:rPr>
                <w:bCs/>
                <w:color w:val="000000" w:themeColor="text1"/>
                <w14:textFill>
                  <w14:solidFill>
                    <w14:schemeClr w14:val="tx1"/>
                  </w14:solidFill>
                </w14:textFill>
              </w:rPr>
              <w:t>保护</w:t>
            </w:r>
          </w:p>
          <w:p>
            <w:pPr>
              <w:pStyle w:val="93"/>
              <w:adjustRightInd w:val="0"/>
              <w:snapToGrid w:val="0"/>
              <w:spacing w:before="0" w:beforeAutospacing="0" w:after="0" w:afterAutospacing="0"/>
              <w:jc w:val="center"/>
              <w:rPr>
                <w:rFonts w:ascii="Times New Roman" w:hAnsi="Times New Roman"/>
                <w:snapToGrid w:val="0"/>
                <w:color w:val="000000" w:themeColor="text1"/>
                <w:sz w:val="30"/>
                <w:szCs w:val="30"/>
                <w14:textFill>
                  <w14:solidFill>
                    <w14:schemeClr w14:val="tx1"/>
                  </w14:solidFill>
                </w14:textFill>
              </w:rPr>
            </w:pPr>
            <w:r>
              <w:rPr>
                <w:rFonts w:ascii="Times New Roman" w:hAnsi="Times New Roman"/>
                <w:bCs/>
                <w:color w:val="000000" w:themeColor="text1"/>
                <w:sz w:val="21"/>
                <w:szCs w:val="21"/>
                <w14:textFill>
                  <w14:solidFill>
                    <w14:schemeClr w14:val="tx1"/>
                  </w14:solidFill>
                </w14:textFill>
              </w:rPr>
              <w:t>措施</w:t>
            </w:r>
          </w:p>
        </w:tc>
        <w:tc>
          <w:tcPr>
            <w:tcW w:w="4774" w:type="pct"/>
          </w:tcPr>
          <w:p>
            <w:pPr>
              <w:adjustRightInd w:val="0"/>
              <w:spacing w:line="360" w:lineRule="auto"/>
              <w:ind w:firstLine="422" w:firstLineChars="200"/>
              <w:textAlignment w:val="baseline"/>
              <w:rPr>
                <w:b/>
              </w:rPr>
            </w:pPr>
            <w:r>
              <w:rPr>
                <w:rFonts w:hint="eastAsia"/>
                <w:b/>
              </w:rPr>
              <w:t>1.1</w:t>
            </w:r>
            <w:r>
              <w:rPr>
                <w:b/>
              </w:rPr>
              <w:t>源强核算过程</w:t>
            </w:r>
          </w:p>
          <w:p>
            <w:pPr>
              <w:adjustRightInd w:val="0"/>
              <w:snapToGrid w:val="0"/>
              <w:spacing w:line="360" w:lineRule="auto"/>
              <w:ind w:firstLine="422" w:firstLineChars="200"/>
              <w:textAlignment w:val="baseline"/>
              <w:rPr>
                <w:b/>
                <w:bCs/>
              </w:rPr>
            </w:pPr>
            <w:r>
              <w:rPr>
                <w:rFonts w:hint="eastAsia"/>
                <w:b/>
                <w:bCs/>
              </w:rPr>
              <w:t>（1）电熔烟尘</w:t>
            </w:r>
          </w:p>
          <w:p>
            <w:pPr>
              <w:adjustRightInd w:val="0"/>
              <w:snapToGrid w:val="0"/>
              <w:spacing w:line="360" w:lineRule="auto"/>
              <w:ind w:firstLine="420" w:firstLineChars="200"/>
              <w:textAlignment w:val="baseline"/>
            </w:pPr>
            <w:r>
              <w:t>本项目</w:t>
            </w:r>
            <w:r>
              <w:rPr>
                <w:rFonts w:hint="eastAsia"/>
              </w:rPr>
              <w:t>铝合金、</w:t>
            </w:r>
            <w:r>
              <w:t>锌合金在电熔化和压铸成型过程中会产生少量的烟尘，根据生态环境保护部《排放源统计调查产排污核算方法和系数手册》中“33-37，431-434机械行业系数手册”-“01铸造”-“熔炼（感应电炉/电阻炉及其他）”，颗粒物产污系数为0.525kg/t产品。本项目产品量1050t/a，电熔工序年运行300天，每天运行8小时（熔化2h、保温6h）则电熔烟尘产生量约0.5513t/a、产生速率约0.2297kg/h；</w:t>
            </w:r>
          </w:p>
          <w:p>
            <w:pPr>
              <w:adjustRightInd w:val="0"/>
              <w:snapToGrid w:val="0"/>
              <w:spacing w:line="360" w:lineRule="auto"/>
              <w:ind w:firstLine="422" w:firstLineChars="200"/>
              <w:textAlignment w:val="baseline"/>
              <w:rPr>
                <w:b/>
                <w:bCs/>
              </w:rPr>
            </w:pPr>
            <w:r>
              <w:rPr>
                <w:rFonts w:hint="eastAsia"/>
                <w:b/>
                <w:bCs/>
              </w:rPr>
              <w:t>（2）压铸废气</w:t>
            </w:r>
          </w:p>
          <w:p>
            <w:pPr>
              <w:adjustRightInd w:val="0"/>
              <w:snapToGrid w:val="0"/>
              <w:spacing w:line="360" w:lineRule="auto"/>
              <w:ind w:firstLine="422" w:firstLineChars="200"/>
              <w:textAlignment w:val="baseline"/>
              <w:rPr>
                <w:b/>
                <w:bCs/>
              </w:rPr>
            </w:pPr>
            <w:r>
              <w:rPr>
                <w:rFonts w:hint="eastAsia"/>
                <w:b/>
                <w:bCs/>
                <w:szCs w:val="16"/>
              </w:rPr>
              <w:t>①</w:t>
            </w:r>
            <w:r>
              <w:rPr>
                <w:rFonts w:hint="eastAsia"/>
                <w:b/>
                <w:bCs/>
              </w:rPr>
              <w:t>颗粒物</w:t>
            </w:r>
          </w:p>
          <w:p>
            <w:pPr>
              <w:adjustRightInd w:val="0"/>
              <w:snapToGrid w:val="0"/>
              <w:spacing w:line="360" w:lineRule="auto"/>
              <w:ind w:firstLine="420" w:firstLineChars="200"/>
              <w:textAlignment w:val="baseline"/>
            </w:pPr>
            <w:r>
              <w:t>对于压铸成型产生的烟尘，根据生态环境保护部《排放源统计调查产排污核算方法和系数手册》中“33-37，431-434机械行业系数手册”-“01铸造”-“造型/浇注(重力、低压：限金属型，石膏/陶瓷型/石墨型等)”，颗粒物产污系数为0.247kg/t产品。本项目产品量1050t/a，压铸工序年运行300天，每天运行6小时，因此压铸成型烟尘产生量约0.2593t/a，则产生速率约0.144</w:t>
            </w:r>
            <w:r>
              <w:rPr>
                <w:rFonts w:hint="eastAsia"/>
              </w:rPr>
              <w:t>1</w:t>
            </w:r>
            <w:r>
              <w:t>kg/h。</w:t>
            </w:r>
          </w:p>
          <w:p>
            <w:pPr>
              <w:adjustRightInd w:val="0"/>
              <w:snapToGrid w:val="0"/>
              <w:spacing w:line="360" w:lineRule="auto"/>
              <w:ind w:firstLine="422" w:firstLineChars="200"/>
              <w:textAlignment w:val="baseline"/>
              <w:rPr>
                <w:b/>
                <w:bCs/>
              </w:rPr>
            </w:pPr>
            <w:r>
              <w:rPr>
                <w:rFonts w:hint="eastAsia"/>
                <w:b/>
                <w:bCs/>
                <w:szCs w:val="16"/>
              </w:rPr>
              <w:t>②非甲烷总烃</w:t>
            </w:r>
          </w:p>
          <w:p>
            <w:pPr>
              <w:adjustRightInd w:val="0"/>
              <w:snapToGrid w:val="0"/>
              <w:spacing w:line="360" w:lineRule="auto"/>
              <w:ind w:firstLine="420" w:firstLineChars="200"/>
              <w:textAlignment w:val="baseline"/>
            </w:pPr>
            <w:r>
              <w:rPr>
                <w:rFonts w:hint="eastAsia"/>
              </w:rPr>
              <w:t>项目压铸过程会使用脱模剂，脱模剂会产生有机废气，以非甲烷总烃表征，根据脱模剂的MSDS以及其挥发性组分检测报告SGS（详见附件5）其挥发性组分未检出，本环评按照方法检出限2g/L计算，脱模剂的密度为0.98kg/L，</w:t>
            </w:r>
            <w:r>
              <w:t>本项目脱模剂用量4t/a，则压铸成型工序非甲烷总烃产生量约</w:t>
            </w:r>
            <w:r>
              <w:rPr>
                <w:rFonts w:hint="eastAsia"/>
              </w:rPr>
              <w:t>0.00816</w:t>
            </w:r>
            <w:r>
              <w:t>t/a、产生速率约0.</w:t>
            </w:r>
            <w:r>
              <w:rPr>
                <w:rFonts w:hint="eastAsia"/>
              </w:rPr>
              <w:t>0034</w:t>
            </w:r>
            <w:r>
              <w:t>kg/h。</w:t>
            </w:r>
          </w:p>
          <w:p>
            <w:pPr>
              <w:adjustRightInd w:val="0"/>
              <w:snapToGrid w:val="0"/>
              <w:spacing w:line="360" w:lineRule="auto"/>
              <w:ind w:firstLine="422" w:firstLineChars="200"/>
              <w:textAlignment w:val="baseline"/>
              <w:rPr>
                <w:b/>
                <w:bCs/>
              </w:rPr>
            </w:pPr>
            <w:r>
              <w:rPr>
                <w:rFonts w:hint="eastAsia"/>
                <w:b/>
                <w:bCs/>
              </w:rPr>
              <w:t>废气收集及处理设施</w:t>
            </w:r>
          </w:p>
          <w:p>
            <w:pPr>
              <w:spacing w:line="360" w:lineRule="auto"/>
              <w:ind w:firstLine="420" w:firstLineChars="200"/>
            </w:pPr>
            <w:r>
              <w:rPr>
                <w:rFonts w:hint="eastAsia"/>
              </w:rPr>
              <w:t>建设单位拟在每套压铸机上方设置集气罩，将废气进行包围收集，集气罩装置分为定板侧收集罩与活动收集罩，定板侧收集罩用螺丝固定于压铸机上方，活动收集罩安装在固定支架的滑动导轨上，工作时定板侧收集罩与活动收集罩合拢，收集罩的开合可以采用电机进行驱动。压铸机的压室与熔炉是分开的，建设单位拟在熔炉四周设置围挡，仅保留一个物料进出通道，上方设置集气罩，因此废气可以包围收集。废气经集中收集后引至“水喷淋塔+干式过滤器+二级活性炭吸附装置”进行处理，处理达标后通过DA001排气筒排放。</w:t>
            </w:r>
          </w:p>
          <w:p>
            <w:pPr>
              <w:adjustRightInd w:val="0"/>
              <w:snapToGrid w:val="0"/>
              <w:spacing w:line="360" w:lineRule="auto"/>
              <w:ind w:firstLine="422" w:firstLineChars="200"/>
              <w:textAlignment w:val="baseline"/>
            </w:pPr>
            <w:r>
              <w:rPr>
                <w:rFonts w:hint="eastAsia"/>
                <w:b/>
                <w:bCs/>
              </w:rPr>
              <w:t>风量：</w:t>
            </w:r>
            <w:r>
              <w:t>根据《三废处理工程技术手册》（废气卷）中外部集气管道风量确定计算公式：</w:t>
            </w:r>
          </w:p>
          <w:p>
            <w:pPr>
              <w:widowControl/>
              <w:adjustRightInd w:val="0"/>
              <w:snapToGrid w:val="0"/>
              <w:spacing w:line="360" w:lineRule="auto"/>
              <w:ind w:firstLine="420" w:firstLineChars="200"/>
              <w:jc w:val="center"/>
            </w:pPr>
            <w:r>
              <w:t>Q=3600（5x</w:t>
            </w:r>
            <w:r>
              <w:rPr>
                <w:vertAlign w:val="superscript"/>
              </w:rPr>
              <w:t>2</w:t>
            </w:r>
            <w:r>
              <w:t>+F）×Vx</w:t>
            </w:r>
          </w:p>
          <w:p>
            <w:pPr>
              <w:widowControl/>
              <w:adjustRightInd w:val="0"/>
              <w:snapToGrid w:val="0"/>
              <w:spacing w:line="360" w:lineRule="auto"/>
              <w:ind w:firstLine="420" w:firstLineChars="200"/>
            </w:pPr>
            <w:r>
              <w:t xml:space="preserve">其中：x——气罩至污染源的距离（m）； </w:t>
            </w:r>
          </w:p>
          <w:p>
            <w:pPr>
              <w:widowControl/>
              <w:adjustRightInd w:val="0"/>
              <w:snapToGrid w:val="0"/>
              <w:spacing w:line="360" w:lineRule="auto"/>
              <w:ind w:firstLine="420" w:firstLineChars="200"/>
            </w:pPr>
            <w:r>
              <w:t>F——集气罩罩口面积（m</w:t>
            </w:r>
            <w:r>
              <w:rPr>
                <w:vertAlign w:val="superscript"/>
              </w:rPr>
              <w:t>2</w:t>
            </w:r>
            <w:r>
              <w:t xml:space="preserve">）； </w:t>
            </w:r>
          </w:p>
          <w:p>
            <w:pPr>
              <w:widowControl/>
              <w:adjustRightInd w:val="0"/>
              <w:snapToGrid w:val="0"/>
              <w:spacing w:line="360" w:lineRule="auto"/>
              <w:ind w:firstLine="420" w:firstLineChars="200"/>
            </w:pPr>
            <w:r>
              <w:t>V</w:t>
            </w:r>
            <w:r>
              <w:rPr>
                <w:vertAlign w:val="subscript"/>
              </w:rPr>
              <w:t>X</w:t>
            </w:r>
            <w:r>
              <w:t>——控制风速（m/s）。</w:t>
            </w:r>
          </w:p>
          <w:p>
            <w:pPr>
              <w:widowControl/>
              <w:spacing w:before="120" w:beforeLines="50" w:line="360" w:lineRule="auto"/>
              <w:jc w:val="center"/>
              <w:rPr>
                <w:b/>
              </w:rPr>
            </w:pPr>
            <w:r>
              <w:rPr>
                <w:b/>
              </w:rPr>
              <w:t>表 4-2 项目压铸有机废气收集风量设计参数表</w:t>
            </w:r>
          </w:p>
          <w:tbl>
            <w:tblPr>
              <w:tblStyle w:val="101"/>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8"/>
              <w:gridCol w:w="1467"/>
              <w:gridCol w:w="1058"/>
              <w:gridCol w:w="1326"/>
              <w:gridCol w:w="1326"/>
              <w:gridCol w:w="1340"/>
              <w:gridCol w:w="13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775" w:type="pct"/>
                  <w:vAlign w:val="center"/>
                </w:tcPr>
                <w:p>
                  <w:pPr>
                    <w:widowControl/>
                    <w:adjustRightInd w:val="0"/>
                    <w:snapToGrid w:val="0"/>
                    <w:jc w:val="center"/>
                    <w:rPr>
                      <w:b/>
                      <w:bCs/>
                    </w:rPr>
                  </w:pPr>
                  <w:r>
                    <w:rPr>
                      <w:b/>
                      <w:bCs/>
                    </w:rPr>
                    <w:t>设备</w:t>
                  </w:r>
                </w:p>
              </w:tc>
              <w:tc>
                <w:tcPr>
                  <w:tcW w:w="790" w:type="pct"/>
                  <w:vAlign w:val="center"/>
                </w:tcPr>
                <w:p>
                  <w:pPr>
                    <w:widowControl/>
                    <w:adjustRightInd w:val="0"/>
                    <w:snapToGrid w:val="0"/>
                    <w:jc w:val="center"/>
                    <w:rPr>
                      <w:b/>
                      <w:bCs/>
                    </w:rPr>
                  </w:pPr>
                  <w:r>
                    <w:rPr>
                      <w:b/>
                      <w:bCs/>
                    </w:rPr>
                    <w:t>集气罩至污染源的距离（m）</w:t>
                  </w:r>
                </w:p>
              </w:tc>
              <w:tc>
                <w:tcPr>
                  <w:tcW w:w="570" w:type="pct"/>
                  <w:vAlign w:val="center"/>
                </w:tcPr>
                <w:p>
                  <w:pPr>
                    <w:widowControl/>
                    <w:adjustRightInd w:val="0"/>
                    <w:snapToGrid w:val="0"/>
                    <w:jc w:val="center"/>
                    <w:rPr>
                      <w:b/>
                      <w:bCs/>
                    </w:rPr>
                  </w:pPr>
                  <w:r>
                    <w:rPr>
                      <w:b/>
                      <w:bCs/>
                    </w:rPr>
                    <w:t>集气罩口面积（m</w:t>
                  </w:r>
                  <w:r>
                    <w:rPr>
                      <w:b/>
                      <w:bCs/>
                      <w:vertAlign w:val="superscript"/>
                    </w:rPr>
                    <w:t>2</w:t>
                  </w:r>
                  <w:r>
                    <w:rPr>
                      <w:b/>
                      <w:bCs/>
                    </w:rPr>
                    <w:t>）</w:t>
                  </w:r>
                </w:p>
              </w:tc>
              <w:tc>
                <w:tcPr>
                  <w:tcW w:w="714" w:type="pct"/>
                  <w:vAlign w:val="center"/>
                </w:tcPr>
                <w:p>
                  <w:pPr>
                    <w:widowControl/>
                    <w:adjustRightInd w:val="0"/>
                    <w:snapToGrid w:val="0"/>
                    <w:jc w:val="center"/>
                    <w:rPr>
                      <w:b/>
                      <w:bCs/>
                    </w:rPr>
                  </w:pPr>
                  <w:r>
                    <w:rPr>
                      <w:b/>
                      <w:bCs/>
                    </w:rPr>
                    <w:t>控制风速（m/s）</w:t>
                  </w:r>
                </w:p>
              </w:tc>
              <w:tc>
                <w:tcPr>
                  <w:tcW w:w="714" w:type="pct"/>
                  <w:vAlign w:val="center"/>
                </w:tcPr>
                <w:p>
                  <w:pPr>
                    <w:widowControl/>
                    <w:adjustRightInd w:val="0"/>
                    <w:snapToGrid w:val="0"/>
                    <w:jc w:val="center"/>
                    <w:rPr>
                      <w:b/>
                      <w:bCs/>
                    </w:rPr>
                  </w:pPr>
                  <w:r>
                    <w:rPr>
                      <w:b/>
                      <w:bCs/>
                    </w:rPr>
                    <w:t>单个</w:t>
                  </w:r>
                  <w:r>
                    <w:rPr>
                      <w:rFonts w:hint="eastAsia"/>
                      <w:b/>
                      <w:bCs/>
                    </w:rPr>
                    <w:t>集气</w:t>
                  </w:r>
                  <w:r>
                    <w:rPr>
                      <w:b/>
                      <w:bCs/>
                    </w:rPr>
                    <w:t>设施风量（m</w:t>
                  </w:r>
                  <w:r>
                    <w:rPr>
                      <w:b/>
                      <w:bCs/>
                      <w:vertAlign w:val="superscript"/>
                    </w:rPr>
                    <w:t>3</w:t>
                  </w:r>
                  <w:r>
                    <w:rPr>
                      <w:b/>
                      <w:bCs/>
                    </w:rPr>
                    <w:t>/h）</w:t>
                  </w:r>
                </w:p>
              </w:tc>
              <w:tc>
                <w:tcPr>
                  <w:tcW w:w="720" w:type="pct"/>
                  <w:vAlign w:val="center"/>
                </w:tcPr>
                <w:p>
                  <w:pPr>
                    <w:widowControl/>
                    <w:adjustRightInd w:val="0"/>
                    <w:snapToGrid w:val="0"/>
                    <w:jc w:val="center"/>
                    <w:rPr>
                      <w:b/>
                      <w:bCs/>
                    </w:rPr>
                  </w:pPr>
                  <w:r>
                    <w:rPr>
                      <w:b/>
                      <w:bCs/>
                    </w:rPr>
                    <w:t>集气设施数量（个）</w:t>
                  </w:r>
                </w:p>
              </w:tc>
              <w:tc>
                <w:tcPr>
                  <w:tcW w:w="714" w:type="pct"/>
                  <w:vAlign w:val="center"/>
                </w:tcPr>
                <w:p>
                  <w:pPr>
                    <w:widowControl/>
                    <w:adjustRightInd w:val="0"/>
                    <w:snapToGrid w:val="0"/>
                    <w:jc w:val="center"/>
                    <w:rPr>
                      <w:b/>
                      <w:bCs/>
                    </w:rPr>
                  </w:pPr>
                  <w:r>
                    <w:rPr>
                      <w:b/>
                      <w:bCs/>
                    </w:rPr>
                    <w:t>风量（m</w:t>
                  </w:r>
                  <w:r>
                    <w:rPr>
                      <w:b/>
                      <w:bCs/>
                      <w:vertAlign w:val="superscript"/>
                    </w:rPr>
                    <w:t>3</w:t>
                  </w:r>
                  <w:r>
                    <w:rPr>
                      <w:b/>
                      <w:bCs/>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pct"/>
                  <w:vAlign w:val="center"/>
                </w:tcPr>
                <w:p>
                  <w:pPr>
                    <w:widowControl/>
                    <w:adjustRightInd w:val="0"/>
                    <w:snapToGrid w:val="0"/>
                    <w:jc w:val="center"/>
                  </w:pPr>
                  <w:r>
                    <w:t>压铸机（熔炉）</w:t>
                  </w:r>
                </w:p>
              </w:tc>
              <w:tc>
                <w:tcPr>
                  <w:tcW w:w="790" w:type="pct"/>
                  <w:vAlign w:val="center"/>
                </w:tcPr>
                <w:p>
                  <w:pPr>
                    <w:widowControl/>
                    <w:adjustRightInd w:val="0"/>
                    <w:snapToGrid w:val="0"/>
                    <w:jc w:val="center"/>
                  </w:pPr>
                  <w:r>
                    <w:t>0.3</w:t>
                  </w:r>
                </w:p>
              </w:tc>
              <w:tc>
                <w:tcPr>
                  <w:tcW w:w="570" w:type="pct"/>
                  <w:vAlign w:val="center"/>
                </w:tcPr>
                <w:p>
                  <w:pPr>
                    <w:widowControl/>
                    <w:adjustRightInd w:val="0"/>
                    <w:snapToGrid w:val="0"/>
                    <w:jc w:val="center"/>
                  </w:pPr>
                  <w:r>
                    <w:t>0.36</w:t>
                  </w:r>
                </w:p>
              </w:tc>
              <w:tc>
                <w:tcPr>
                  <w:tcW w:w="714" w:type="pct"/>
                  <w:vAlign w:val="center"/>
                </w:tcPr>
                <w:p>
                  <w:pPr>
                    <w:widowControl/>
                    <w:adjustRightInd w:val="0"/>
                    <w:snapToGrid w:val="0"/>
                    <w:jc w:val="center"/>
                  </w:pPr>
                  <w:r>
                    <w:t>0.</w:t>
                  </w:r>
                  <w:r>
                    <w:rPr>
                      <w:rFonts w:hint="eastAsia"/>
                    </w:rPr>
                    <w:t>6</w:t>
                  </w:r>
                </w:p>
              </w:tc>
              <w:tc>
                <w:tcPr>
                  <w:tcW w:w="714" w:type="pct"/>
                  <w:vAlign w:val="center"/>
                </w:tcPr>
                <w:p>
                  <w:pPr>
                    <w:widowControl/>
                    <w:adjustRightInd w:val="0"/>
                    <w:snapToGrid w:val="0"/>
                    <w:jc w:val="center"/>
                  </w:pPr>
                  <w:r>
                    <w:rPr>
                      <w:rFonts w:hint="eastAsia"/>
                    </w:rPr>
                    <w:t>777.6</w:t>
                  </w:r>
                </w:p>
              </w:tc>
              <w:tc>
                <w:tcPr>
                  <w:tcW w:w="720" w:type="pct"/>
                  <w:vAlign w:val="center"/>
                </w:tcPr>
                <w:p>
                  <w:pPr>
                    <w:widowControl/>
                    <w:adjustRightInd w:val="0"/>
                    <w:snapToGrid w:val="0"/>
                    <w:jc w:val="center"/>
                  </w:pPr>
                  <w:r>
                    <w:t>9</w:t>
                  </w:r>
                </w:p>
              </w:tc>
              <w:tc>
                <w:tcPr>
                  <w:tcW w:w="714" w:type="pct"/>
                  <w:vAlign w:val="center"/>
                </w:tcPr>
                <w:p>
                  <w:pPr>
                    <w:widowControl/>
                    <w:adjustRightInd w:val="0"/>
                    <w:snapToGrid w:val="0"/>
                    <w:jc w:val="center"/>
                  </w:pPr>
                  <w:r>
                    <w:rPr>
                      <w:rFonts w:hint="eastAsia"/>
                    </w:rPr>
                    <w:t>6998.4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75" w:type="pct"/>
                  <w:vAlign w:val="center"/>
                </w:tcPr>
                <w:p>
                  <w:pPr>
                    <w:widowControl/>
                    <w:adjustRightInd w:val="0"/>
                    <w:snapToGrid w:val="0"/>
                    <w:jc w:val="center"/>
                  </w:pPr>
                  <w:r>
                    <w:t>压铸机（压铸室）</w:t>
                  </w:r>
                </w:p>
              </w:tc>
              <w:tc>
                <w:tcPr>
                  <w:tcW w:w="790" w:type="pct"/>
                  <w:vAlign w:val="center"/>
                </w:tcPr>
                <w:p>
                  <w:pPr>
                    <w:widowControl/>
                    <w:adjustRightInd w:val="0"/>
                    <w:snapToGrid w:val="0"/>
                    <w:jc w:val="center"/>
                  </w:pPr>
                  <w:r>
                    <w:t>0.3</w:t>
                  </w:r>
                </w:p>
              </w:tc>
              <w:tc>
                <w:tcPr>
                  <w:tcW w:w="570" w:type="pct"/>
                  <w:vAlign w:val="center"/>
                </w:tcPr>
                <w:p>
                  <w:pPr>
                    <w:widowControl/>
                    <w:adjustRightInd w:val="0"/>
                    <w:snapToGrid w:val="0"/>
                    <w:jc w:val="center"/>
                  </w:pPr>
                  <w:r>
                    <w:t>0.13</w:t>
                  </w:r>
                </w:p>
              </w:tc>
              <w:tc>
                <w:tcPr>
                  <w:tcW w:w="714" w:type="pct"/>
                  <w:vAlign w:val="center"/>
                </w:tcPr>
                <w:p>
                  <w:pPr>
                    <w:widowControl/>
                    <w:adjustRightInd w:val="0"/>
                    <w:snapToGrid w:val="0"/>
                    <w:jc w:val="center"/>
                  </w:pPr>
                  <w:r>
                    <w:t>0.</w:t>
                  </w:r>
                  <w:r>
                    <w:rPr>
                      <w:rFonts w:hint="eastAsia"/>
                    </w:rPr>
                    <w:t>6</w:t>
                  </w:r>
                </w:p>
              </w:tc>
              <w:tc>
                <w:tcPr>
                  <w:tcW w:w="714" w:type="pct"/>
                  <w:vAlign w:val="center"/>
                </w:tcPr>
                <w:p>
                  <w:pPr>
                    <w:widowControl/>
                    <w:adjustRightInd w:val="0"/>
                    <w:snapToGrid w:val="0"/>
                    <w:jc w:val="center"/>
                  </w:pPr>
                  <w:r>
                    <w:t>2</w:t>
                  </w:r>
                  <w:r>
                    <w:rPr>
                      <w:rFonts w:hint="eastAsia"/>
                    </w:rPr>
                    <w:t>80.8</w:t>
                  </w:r>
                </w:p>
              </w:tc>
              <w:tc>
                <w:tcPr>
                  <w:tcW w:w="720" w:type="pct"/>
                  <w:vAlign w:val="center"/>
                </w:tcPr>
                <w:p>
                  <w:pPr>
                    <w:widowControl/>
                    <w:adjustRightInd w:val="0"/>
                    <w:snapToGrid w:val="0"/>
                    <w:jc w:val="center"/>
                  </w:pPr>
                  <w:r>
                    <w:t>9</w:t>
                  </w:r>
                </w:p>
              </w:tc>
              <w:tc>
                <w:tcPr>
                  <w:tcW w:w="714" w:type="pct"/>
                  <w:vAlign w:val="center"/>
                </w:tcPr>
                <w:p>
                  <w:pPr>
                    <w:widowControl/>
                    <w:adjustRightInd w:val="0"/>
                    <w:snapToGrid w:val="0"/>
                    <w:jc w:val="center"/>
                  </w:pPr>
                  <w:r>
                    <w:t>2</w:t>
                  </w:r>
                  <w:r>
                    <w:rPr>
                      <w:rFonts w:hint="eastAsia"/>
                    </w:rPr>
                    <w:t>527.2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285" w:type="pct"/>
                  <w:gridSpan w:val="6"/>
                  <w:vAlign w:val="center"/>
                </w:tcPr>
                <w:p>
                  <w:pPr>
                    <w:widowControl/>
                    <w:adjustRightInd w:val="0"/>
                    <w:snapToGrid w:val="0"/>
                    <w:jc w:val="center"/>
                  </w:pPr>
                  <w:r>
                    <w:t>合计</w:t>
                  </w:r>
                </w:p>
              </w:tc>
              <w:tc>
                <w:tcPr>
                  <w:tcW w:w="714" w:type="pct"/>
                  <w:vAlign w:val="center"/>
                </w:tcPr>
                <w:p>
                  <w:pPr>
                    <w:widowControl/>
                    <w:adjustRightInd w:val="0"/>
                    <w:snapToGrid w:val="0"/>
                    <w:jc w:val="center"/>
                  </w:pPr>
                  <w:r>
                    <w:rPr>
                      <w:rFonts w:hint="eastAsia"/>
                    </w:rPr>
                    <w:t>9525.6</w:t>
                  </w:r>
                </w:p>
              </w:tc>
            </w:tr>
          </w:tbl>
          <w:p>
            <w:pPr>
              <w:adjustRightInd w:val="0"/>
              <w:snapToGrid w:val="0"/>
              <w:spacing w:before="120" w:beforeLines="50" w:line="360" w:lineRule="auto"/>
              <w:ind w:firstLine="420" w:firstLineChars="200"/>
              <w:rPr>
                <w:bCs/>
              </w:rPr>
            </w:pPr>
            <w:r>
              <w:rPr>
                <w:bCs/>
              </w:rPr>
              <w:t xml:space="preserve">根据《废气处理工程技术手册》，风机选型应该在净化系统设计总排风量上附加风管和设备的漏风量： </w:t>
            </w:r>
          </w:p>
          <w:p>
            <w:pPr>
              <w:adjustRightInd w:val="0"/>
              <w:snapToGrid w:val="0"/>
              <w:spacing w:before="120" w:beforeLines="50" w:line="360" w:lineRule="auto"/>
              <w:jc w:val="center"/>
              <w:rPr>
                <w:bCs/>
              </w:rPr>
            </w:pPr>
            <w:r>
              <w:rPr>
                <w:bCs/>
              </w:rPr>
              <w:t>Q=K</w:t>
            </w:r>
            <w:r>
              <w:rPr>
                <w:bCs/>
                <w:vertAlign w:val="subscript"/>
              </w:rPr>
              <w:t>1</w:t>
            </w:r>
            <w:r>
              <w:rPr>
                <w:bCs/>
              </w:rPr>
              <w:t>K</w:t>
            </w:r>
            <w:r>
              <w:rPr>
                <w:bCs/>
                <w:vertAlign w:val="subscript"/>
              </w:rPr>
              <w:t>2</w:t>
            </w:r>
            <w:r>
              <w:rPr>
                <w:bCs/>
              </w:rPr>
              <w:t>Q</w:t>
            </w:r>
          </w:p>
          <w:p>
            <w:pPr>
              <w:adjustRightInd w:val="0"/>
              <w:snapToGrid w:val="0"/>
              <w:spacing w:before="120" w:beforeLines="50" w:line="360" w:lineRule="auto"/>
              <w:ind w:firstLine="420" w:firstLineChars="200"/>
              <w:rPr>
                <w:bCs/>
              </w:rPr>
            </w:pPr>
            <w:r>
              <w:rPr>
                <w:bCs/>
              </w:rPr>
              <w:t>其中：Q——系统设计最大总排风量，m</w:t>
            </w:r>
            <w:r>
              <w:rPr>
                <w:bCs/>
                <w:vertAlign w:val="superscript"/>
              </w:rPr>
              <w:t>3</w:t>
            </w:r>
            <w:r>
              <w:rPr>
                <w:bCs/>
              </w:rPr>
              <w:t xml:space="preserve">/h； </w:t>
            </w:r>
          </w:p>
          <w:p>
            <w:pPr>
              <w:adjustRightInd w:val="0"/>
              <w:snapToGrid w:val="0"/>
              <w:spacing w:before="120" w:beforeLines="50" w:line="360" w:lineRule="auto"/>
              <w:ind w:firstLine="420" w:firstLineChars="200"/>
              <w:rPr>
                <w:bCs/>
              </w:rPr>
            </w:pPr>
            <w:r>
              <w:rPr>
                <w:bCs/>
              </w:rPr>
              <w:t>K</w:t>
            </w:r>
            <w:r>
              <w:rPr>
                <w:bCs/>
                <w:vertAlign w:val="subscript"/>
              </w:rPr>
              <w:t>1</w:t>
            </w:r>
            <w:r>
              <w:rPr>
                <w:bCs/>
              </w:rPr>
              <w:t>——管道漏风附加系数，一般送、排风系统K</w:t>
            </w:r>
            <w:r>
              <w:rPr>
                <w:bCs/>
                <w:vertAlign w:val="subscript"/>
              </w:rPr>
              <w:t>1</w:t>
            </w:r>
            <w:r>
              <w:rPr>
                <w:bCs/>
              </w:rPr>
              <w:t xml:space="preserve">=1.05~1.1，除尘系统K=1.1~1.15，气力输送系统K =1.15； </w:t>
            </w:r>
          </w:p>
          <w:p>
            <w:pPr>
              <w:adjustRightInd w:val="0"/>
              <w:snapToGrid w:val="0"/>
              <w:spacing w:before="120" w:beforeLines="50" w:line="360" w:lineRule="auto"/>
              <w:ind w:firstLine="420" w:firstLineChars="200"/>
              <w:rPr>
                <w:bCs/>
              </w:rPr>
            </w:pPr>
            <w:r>
              <w:rPr>
                <w:bCs/>
              </w:rPr>
              <w:t>K</w:t>
            </w:r>
            <w:r>
              <w:rPr>
                <w:bCs/>
                <w:vertAlign w:val="subscript"/>
              </w:rPr>
              <w:t>2</w:t>
            </w:r>
            <w:r>
              <w:rPr>
                <w:bCs/>
              </w:rPr>
              <w:t xml:space="preserve">——设备漏风附加系数，K一般处于1.02~1.05范围。 </w:t>
            </w:r>
          </w:p>
          <w:p>
            <w:pPr>
              <w:adjustRightInd w:val="0"/>
              <w:snapToGrid w:val="0"/>
              <w:spacing w:line="360" w:lineRule="auto"/>
              <w:ind w:firstLine="420" w:firstLineChars="200"/>
              <w:textAlignment w:val="baseline"/>
              <w:rPr>
                <w:b/>
                <w:bCs/>
              </w:rPr>
            </w:pPr>
            <w:r>
              <w:rPr>
                <w:bCs/>
              </w:rPr>
              <w:t>经验公式计算得出本项目排气筒（DA001）的总风量为</w:t>
            </w:r>
            <w:r>
              <w:rPr>
                <w:rFonts w:hint="eastAsia"/>
                <w:bCs/>
              </w:rPr>
              <w:t>9525.6</w:t>
            </w:r>
            <w:r>
              <w:rPr>
                <w:bCs/>
              </w:rPr>
              <w:t>m</w:t>
            </w:r>
            <w:r>
              <w:rPr>
                <w:bCs/>
                <w:vertAlign w:val="superscript"/>
              </w:rPr>
              <w:t>3</w:t>
            </w:r>
            <w:r>
              <w:rPr>
                <w:bCs/>
              </w:rPr>
              <w:t>/h，考虑风管和设备的漏风量，管道漏风附加系数取1.1，设备漏风附加系数取1.05，因此排气筒（DA001）中设置风机风量为</w:t>
            </w:r>
            <w:r>
              <w:rPr>
                <w:rFonts w:hint="eastAsia"/>
                <w:bCs/>
              </w:rPr>
              <w:t>11002.07</w:t>
            </w:r>
            <w:r>
              <w:rPr>
                <w:bCs/>
              </w:rPr>
              <w:t>m</w:t>
            </w:r>
            <w:r>
              <w:rPr>
                <w:bCs/>
                <w:vertAlign w:val="superscript"/>
              </w:rPr>
              <w:t>3</w:t>
            </w:r>
            <w:r>
              <w:rPr>
                <w:bCs/>
              </w:rPr>
              <w:t>/h ，</w:t>
            </w:r>
            <w:r>
              <w:rPr>
                <w:rFonts w:hint="eastAsia"/>
                <w:bCs/>
              </w:rPr>
              <w:t>取11000</w:t>
            </w:r>
            <w:r>
              <w:rPr>
                <w:bCs/>
              </w:rPr>
              <w:t>m</w:t>
            </w:r>
            <w:r>
              <w:rPr>
                <w:bCs/>
                <w:vertAlign w:val="superscript"/>
              </w:rPr>
              <w:t>3</w:t>
            </w:r>
            <w:r>
              <w:rPr>
                <w:bCs/>
              </w:rPr>
              <w:t>/h</w:t>
            </w:r>
            <w:r>
              <w:rPr>
                <w:rFonts w:hint="eastAsia"/>
                <w:bCs/>
              </w:rPr>
              <w:t>。</w:t>
            </w:r>
          </w:p>
          <w:p>
            <w:pPr>
              <w:adjustRightInd w:val="0"/>
              <w:snapToGrid w:val="0"/>
              <w:spacing w:line="360" w:lineRule="auto"/>
              <w:ind w:firstLine="422" w:firstLineChars="200"/>
              <w:textAlignment w:val="baseline"/>
              <w:rPr>
                <w:bCs/>
              </w:rPr>
            </w:pPr>
            <w:r>
              <w:rPr>
                <w:rFonts w:hint="eastAsia"/>
                <w:b/>
              </w:rPr>
              <w:t>收集效率：</w:t>
            </w:r>
            <w:r>
              <w:rPr>
                <w:rFonts w:hint="eastAsia"/>
                <w:bCs/>
              </w:rPr>
              <w:t>根据</w:t>
            </w:r>
            <w:r>
              <w:rPr>
                <w:rFonts w:hint="eastAsia"/>
              </w:rPr>
              <w:t>《广东省工业源挥发性有机物减排量核算方法（试行）》表4</w:t>
            </w:r>
            <w:r>
              <w:t>.5-1</w:t>
            </w:r>
            <w:r>
              <w:rPr>
                <w:rFonts w:hint="eastAsia"/>
              </w:rPr>
              <w:t>废气收集集气效率参考值，敞开面控制风速不小于0</w:t>
            </w:r>
            <w:r>
              <w:t>.5</w:t>
            </w:r>
            <w:r>
              <w:rPr>
                <w:rFonts w:hint="eastAsia"/>
              </w:rPr>
              <w:t>m</w:t>
            </w:r>
            <w:r>
              <w:t>/</w:t>
            </w:r>
            <w:r>
              <w:rPr>
                <w:rFonts w:hint="eastAsia"/>
              </w:rPr>
              <w:t>s的包围型集气设备集气效率为8</w:t>
            </w:r>
            <w:r>
              <w:t>0</w:t>
            </w:r>
            <w:r>
              <w:rPr>
                <w:rFonts w:hint="eastAsia"/>
              </w:rPr>
              <w:t>%，因此收集率取</w:t>
            </w:r>
            <w:r>
              <w:t>80</w:t>
            </w:r>
            <w:r>
              <w:rPr>
                <w:rFonts w:hint="eastAsia"/>
              </w:rPr>
              <w:t>%</w:t>
            </w:r>
            <w:r>
              <w:rPr>
                <w:rFonts w:hint="eastAsia"/>
                <w:bCs/>
              </w:rPr>
              <w:t>。</w:t>
            </w:r>
          </w:p>
          <w:p>
            <w:pPr>
              <w:adjustRightInd w:val="0"/>
              <w:snapToGrid w:val="0"/>
              <w:spacing w:line="360" w:lineRule="auto"/>
              <w:ind w:firstLine="422" w:firstLineChars="200"/>
              <w:textAlignment w:val="baseline"/>
            </w:pPr>
            <w:r>
              <w:rPr>
                <w:rFonts w:hint="eastAsia"/>
                <w:b/>
              </w:rPr>
              <w:t>处理效率：</w:t>
            </w:r>
            <w:r>
              <w:rPr>
                <w:rFonts w:hint="eastAsia"/>
                <w:bCs/>
              </w:rPr>
              <w:t>根据《大气污染控制技术手册》（化学工业出版社、马广大主编），水喷淋湿法除尘器的除尘效率在85～95%，本评价取值90%；根据《深圳市典型行业工艺废气排污量核算方法（试行）》表6挥发性有机物治理设施及达标要求，活性炭吸附治理效率为70%，因此二级活性吸附去除率取70%。电熔、压铸工序废气产排情况见下表所示：</w:t>
            </w:r>
          </w:p>
          <w:p>
            <w:pPr>
              <w:widowControl/>
              <w:spacing w:before="120" w:beforeLines="50" w:line="360" w:lineRule="auto"/>
              <w:jc w:val="center"/>
              <w:rPr>
                <w:b/>
              </w:rPr>
            </w:pPr>
            <w:r>
              <w:rPr>
                <w:b/>
              </w:rPr>
              <w:t>表</w:t>
            </w:r>
            <w:r>
              <w:rPr>
                <w:rFonts w:hint="eastAsia"/>
                <w:b/>
              </w:rPr>
              <w:t>4-3</w:t>
            </w:r>
            <w:r>
              <w:rPr>
                <w:b/>
              </w:rPr>
              <w:t xml:space="preserve"> </w:t>
            </w:r>
            <w:r>
              <w:rPr>
                <w:rFonts w:hint="eastAsia"/>
                <w:b/>
              </w:rPr>
              <w:t>项目电熔、压铸废气</w:t>
            </w:r>
            <w:r>
              <w:rPr>
                <w:b/>
              </w:rPr>
              <w:t>污染源强核算</w:t>
            </w:r>
            <w:r>
              <w:rPr>
                <w:rFonts w:hint="eastAsia"/>
                <w:b/>
              </w:rPr>
              <w:t>过程</w:t>
            </w:r>
            <w:r>
              <w:rPr>
                <w:b/>
              </w:rPr>
              <w:t>一览表</w:t>
            </w:r>
          </w:p>
          <w:tbl>
            <w:tblPr>
              <w:tblStyle w:val="100"/>
              <w:tblW w:w="5000" w:type="pct"/>
              <w:tblInd w:w="0" w:type="dxa"/>
              <w:tblBorders>
                <w:top w:val="single" w:color="auto" w:sz="12" w:space="0"/>
                <w:left w:val="single" w:color="auto" w:sz="4" w:space="0"/>
                <w:bottom w:val="single" w:color="auto" w:sz="12"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372"/>
              <w:gridCol w:w="650"/>
              <w:gridCol w:w="693"/>
              <w:gridCol w:w="693"/>
              <w:gridCol w:w="713"/>
              <w:gridCol w:w="694"/>
              <w:gridCol w:w="395"/>
              <w:gridCol w:w="415"/>
              <w:gridCol w:w="850"/>
              <w:gridCol w:w="713"/>
              <w:gridCol w:w="693"/>
              <w:gridCol w:w="648"/>
              <w:gridCol w:w="713"/>
              <w:gridCol w:w="588"/>
              <w:gridCol w:w="458"/>
            </w:tblGrid>
            <w:tr>
              <w:tblPrEx>
                <w:tblBorders>
                  <w:top w:val="single" w:color="auto" w:sz="12" w:space="0"/>
                  <w:left w:val="single" w:color="auto" w:sz="4" w:space="0"/>
                  <w:bottom w:val="single" w:color="auto" w:sz="12"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35" w:type="pct"/>
                  <w:vMerge w:val="restart"/>
                  <w:tcMar>
                    <w:top w:w="15" w:type="dxa"/>
                    <w:left w:w="15" w:type="dxa"/>
                    <w:right w:w="15" w:type="dxa"/>
                  </w:tcMar>
                  <w:vAlign w:val="center"/>
                </w:tcPr>
                <w:p>
                  <w:pPr>
                    <w:jc w:val="center"/>
                    <w:rPr>
                      <w:b/>
                      <w:lang w:bidi="ar"/>
                    </w:rPr>
                  </w:pPr>
                  <w:r>
                    <w:rPr>
                      <w:b/>
                      <w:lang w:bidi="ar"/>
                    </w:rPr>
                    <w:t>产排污环节</w:t>
                  </w:r>
                </w:p>
              </w:tc>
              <w:tc>
                <w:tcPr>
                  <w:tcW w:w="385" w:type="pct"/>
                  <w:vMerge w:val="restart"/>
                  <w:tcMar>
                    <w:top w:w="15" w:type="dxa"/>
                    <w:left w:w="15" w:type="dxa"/>
                    <w:right w:w="15" w:type="dxa"/>
                  </w:tcMar>
                  <w:vAlign w:val="center"/>
                </w:tcPr>
                <w:p>
                  <w:pPr>
                    <w:jc w:val="center"/>
                    <w:rPr>
                      <w:b/>
                      <w:lang w:bidi="ar"/>
                    </w:rPr>
                  </w:pPr>
                  <w:r>
                    <w:rPr>
                      <w:b/>
                      <w:lang w:bidi="ar"/>
                    </w:rPr>
                    <w:t>污染物</w:t>
                  </w:r>
                  <w:r>
                    <w:rPr>
                      <w:rStyle w:val="242"/>
                      <w:color w:val="auto"/>
                      <w:lang w:bidi="ar"/>
                    </w:rPr>
                    <w:t>种类</w:t>
                  </w:r>
                </w:p>
              </w:tc>
              <w:tc>
                <w:tcPr>
                  <w:tcW w:w="314" w:type="pct"/>
                  <w:vMerge w:val="restart"/>
                  <w:vAlign w:val="center"/>
                </w:tcPr>
                <w:p>
                  <w:pPr>
                    <w:jc w:val="center"/>
                    <w:rPr>
                      <w:b/>
                      <w:lang w:bidi="ar"/>
                    </w:rPr>
                  </w:pPr>
                  <w:r>
                    <w:rPr>
                      <w:rFonts w:hint="eastAsia"/>
                      <w:b/>
                      <w:lang w:bidi="ar"/>
                    </w:rPr>
                    <w:t>总</w:t>
                  </w:r>
                  <w:r>
                    <w:rPr>
                      <w:b/>
                      <w:lang w:bidi="ar"/>
                    </w:rPr>
                    <w:t>产生</w:t>
                  </w:r>
                  <w:r>
                    <w:rPr>
                      <w:rFonts w:hint="eastAsia"/>
                      <w:b/>
                      <w:lang w:bidi="ar"/>
                    </w:rPr>
                    <w:t>量</w:t>
                  </w:r>
                  <w:r>
                    <w:rPr>
                      <w:rStyle w:val="281"/>
                      <w:b/>
                      <w:bCs/>
                      <w:color w:val="auto"/>
                      <w:lang w:bidi="ar"/>
                    </w:rPr>
                    <w:t>(t/a)</w:t>
                  </w:r>
                </w:p>
              </w:tc>
              <w:tc>
                <w:tcPr>
                  <w:tcW w:w="1106" w:type="pct"/>
                  <w:gridSpan w:val="3"/>
                  <w:vAlign w:val="center"/>
                </w:tcPr>
                <w:p>
                  <w:pPr>
                    <w:widowControl/>
                    <w:jc w:val="center"/>
                    <w:rPr>
                      <w:b/>
                      <w:bCs/>
                      <w:lang w:bidi="ar"/>
                    </w:rPr>
                  </w:pPr>
                  <w:r>
                    <w:rPr>
                      <w:rFonts w:hint="eastAsia"/>
                      <w:b/>
                      <w:bCs/>
                      <w:lang w:bidi="ar"/>
                    </w:rPr>
                    <w:t>有组织产生情况</w:t>
                  </w:r>
                </w:p>
              </w:tc>
              <w:tc>
                <w:tcPr>
                  <w:tcW w:w="220" w:type="pct"/>
                  <w:vMerge w:val="restart"/>
                  <w:vAlign w:val="center"/>
                </w:tcPr>
                <w:p>
                  <w:pPr>
                    <w:jc w:val="center"/>
                    <w:rPr>
                      <w:b/>
                      <w:bCs/>
                      <w:lang w:bidi="ar"/>
                    </w:rPr>
                  </w:pPr>
                  <w:r>
                    <w:rPr>
                      <w:rFonts w:hint="eastAsia"/>
                      <w:b/>
                      <w:bCs/>
                      <w:lang w:bidi="ar"/>
                    </w:rPr>
                    <w:t>收集效率</w:t>
                  </w:r>
                </w:p>
              </w:tc>
              <w:tc>
                <w:tcPr>
                  <w:tcW w:w="256" w:type="pct"/>
                  <w:vMerge w:val="restart"/>
                  <w:tcMar>
                    <w:top w:w="15" w:type="dxa"/>
                    <w:left w:w="15" w:type="dxa"/>
                    <w:right w:w="15" w:type="dxa"/>
                  </w:tcMar>
                  <w:vAlign w:val="center"/>
                </w:tcPr>
                <w:p>
                  <w:pPr>
                    <w:jc w:val="center"/>
                    <w:rPr>
                      <w:b/>
                      <w:bCs/>
                      <w:lang w:bidi="ar"/>
                    </w:rPr>
                  </w:pPr>
                  <w:r>
                    <w:rPr>
                      <w:b/>
                      <w:bCs/>
                      <w:lang w:bidi="ar"/>
                    </w:rPr>
                    <w:t>去除效率</w:t>
                  </w:r>
                </w:p>
              </w:tc>
              <w:tc>
                <w:tcPr>
                  <w:tcW w:w="482" w:type="pct"/>
                  <w:vMerge w:val="restart"/>
                  <w:vAlign w:val="center"/>
                </w:tcPr>
                <w:p>
                  <w:pPr>
                    <w:jc w:val="center"/>
                    <w:rPr>
                      <w:b/>
                      <w:bCs/>
                      <w:lang w:bidi="ar"/>
                    </w:rPr>
                  </w:pPr>
                  <w:r>
                    <w:rPr>
                      <w:rFonts w:hint="eastAsia"/>
                      <w:b/>
                      <w:bCs/>
                      <w:lang w:bidi="ar"/>
                    </w:rPr>
                    <w:t>风量（m</w:t>
                  </w:r>
                  <w:r>
                    <w:rPr>
                      <w:b/>
                      <w:bCs/>
                      <w:vertAlign w:val="superscript"/>
                      <w:lang w:bidi="ar"/>
                    </w:rPr>
                    <w:t>3</w:t>
                  </w:r>
                  <w:r>
                    <w:rPr>
                      <w:b/>
                      <w:bCs/>
                      <w:lang w:bidi="ar"/>
                    </w:rPr>
                    <w:t>/</w:t>
                  </w:r>
                  <w:r>
                    <w:rPr>
                      <w:rFonts w:hint="eastAsia"/>
                      <w:b/>
                      <w:bCs/>
                      <w:lang w:bidi="ar"/>
                    </w:rPr>
                    <w:t>h）</w:t>
                  </w:r>
                </w:p>
              </w:tc>
              <w:tc>
                <w:tcPr>
                  <w:tcW w:w="1080" w:type="pct"/>
                  <w:gridSpan w:val="3"/>
                  <w:tcMar>
                    <w:top w:w="15" w:type="dxa"/>
                    <w:left w:w="15" w:type="dxa"/>
                    <w:right w:w="15" w:type="dxa"/>
                  </w:tcMar>
                  <w:vAlign w:val="center"/>
                </w:tcPr>
                <w:p>
                  <w:pPr>
                    <w:jc w:val="center"/>
                    <w:rPr>
                      <w:b/>
                      <w:bCs/>
                      <w:lang w:bidi="ar"/>
                    </w:rPr>
                  </w:pPr>
                  <w:r>
                    <w:rPr>
                      <w:rFonts w:hint="eastAsia"/>
                      <w:b/>
                      <w:bCs/>
                      <w:lang w:bidi="ar"/>
                    </w:rPr>
                    <w:t>有组织排放情况</w:t>
                  </w:r>
                </w:p>
              </w:tc>
              <w:tc>
                <w:tcPr>
                  <w:tcW w:w="616" w:type="pct"/>
                  <w:gridSpan w:val="2"/>
                  <w:tcMar>
                    <w:top w:w="15" w:type="dxa"/>
                    <w:left w:w="15" w:type="dxa"/>
                    <w:right w:w="15" w:type="dxa"/>
                  </w:tcMar>
                  <w:vAlign w:val="center"/>
                </w:tcPr>
                <w:p>
                  <w:pPr>
                    <w:widowControl/>
                    <w:jc w:val="center"/>
                    <w:rPr>
                      <w:b/>
                      <w:bCs/>
                      <w:lang w:bidi="ar"/>
                    </w:rPr>
                  </w:pPr>
                  <w:r>
                    <w:rPr>
                      <w:rFonts w:hint="eastAsia"/>
                      <w:b/>
                      <w:bCs/>
                      <w:lang w:bidi="ar"/>
                    </w:rPr>
                    <w:t>无组织排放情况</w:t>
                  </w:r>
                </w:p>
              </w:tc>
              <w:tc>
                <w:tcPr>
                  <w:tcW w:w="307" w:type="pct"/>
                  <w:vMerge w:val="restart"/>
                  <w:vAlign w:val="center"/>
                </w:tcPr>
                <w:p>
                  <w:pPr>
                    <w:jc w:val="center"/>
                    <w:rPr>
                      <w:b/>
                      <w:lang w:bidi="ar"/>
                    </w:rPr>
                  </w:pPr>
                  <w:r>
                    <w:rPr>
                      <w:rFonts w:hint="eastAsia"/>
                      <w:b/>
                      <w:lang w:bidi="ar"/>
                    </w:rPr>
                    <w:t>年运行时间(h</w:t>
                  </w:r>
                  <w:r>
                    <w:rPr>
                      <w:b/>
                      <w:lang w:bidi="ar"/>
                    </w:rPr>
                    <w:t>)</w:t>
                  </w:r>
                </w:p>
              </w:tc>
            </w:tr>
            <w:tr>
              <w:tblPrEx>
                <w:tblBorders>
                  <w:top w:val="single" w:color="auto" w:sz="12" w:space="0"/>
                  <w:left w:val="single" w:color="auto" w:sz="4" w:space="0"/>
                  <w:bottom w:val="single" w:color="auto" w:sz="12"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35" w:type="pct"/>
                  <w:vMerge w:val="continue"/>
                  <w:tcMar>
                    <w:top w:w="15" w:type="dxa"/>
                    <w:left w:w="15" w:type="dxa"/>
                    <w:right w:w="15" w:type="dxa"/>
                  </w:tcMar>
                  <w:vAlign w:val="center"/>
                </w:tcPr>
                <w:p>
                  <w:pPr>
                    <w:jc w:val="center"/>
                  </w:pPr>
                </w:p>
              </w:tc>
              <w:tc>
                <w:tcPr>
                  <w:tcW w:w="385" w:type="pct"/>
                  <w:vMerge w:val="continue"/>
                  <w:tcMar>
                    <w:top w:w="15" w:type="dxa"/>
                    <w:left w:w="15" w:type="dxa"/>
                    <w:right w:w="15" w:type="dxa"/>
                  </w:tcMar>
                  <w:vAlign w:val="center"/>
                </w:tcPr>
                <w:p>
                  <w:pPr>
                    <w:widowControl/>
                    <w:jc w:val="center"/>
                  </w:pPr>
                </w:p>
              </w:tc>
              <w:tc>
                <w:tcPr>
                  <w:tcW w:w="314" w:type="pct"/>
                  <w:vMerge w:val="continue"/>
                  <w:vAlign w:val="center"/>
                </w:tcPr>
                <w:p>
                  <w:pPr>
                    <w:widowControl/>
                    <w:jc w:val="center"/>
                  </w:pPr>
                </w:p>
              </w:tc>
              <w:tc>
                <w:tcPr>
                  <w:tcW w:w="343" w:type="pct"/>
                  <w:vAlign w:val="center"/>
                </w:tcPr>
                <w:p>
                  <w:pPr>
                    <w:widowControl/>
                    <w:jc w:val="center"/>
                  </w:pPr>
                  <w:r>
                    <w:rPr>
                      <w:b/>
                      <w:bCs/>
                    </w:rPr>
                    <w:t>产生</w:t>
                  </w:r>
                  <w:r>
                    <w:rPr>
                      <w:b/>
                      <w:bCs/>
                      <w:lang w:bidi="ar"/>
                    </w:rPr>
                    <w:t>量(t/a)</w:t>
                  </w:r>
                </w:p>
              </w:tc>
              <w:tc>
                <w:tcPr>
                  <w:tcW w:w="355" w:type="pct"/>
                  <w:tcMar>
                    <w:top w:w="15" w:type="dxa"/>
                    <w:left w:w="15" w:type="dxa"/>
                    <w:right w:w="15" w:type="dxa"/>
                  </w:tcMar>
                  <w:vAlign w:val="center"/>
                </w:tcPr>
                <w:p>
                  <w:pPr>
                    <w:widowControl/>
                    <w:jc w:val="center"/>
                  </w:pPr>
                  <w:r>
                    <w:rPr>
                      <w:b/>
                      <w:bCs/>
                    </w:rPr>
                    <w:t>产生速率(kg/h)</w:t>
                  </w:r>
                </w:p>
              </w:tc>
              <w:tc>
                <w:tcPr>
                  <w:tcW w:w="408" w:type="pct"/>
                  <w:tcMar>
                    <w:top w:w="15" w:type="dxa"/>
                    <w:left w:w="15" w:type="dxa"/>
                    <w:right w:w="15" w:type="dxa"/>
                  </w:tcMar>
                  <w:vAlign w:val="center"/>
                </w:tcPr>
                <w:p>
                  <w:pPr>
                    <w:widowControl/>
                    <w:jc w:val="center"/>
                  </w:pPr>
                  <w:r>
                    <w:rPr>
                      <w:rFonts w:hint="eastAsia"/>
                      <w:b/>
                      <w:bCs/>
                      <w:lang w:bidi="ar"/>
                    </w:rPr>
                    <w:t>产生浓度</w:t>
                  </w:r>
                  <w:r>
                    <w:rPr>
                      <w:rStyle w:val="281"/>
                      <w:b/>
                      <w:bCs/>
                      <w:color w:val="auto"/>
                      <w:lang w:bidi="ar"/>
                    </w:rPr>
                    <w:t>(</w:t>
                  </w:r>
                  <w:r>
                    <w:rPr>
                      <w:rStyle w:val="383"/>
                      <w:rFonts w:hint="default" w:ascii="Times New Roman" w:hAnsi="Times New Roman" w:cs="Times New Roman"/>
                      <w:b/>
                      <w:bCs/>
                      <w:color w:val="auto"/>
                      <w:lang w:bidi="ar"/>
                    </w:rPr>
                    <w:t>mg/m</w:t>
                  </w:r>
                  <w:r>
                    <w:rPr>
                      <w:rStyle w:val="383"/>
                      <w:rFonts w:hint="default" w:ascii="Times New Roman" w:hAnsi="Times New Roman" w:cs="Times New Roman"/>
                      <w:b/>
                      <w:bCs/>
                      <w:color w:val="auto"/>
                      <w:vertAlign w:val="superscript"/>
                      <w:lang w:bidi="ar"/>
                    </w:rPr>
                    <w:t>3</w:t>
                  </w:r>
                  <w:r>
                    <w:rPr>
                      <w:rStyle w:val="281"/>
                      <w:b/>
                      <w:bCs/>
                      <w:color w:val="auto"/>
                      <w:lang w:bidi="ar"/>
                    </w:rPr>
                    <w:t>)</w:t>
                  </w:r>
                </w:p>
              </w:tc>
              <w:tc>
                <w:tcPr>
                  <w:tcW w:w="220" w:type="pct"/>
                  <w:vMerge w:val="continue"/>
                  <w:vAlign w:val="center"/>
                </w:tcPr>
                <w:p>
                  <w:pPr>
                    <w:widowControl/>
                    <w:jc w:val="center"/>
                  </w:pPr>
                </w:p>
              </w:tc>
              <w:tc>
                <w:tcPr>
                  <w:tcW w:w="256" w:type="pct"/>
                  <w:vMerge w:val="continue"/>
                  <w:tcMar>
                    <w:top w:w="15" w:type="dxa"/>
                    <w:left w:w="15" w:type="dxa"/>
                    <w:right w:w="15" w:type="dxa"/>
                  </w:tcMar>
                  <w:vAlign w:val="center"/>
                </w:tcPr>
                <w:p>
                  <w:pPr>
                    <w:widowControl/>
                    <w:jc w:val="center"/>
                  </w:pPr>
                </w:p>
              </w:tc>
              <w:tc>
                <w:tcPr>
                  <w:tcW w:w="482" w:type="pct"/>
                  <w:vMerge w:val="continue"/>
                  <w:vAlign w:val="center"/>
                </w:tcPr>
                <w:p>
                  <w:pPr>
                    <w:widowControl/>
                    <w:jc w:val="center"/>
                    <w:rPr>
                      <w:b/>
                      <w:bCs/>
                      <w:lang w:bidi="ar"/>
                    </w:rPr>
                  </w:pPr>
                </w:p>
              </w:tc>
              <w:tc>
                <w:tcPr>
                  <w:tcW w:w="342" w:type="pct"/>
                  <w:tcMar>
                    <w:top w:w="15" w:type="dxa"/>
                    <w:left w:w="15" w:type="dxa"/>
                    <w:right w:w="15" w:type="dxa"/>
                  </w:tcMar>
                  <w:vAlign w:val="center"/>
                </w:tcPr>
                <w:p>
                  <w:pPr>
                    <w:widowControl/>
                    <w:jc w:val="center"/>
                    <w:rPr>
                      <w:rFonts w:eastAsia="等线"/>
                    </w:rPr>
                  </w:pPr>
                  <w:r>
                    <w:rPr>
                      <w:b/>
                      <w:bCs/>
                      <w:lang w:bidi="ar"/>
                    </w:rPr>
                    <w:t>排放量</w:t>
                  </w:r>
                  <w:r>
                    <w:rPr>
                      <w:rStyle w:val="281"/>
                      <w:b/>
                      <w:bCs/>
                      <w:color w:val="auto"/>
                      <w:lang w:bidi="ar"/>
                    </w:rPr>
                    <w:t>(</w:t>
                  </w:r>
                  <w:r>
                    <w:rPr>
                      <w:rStyle w:val="383"/>
                      <w:rFonts w:hint="default"/>
                      <w:b/>
                      <w:bCs/>
                      <w:color w:val="auto"/>
                      <w:lang w:bidi="ar"/>
                    </w:rPr>
                    <w:t>t/a</w:t>
                  </w:r>
                  <w:r>
                    <w:rPr>
                      <w:rStyle w:val="281"/>
                      <w:b/>
                      <w:bCs/>
                      <w:color w:val="auto"/>
                      <w:lang w:bidi="ar"/>
                    </w:rPr>
                    <w:t>)</w:t>
                  </w:r>
                </w:p>
              </w:tc>
              <w:tc>
                <w:tcPr>
                  <w:tcW w:w="341" w:type="pct"/>
                  <w:vAlign w:val="center"/>
                </w:tcPr>
                <w:p>
                  <w:pPr>
                    <w:jc w:val="center"/>
                    <w:rPr>
                      <w:b/>
                    </w:rPr>
                  </w:pPr>
                  <w:r>
                    <w:rPr>
                      <w:rFonts w:hint="eastAsia"/>
                      <w:b/>
                      <w:bCs/>
                    </w:rPr>
                    <w:t>排放</w:t>
                  </w:r>
                  <w:r>
                    <w:rPr>
                      <w:b/>
                      <w:bCs/>
                    </w:rPr>
                    <w:t>速率(kg/h)</w:t>
                  </w:r>
                </w:p>
              </w:tc>
              <w:tc>
                <w:tcPr>
                  <w:tcW w:w="398" w:type="pct"/>
                  <w:vAlign w:val="center"/>
                </w:tcPr>
                <w:p>
                  <w:pPr>
                    <w:jc w:val="center"/>
                    <w:rPr>
                      <w:b/>
                    </w:rPr>
                  </w:pPr>
                  <w:r>
                    <w:rPr>
                      <w:rFonts w:hint="eastAsia"/>
                      <w:b/>
                      <w:bCs/>
                      <w:lang w:bidi="ar"/>
                    </w:rPr>
                    <w:t>排放浓度</w:t>
                  </w:r>
                  <w:r>
                    <w:rPr>
                      <w:rStyle w:val="281"/>
                      <w:b/>
                      <w:bCs/>
                      <w:color w:val="auto"/>
                      <w:lang w:bidi="ar"/>
                    </w:rPr>
                    <w:t>(</w:t>
                  </w:r>
                  <w:r>
                    <w:rPr>
                      <w:rStyle w:val="383"/>
                      <w:rFonts w:hint="default" w:ascii="Times New Roman" w:hAnsi="Times New Roman" w:cs="Times New Roman"/>
                      <w:b/>
                      <w:bCs/>
                      <w:color w:val="auto"/>
                      <w:lang w:bidi="ar"/>
                    </w:rPr>
                    <w:t>mg/m</w:t>
                  </w:r>
                  <w:r>
                    <w:rPr>
                      <w:rStyle w:val="383"/>
                      <w:rFonts w:hint="default" w:ascii="Times New Roman" w:hAnsi="Times New Roman" w:cs="Times New Roman"/>
                      <w:b/>
                      <w:bCs/>
                      <w:color w:val="auto"/>
                      <w:vertAlign w:val="superscript"/>
                      <w:lang w:bidi="ar"/>
                    </w:rPr>
                    <w:t>3</w:t>
                  </w:r>
                  <w:r>
                    <w:rPr>
                      <w:rStyle w:val="281"/>
                      <w:b/>
                      <w:bCs/>
                      <w:color w:val="auto"/>
                      <w:lang w:bidi="ar"/>
                    </w:rPr>
                    <w:t>)</w:t>
                  </w:r>
                </w:p>
              </w:tc>
              <w:tc>
                <w:tcPr>
                  <w:tcW w:w="345" w:type="pct"/>
                  <w:tcMar>
                    <w:top w:w="15" w:type="dxa"/>
                    <w:left w:w="15" w:type="dxa"/>
                    <w:right w:w="15" w:type="dxa"/>
                  </w:tcMar>
                  <w:vAlign w:val="center"/>
                </w:tcPr>
                <w:p>
                  <w:pPr>
                    <w:jc w:val="center"/>
                  </w:pPr>
                  <w:r>
                    <w:rPr>
                      <w:b/>
                      <w:bCs/>
                      <w:lang w:bidi="ar"/>
                    </w:rPr>
                    <w:t>排放量</w:t>
                  </w:r>
                  <w:r>
                    <w:rPr>
                      <w:rStyle w:val="281"/>
                      <w:b/>
                      <w:bCs/>
                      <w:color w:val="auto"/>
                      <w:lang w:bidi="ar"/>
                    </w:rPr>
                    <w:t>(</w:t>
                  </w:r>
                  <w:r>
                    <w:rPr>
                      <w:rStyle w:val="383"/>
                      <w:rFonts w:hint="default" w:ascii="Times New Roman" w:hAnsi="Times New Roman" w:cs="Times New Roman"/>
                      <w:b/>
                      <w:bCs/>
                      <w:color w:val="auto"/>
                      <w:lang w:bidi="ar"/>
                    </w:rPr>
                    <w:t>t/a</w:t>
                  </w:r>
                  <w:r>
                    <w:rPr>
                      <w:rStyle w:val="281"/>
                      <w:b/>
                      <w:bCs/>
                      <w:color w:val="auto"/>
                      <w:lang w:bidi="ar"/>
                    </w:rPr>
                    <w:t>)</w:t>
                  </w:r>
                </w:p>
              </w:tc>
              <w:tc>
                <w:tcPr>
                  <w:tcW w:w="271" w:type="pct"/>
                  <w:vAlign w:val="center"/>
                </w:tcPr>
                <w:p>
                  <w:pPr>
                    <w:widowControl/>
                    <w:jc w:val="center"/>
                    <w:rPr>
                      <w:rFonts w:eastAsia="等线"/>
                    </w:rPr>
                  </w:pPr>
                  <w:r>
                    <w:rPr>
                      <w:rFonts w:hint="eastAsia"/>
                      <w:b/>
                      <w:bCs/>
                    </w:rPr>
                    <w:t>排放</w:t>
                  </w:r>
                  <w:r>
                    <w:rPr>
                      <w:b/>
                      <w:bCs/>
                    </w:rPr>
                    <w:t>速率(kg/h)</w:t>
                  </w:r>
                </w:p>
              </w:tc>
              <w:tc>
                <w:tcPr>
                  <w:tcW w:w="307" w:type="pct"/>
                  <w:vMerge w:val="continue"/>
                  <w:vAlign w:val="center"/>
                </w:tcPr>
                <w:p>
                  <w:pPr>
                    <w:widowControl/>
                    <w:jc w:val="center"/>
                    <w:rPr>
                      <w:rFonts w:eastAsia="等线"/>
                    </w:rPr>
                  </w:pPr>
                </w:p>
              </w:tc>
            </w:tr>
            <w:tr>
              <w:tblPrEx>
                <w:tblBorders>
                  <w:top w:val="single" w:color="auto" w:sz="12" w:space="0"/>
                  <w:left w:val="single" w:color="auto" w:sz="4" w:space="0"/>
                  <w:bottom w:val="single" w:color="auto" w:sz="12"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35" w:type="pct"/>
                  <w:tcMar>
                    <w:top w:w="15" w:type="dxa"/>
                    <w:left w:w="15" w:type="dxa"/>
                    <w:right w:w="15" w:type="dxa"/>
                  </w:tcMar>
                  <w:vAlign w:val="center"/>
                </w:tcPr>
                <w:p>
                  <w:pPr>
                    <w:jc w:val="center"/>
                  </w:pPr>
                  <w:r>
                    <w:rPr>
                      <w:rFonts w:hint="eastAsia"/>
                    </w:rPr>
                    <w:t>电熔</w:t>
                  </w:r>
                </w:p>
              </w:tc>
              <w:tc>
                <w:tcPr>
                  <w:tcW w:w="385" w:type="pct"/>
                  <w:tcMar>
                    <w:top w:w="15" w:type="dxa"/>
                    <w:left w:w="15" w:type="dxa"/>
                    <w:right w:w="15" w:type="dxa"/>
                  </w:tcMar>
                  <w:vAlign w:val="center"/>
                </w:tcPr>
                <w:p>
                  <w:pPr>
                    <w:widowControl/>
                    <w:jc w:val="center"/>
                  </w:pPr>
                  <w:r>
                    <w:rPr>
                      <w:rFonts w:hint="eastAsia"/>
                    </w:rPr>
                    <w:t>颗粒物</w:t>
                  </w:r>
                </w:p>
              </w:tc>
              <w:tc>
                <w:tcPr>
                  <w:tcW w:w="314" w:type="pct"/>
                  <w:vAlign w:val="center"/>
                </w:tcPr>
                <w:p>
                  <w:pPr>
                    <w:widowControl/>
                    <w:jc w:val="center"/>
                  </w:pPr>
                  <w:r>
                    <w:rPr>
                      <w:rFonts w:hint="eastAsia"/>
                    </w:rPr>
                    <w:t>0.5513</w:t>
                  </w:r>
                </w:p>
              </w:tc>
              <w:tc>
                <w:tcPr>
                  <w:tcW w:w="343" w:type="pct"/>
                  <w:vAlign w:val="center"/>
                </w:tcPr>
                <w:p>
                  <w:pPr>
                    <w:widowControl/>
                    <w:jc w:val="center"/>
                  </w:pPr>
                  <w:r>
                    <w:rPr>
                      <w:rFonts w:hint="eastAsia"/>
                    </w:rPr>
                    <w:t>0.4410</w:t>
                  </w:r>
                </w:p>
              </w:tc>
              <w:tc>
                <w:tcPr>
                  <w:tcW w:w="355" w:type="pct"/>
                  <w:tcMar>
                    <w:top w:w="15" w:type="dxa"/>
                    <w:left w:w="15" w:type="dxa"/>
                    <w:right w:w="15" w:type="dxa"/>
                  </w:tcMar>
                  <w:vAlign w:val="center"/>
                </w:tcPr>
                <w:p>
                  <w:pPr>
                    <w:widowControl/>
                    <w:jc w:val="center"/>
                  </w:pPr>
                  <w:r>
                    <w:rPr>
                      <w:rFonts w:hint="eastAsia"/>
                    </w:rPr>
                    <w:t>0.1837</w:t>
                  </w:r>
                </w:p>
              </w:tc>
              <w:tc>
                <w:tcPr>
                  <w:tcW w:w="408" w:type="pct"/>
                  <w:tcMar>
                    <w:top w:w="15" w:type="dxa"/>
                    <w:left w:w="15" w:type="dxa"/>
                    <w:right w:w="15" w:type="dxa"/>
                  </w:tcMar>
                  <w:vAlign w:val="center"/>
                </w:tcPr>
                <w:p>
                  <w:pPr>
                    <w:widowControl/>
                    <w:jc w:val="center"/>
                  </w:pPr>
                  <w:r>
                    <w:rPr>
                      <w:rFonts w:hint="eastAsia"/>
                    </w:rPr>
                    <w:t>16.70</w:t>
                  </w:r>
                </w:p>
              </w:tc>
              <w:tc>
                <w:tcPr>
                  <w:tcW w:w="220" w:type="pct"/>
                  <w:vAlign w:val="center"/>
                </w:tcPr>
                <w:p>
                  <w:pPr>
                    <w:widowControl/>
                    <w:jc w:val="center"/>
                  </w:pPr>
                  <w:r>
                    <w:rPr>
                      <w:rFonts w:hint="eastAsia"/>
                    </w:rPr>
                    <w:t>80%</w:t>
                  </w:r>
                </w:p>
              </w:tc>
              <w:tc>
                <w:tcPr>
                  <w:tcW w:w="256" w:type="pct"/>
                  <w:tcMar>
                    <w:top w:w="15" w:type="dxa"/>
                    <w:left w:w="15" w:type="dxa"/>
                    <w:right w:w="15" w:type="dxa"/>
                  </w:tcMar>
                  <w:vAlign w:val="center"/>
                </w:tcPr>
                <w:p>
                  <w:pPr>
                    <w:widowControl/>
                    <w:jc w:val="center"/>
                  </w:pPr>
                  <w:r>
                    <w:rPr>
                      <w:rFonts w:hint="eastAsia"/>
                    </w:rPr>
                    <w:t>90%</w:t>
                  </w:r>
                </w:p>
              </w:tc>
              <w:tc>
                <w:tcPr>
                  <w:tcW w:w="482" w:type="pct"/>
                  <w:vAlign w:val="center"/>
                </w:tcPr>
                <w:p>
                  <w:pPr>
                    <w:widowControl/>
                    <w:jc w:val="center"/>
                  </w:pPr>
                  <w:r>
                    <w:rPr>
                      <w:rFonts w:hint="eastAsia"/>
                    </w:rPr>
                    <w:t>11000</w:t>
                  </w:r>
                </w:p>
              </w:tc>
              <w:tc>
                <w:tcPr>
                  <w:tcW w:w="342" w:type="pct"/>
                  <w:tcMar>
                    <w:top w:w="15" w:type="dxa"/>
                    <w:left w:w="15" w:type="dxa"/>
                    <w:right w:w="15" w:type="dxa"/>
                  </w:tcMar>
                  <w:vAlign w:val="center"/>
                </w:tcPr>
                <w:p>
                  <w:pPr>
                    <w:widowControl/>
                    <w:jc w:val="center"/>
                  </w:pPr>
                  <w:r>
                    <w:rPr>
                      <w:rFonts w:hint="eastAsia"/>
                    </w:rPr>
                    <w:t>0.0441</w:t>
                  </w:r>
                </w:p>
              </w:tc>
              <w:tc>
                <w:tcPr>
                  <w:tcW w:w="341" w:type="pct"/>
                  <w:vAlign w:val="center"/>
                </w:tcPr>
                <w:p>
                  <w:pPr>
                    <w:jc w:val="center"/>
                  </w:pPr>
                  <w:r>
                    <w:rPr>
                      <w:rFonts w:hint="eastAsia"/>
                    </w:rPr>
                    <w:t>0.0184</w:t>
                  </w:r>
                </w:p>
              </w:tc>
              <w:tc>
                <w:tcPr>
                  <w:tcW w:w="398" w:type="pct"/>
                  <w:vAlign w:val="center"/>
                </w:tcPr>
                <w:p>
                  <w:pPr>
                    <w:jc w:val="center"/>
                  </w:pPr>
                  <w:r>
                    <w:rPr>
                      <w:rFonts w:hint="eastAsia"/>
                    </w:rPr>
                    <w:t>1.673</w:t>
                  </w:r>
                </w:p>
              </w:tc>
              <w:tc>
                <w:tcPr>
                  <w:tcW w:w="345" w:type="pct"/>
                  <w:tcMar>
                    <w:top w:w="15" w:type="dxa"/>
                    <w:left w:w="15" w:type="dxa"/>
                    <w:right w:w="15" w:type="dxa"/>
                  </w:tcMar>
                  <w:vAlign w:val="center"/>
                </w:tcPr>
                <w:p>
                  <w:pPr>
                    <w:jc w:val="center"/>
                  </w:pPr>
                  <w:r>
                    <w:rPr>
                      <w:rFonts w:hint="eastAsia"/>
                    </w:rPr>
                    <w:t>0.1103</w:t>
                  </w:r>
                </w:p>
              </w:tc>
              <w:tc>
                <w:tcPr>
                  <w:tcW w:w="271" w:type="pct"/>
                  <w:vAlign w:val="center"/>
                </w:tcPr>
                <w:p>
                  <w:pPr>
                    <w:widowControl/>
                    <w:jc w:val="center"/>
                  </w:pPr>
                  <w:r>
                    <w:rPr>
                      <w:rFonts w:hint="eastAsia"/>
                    </w:rPr>
                    <w:t>0.0460</w:t>
                  </w:r>
                </w:p>
              </w:tc>
              <w:tc>
                <w:tcPr>
                  <w:tcW w:w="307" w:type="pct"/>
                  <w:vAlign w:val="center"/>
                </w:tcPr>
                <w:p>
                  <w:pPr>
                    <w:widowControl/>
                    <w:jc w:val="center"/>
                    <w:rPr>
                      <w:rFonts w:eastAsia="等线"/>
                    </w:rPr>
                  </w:pPr>
                  <w:r>
                    <w:rPr>
                      <w:rFonts w:hint="eastAsia" w:eastAsia="等线"/>
                    </w:rPr>
                    <w:t>2400</w:t>
                  </w:r>
                </w:p>
              </w:tc>
            </w:tr>
            <w:tr>
              <w:tblPrEx>
                <w:tblBorders>
                  <w:top w:val="single" w:color="auto" w:sz="12" w:space="0"/>
                  <w:left w:val="single" w:color="auto" w:sz="4" w:space="0"/>
                  <w:bottom w:val="single" w:color="auto" w:sz="12"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35" w:type="pct"/>
                  <w:vMerge w:val="restart"/>
                  <w:tcMar>
                    <w:top w:w="15" w:type="dxa"/>
                    <w:left w:w="15" w:type="dxa"/>
                    <w:right w:w="15" w:type="dxa"/>
                  </w:tcMar>
                  <w:vAlign w:val="center"/>
                </w:tcPr>
                <w:p>
                  <w:pPr>
                    <w:widowControl/>
                    <w:jc w:val="center"/>
                  </w:pPr>
                  <w:r>
                    <w:rPr>
                      <w:rFonts w:hint="eastAsia"/>
                    </w:rPr>
                    <w:t>压铸</w:t>
                  </w:r>
                </w:p>
              </w:tc>
              <w:tc>
                <w:tcPr>
                  <w:tcW w:w="385" w:type="pct"/>
                  <w:tcMar>
                    <w:top w:w="15" w:type="dxa"/>
                    <w:left w:w="15" w:type="dxa"/>
                    <w:right w:w="15" w:type="dxa"/>
                  </w:tcMar>
                  <w:vAlign w:val="center"/>
                </w:tcPr>
                <w:p>
                  <w:pPr>
                    <w:widowControl/>
                    <w:jc w:val="center"/>
                  </w:pPr>
                  <w:r>
                    <w:rPr>
                      <w:rFonts w:hint="eastAsia"/>
                    </w:rPr>
                    <w:t>颗粒物</w:t>
                  </w:r>
                </w:p>
              </w:tc>
              <w:tc>
                <w:tcPr>
                  <w:tcW w:w="314" w:type="pct"/>
                  <w:vAlign w:val="center"/>
                </w:tcPr>
                <w:p>
                  <w:pPr>
                    <w:widowControl/>
                    <w:jc w:val="center"/>
                  </w:pPr>
                  <w:r>
                    <w:rPr>
                      <w:rFonts w:hint="eastAsia"/>
                    </w:rPr>
                    <w:t>0.2593</w:t>
                  </w:r>
                </w:p>
              </w:tc>
              <w:tc>
                <w:tcPr>
                  <w:tcW w:w="343" w:type="pct"/>
                  <w:vAlign w:val="center"/>
                </w:tcPr>
                <w:p>
                  <w:pPr>
                    <w:widowControl/>
                    <w:jc w:val="center"/>
                  </w:pPr>
                  <w:r>
                    <w:rPr>
                      <w:rFonts w:hint="eastAsia"/>
                    </w:rPr>
                    <w:t>0.2074</w:t>
                  </w:r>
                </w:p>
              </w:tc>
              <w:tc>
                <w:tcPr>
                  <w:tcW w:w="355" w:type="pct"/>
                  <w:tcMar>
                    <w:top w:w="15" w:type="dxa"/>
                    <w:left w:w="15" w:type="dxa"/>
                    <w:right w:w="15" w:type="dxa"/>
                  </w:tcMar>
                  <w:vAlign w:val="center"/>
                </w:tcPr>
                <w:p>
                  <w:pPr>
                    <w:widowControl/>
                    <w:jc w:val="center"/>
                  </w:pPr>
                  <w:r>
                    <w:rPr>
                      <w:rFonts w:hint="eastAsia"/>
                    </w:rPr>
                    <w:t>0.1152</w:t>
                  </w:r>
                </w:p>
              </w:tc>
              <w:tc>
                <w:tcPr>
                  <w:tcW w:w="408" w:type="pct"/>
                  <w:tcMar>
                    <w:top w:w="15" w:type="dxa"/>
                    <w:left w:w="15" w:type="dxa"/>
                    <w:right w:w="15" w:type="dxa"/>
                  </w:tcMar>
                  <w:vAlign w:val="center"/>
                </w:tcPr>
                <w:p>
                  <w:pPr>
                    <w:widowControl/>
                    <w:jc w:val="center"/>
                  </w:pPr>
                  <w:r>
                    <w:rPr>
                      <w:rFonts w:hint="eastAsia"/>
                    </w:rPr>
                    <w:t>10.47</w:t>
                  </w:r>
                </w:p>
              </w:tc>
              <w:tc>
                <w:tcPr>
                  <w:tcW w:w="220" w:type="pct"/>
                  <w:vAlign w:val="center"/>
                </w:tcPr>
                <w:p>
                  <w:pPr>
                    <w:widowControl/>
                    <w:jc w:val="center"/>
                  </w:pPr>
                  <w:r>
                    <w:rPr>
                      <w:rFonts w:hint="eastAsia"/>
                    </w:rPr>
                    <w:t>80%</w:t>
                  </w:r>
                </w:p>
              </w:tc>
              <w:tc>
                <w:tcPr>
                  <w:tcW w:w="256" w:type="pct"/>
                  <w:tcMar>
                    <w:top w:w="15" w:type="dxa"/>
                    <w:left w:w="15" w:type="dxa"/>
                    <w:right w:w="15" w:type="dxa"/>
                  </w:tcMar>
                  <w:vAlign w:val="center"/>
                </w:tcPr>
                <w:p>
                  <w:pPr>
                    <w:widowControl/>
                    <w:jc w:val="center"/>
                  </w:pPr>
                  <w:r>
                    <w:rPr>
                      <w:rFonts w:hint="eastAsia"/>
                    </w:rPr>
                    <w:t>90%</w:t>
                  </w:r>
                </w:p>
              </w:tc>
              <w:tc>
                <w:tcPr>
                  <w:tcW w:w="482" w:type="pct"/>
                  <w:vAlign w:val="center"/>
                </w:tcPr>
                <w:p>
                  <w:pPr>
                    <w:widowControl/>
                    <w:jc w:val="center"/>
                  </w:pPr>
                  <w:r>
                    <w:rPr>
                      <w:rFonts w:hint="eastAsia"/>
                    </w:rPr>
                    <w:t>11000</w:t>
                  </w:r>
                </w:p>
              </w:tc>
              <w:tc>
                <w:tcPr>
                  <w:tcW w:w="342" w:type="pct"/>
                  <w:tcMar>
                    <w:top w:w="15" w:type="dxa"/>
                    <w:left w:w="15" w:type="dxa"/>
                    <w:right w:w="15" w:type="dxa"/>
                  </w:tcMar>
                  <w:vAlign w:val="center"/>
                </w:tcPr>
                <w:p>
                  <w:pPr>
                    <w:widowControl/>
                    <w:jc w:val="center"/>
                  </w:pPr>
                  <w:r>
                    <w:rPr>
                      <w:rFonts w:hint="eastAsia"/>
                    </w:rPr>
                    <w:t>0.0207</w:t>
                  </w:r>
                </w:p>
              </w:tc>
              <w:tc>
                <w:tcPr>
                  <w:tcW w:w="341" w:type="pct"/>
                  <w:vAlign w:val="center"/>
                </w:tcPr>
                <w:p>
                  <w:pPr>
                    <w:jc w:val="center"/>
                  </w:pPr>
                  <w:r>
                    <w:rPr>
                      <w:rFonts w:hint="eastAsia"/>
                    </w:rPr>
                    <w:t>0.0115</w:t>
                  </w:r>
                </w:p>
              </w:tc>
              <w:tc>
                <w:tcPr>
                  <w:tcW w:w="398" w:type="pct"/>
                  <w:vAlign w:val="center"/>
                </w:tcPr>
                <w:p>
                  <w:pPr>
                    <w:jc w:val="center"/>
                  </w:pPr>
                  <w:r>
                    <w:rPr>
                      <w:rFonts w:hint="eastAsia"/>
                    </w:rPr>
                    <w:t>1.045</w:t>
                  </w:r>
                </w:p>
              </w:tc>
              <w:tc>
                <w:tcPr>
                  <w:tcW w:w="345" w:type="pct"/>
                  <w:tcMar>
                    <w:top w:w="15" w:type="dxa"/>
                    <w:left w:w="15" w:type="dxa"/>
                    <w:right w:w="15" w:type="dxa"/>
                  </w:tcMar>
                  <w:vAlign w:val="center"/>
                </w:tcPr>
                <w:p>
                  <w:pPr>
                    <w:jc w:val="center"/>
                  </w:pPr>
                  <w:r>
                    <w:rPr>
                      <w:rFonts w:hint="eastAsia"/>
                    </w:rPr>
                    <w:t>0.0519</w:t>
                  </w:r>
                </w:p>
              </w:tc>
              <w:tc>
                <w:tcPr>
                  <w:tcW w:w="271" w:type="pct"/>
                  <w:vAlign w:val="center"/>
                </w:tcPr>
                <w:p>
                  <w:pPr>
                    <w:widowControl/>
                    <w:jc w:val="center"/>
                  </w:pPr>
                  <w:r>
                    <w:rPr>
                      <w:rFonts w:hint="eastAsia"/>
                    </w:rPr>
                    <w:t>0.0288</w:t>
                  </w:r>
                </w:p>
              </w:tc>
              <w:tc>
                <w:tcPr>
                  <w:tcW w:w="307" w:type="pct"/>
                  <w:vAlign w:val="center"/>
                </w:tcPr>
                <w:p>
                  <w:pPr>
                    <w:widowControl/>
                    <w:jc w:val="center"/>
                    <w:rPr>
                      <w:rFonts w:eastAsia="等线"/>
                    </w:rPr>
                  </w:pPr>
                  <w:r>
                    <w:rPr>
                      <w:rFonts w:hint="eastAsia" w:eastAsia="等线"/>
                    </w:rPr>
                    <w:t>1800</w:t>
                  </w:r>
                </w:p>
              </w:tc>
            </w:tr>
            <w:tr>
              <w:tblPrEx>
                <w:tblBorders>
                  <w:top w:val="single" w:color="auto" w:sz="12" w:space="0"/>
                  <w:left w:val="single" w:color="auto" w:sz="4" w:space="0"/>
                  <w:bottom w:val="single" w:color="auto" w:sz="12"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97" w:hRule="atLeast"/>
              </w:trPr>
              <w:tc>
                <w:tcPr>
                  <w:tcW w:w="235" w:type="pct"/>
                  <w:vMerge w:val="continue"/>
                  <w:tcMar>
                    <w:top w:w="15" w:type="dxa"/>
                    <w:left w:w="15" w:type="dxa"/>
                    <w:right w:w="15" w:type="dxa"/>
                  </w:tcMar>
                  <w:vAlign w:val="center"/>
                </w:tcPr>
                <w:p>
                  <w:pPr>
                    <w:widowControl/>
                    <w:jc w:val="center"/>
                  </w:pPr>
                </w:p>
              </w:tc>
              <w:tc>
                <w:tcPr>
                  <w:tcW w:w="385" w:type="pct"/>
                  <w:tcMar>
                    <w:top w:w="15" w:type="dxa"/>
                    <w:left w:w="15" w:type="dxa"/>
                    <w:right w:w="15" w:type="dxa"/>
                  </w:tcMar>
                  <w:vAlign w:val="center"/>
                </w:tcPr>
                <w:p>
                  <w:pPr>
                    <w:widowControl/>
                    <w:jc w:val="center"/>
                  </w:pPr>
                  <w:r>
                    <w:rPr>
                      <w:rFonts w:hint="eastAsia"/>
                    </w:rPr>
                    <w:t>非甲烷总烃</w:t>
                  </w:r>
                </w:p>
              </w:tc>
              <w:tc>
                <w:tcPr>
                  <w:tcW w:w="314" w:type="pct"/>
                  <w:vAlign w:val="center"/>
                </w:tcPr>
                <w:p>
                  <w:pPr>
                    <w:widowControl/>
                    <w:jc w:val="center"/>
                  </w:pPr>
                  <w:r>
                    <w:rPr>
                      <w:rFonts w:hint="eastAsia"/>
                    </w:rPr>
                    <w:t>0.00816</w:t>
                  </w:r>
                </w:p>
              </w:tc>
              <w:tc>
                <w:tcPr>
                  <w:tcW w:w="343" w:type="pct"/>
                  <w:vAlign w:val="center"/>
                </w:tcPr>
                <w:p>
                  <w:pPr>
                    <w:widowControl/>
                    <w:jc w:val="center"/>
                  </w:pPr>
                  <w:r>
                    <w:rPr>
                      <w:rFonts w:hint="eastAsia"/>
                    </w:rPr>
                    <w:t>0.00653</w:t>
                  </w:r>
                </w:p>
              </w:tc>
              <w:tc>
                <w:tcPr>
                  <w:tcW w:w="355" w:type="pct"/>
                  <w:tcMar>
                    <w:top w:w="15" w:type="dxa"/>
                    <w:left w:w="15" w:type="dxa"/>
                    <w:right w:w="15" w:type="dxa"/>
                  </w:tcMar>
                  <w:vAlign w:val="center"/>
                </w:tcPr>
                <w:p>
                  <w:pPr>
                    <w:widowControl/>
                    <w:jc w:val="center"/>
                  </w:pPr>
                  <w:r>
                    <w:rPr>
                      <w:rFonts w:hint="eastAsia"/>
                    </w:rPr>
                    <w:t>0.00363</w:t>
                  </w:r>
                </w:p>
              </w:tc>
              <w:tc>
                <w:tcPr>
                  <w:tcW w:w="408" w:type="pct"/>
                  <w:tcMar>
                    <w:top w:w="15" w:type="dxa"/>
                    <w:left w:w="15" w:type="dxa"/>
                    <w:right w:w="15" w:type="dxa"/>
                  </w:tcMar>
                  <w:vAlign w:val="center"/>
                </w:tcPr>
                <w:p>
                  <w:pPr>
                    <w:widowControl/>
                    <w:jc w:val="center"/>
                  </w:pPr>
                  <w:r>
                    <w:rPr>
                      <w:rFonts w:hint="eastAsia"/>
                    </w:rPr>
                    <w:t>0.3297</w:t>
                  </w:r>
                </w:p>
              </w:tc>
              <w:tc>
                <w:tcPr>
                  <w:tcW w:w="220" w:type="pct"/>
                  <w:vAlign w:val="center"/>
                </w:tcPr>
                <w:p>
                  <w:pPr>
                    <w:widowControl/>
                    <w:jc w:val="center"/>
                    <w:rPr>
                      <w:bCs/>
                    </w:rPr>
                  </w:pPr>
                  <w:r>
                    <w:rPr>
                      <w:rFonts w:hint="eastAsia"/>
                    </w:rPr>
                    <w:t>80%</w:t>
                  </w:r>
                </w:p>
              </w:tc>
              <w:tc>
                <w:tcPr>
                  <w:tcW w:w="256" w:type="pct"/>
                  <w:tcMar>
                    <w:top w:w="15" w:type="dxa"/>
                    <w:left w:w="15" w:type="dxa"/>
                    <w:right w:w="15" w:type="dxa"/>
                  </w:tcMar>
                  <w:vAlign w:val="center"/>
                </w:tcPr>
                <w:p>
                  <w:pPr>
                    <w:widowControl/>
                    <w:jc w:val="center"/>
                  </w:pPr>
                  <w:r>
                    <w:rPr>
                      <w:rFonts w:hint="eastAsia"/>
                    </w:rPr>
                    <w:t>70%</w:t>
                  </w:r>
                </w:p>
              </w:tc>
              <w:tc>
                <w:tcPr>
                  <w:tcW w:w="482" w:type="pct"/>
                  <w:vAlign w:val="center"/>
                </w:tcPr>
                <w:p>
                  <w:pPr>
                    <w:widowControl/>
                    <w:jc w:val="center"/>
                  </w:pPr>
                  <w:r>
                    <w:rPr>
                      <w:rFonts w:hint="eastAsia"/>
                    </w:rPr>
                    <w:t>11000</w:t>
                  </w:r>
                </w:p>
              </w:tc>
              <w:tc>
                <w:tcPr>
                  <w:tcW w:w="342" w:type="pct"/>
                  <w:tcMar>
                    <w:top w:w="15" w:type="dxa"/>
                    <w:left w:w="15" w:type="dxa"/>
                    <w:right w:w="15" w:type="dxa"/>
                  </w:tcMar>
                  <w:vAlign w:val="center"/>
                </w:tcPr>
                <w:p>
                  <w:pPr>
                    <w:widowControl/>
                    <w:jc w:val="center"/>
                  </w:pPr>
                  <w:r>
                    <w:rPr>
                      <w:rFonts w:hint="eastAsia"/>
                    </w:rPr>
                    <w:t>0.00196</w:t>
                  </w:r>
                </w:p>
              </w:tc>
              <w:tc>
                <w:tcPr>
                  <w:tcW w:w="341" w:type="pct"/>
                  <w:vAlign w:val="center"/>
                </w:tcPr>
                <w:p>
                  <w:pPr>
                    <w:widowControl/>
                    <w:jc w:val="center"/>
                  </w:pPr>
                  <w:r>
                    <w:rPr>
                      <w:rFonts w:hint="eastAsia"/>
                    </w:rPr>
                    <w:t>0.00109</w:t>
                  </w:r>
                </w:p>
              </w:tc>
              <w:tc>
                <w:tcPr>
                  <w:tcW w:w="398" w:type="pct"/>
                  <w:vAlign w:val="center"/>
                </w:tcPr>
                <w:p>
                  <w:pPr>
                    <w:widowControl/>
                    <w:jc w:val="center"/>
                  </w:pPr>
                  <w:r>
                    <w:rPr>
                      <w:rFonts w:hint="eastAsia"/>
                    </w:rPr>
                    <w:t>0.099</w:t>
                  </w:r>
                </w:p>
              </w:tc>
              <w:tc>
                <w:tcPr>
                  <w:tcW w:w="345" w:type="pct"/>
                  <w:tcMar>
                    <w:top w:w="15" w:type="dxa"/>
                    <w:left w:w="15" w:type="dxa"/>
                    <w:right w:w="15" w:type="dxa"/>
                  </w:tcMar>
                  <w:vAlign w:val="center"/>
                </w:tcPr>
                <w:p>
                  <w:pPr>
                    <w:widowControl/>
                    <w:jc w:val="center"/>
                  </w:pPr>
                  <w:r>
                    <w:rPr>
                      <w:rFonts w:hint="eastAsia"/>
                    </w:rPr>
                    <w:t>0.00163</w:t>
                  </w:r>
                </w:p>
              </w:tc>
              <w:tc>
                <w:tcPr>
                  <w:tcW w:w="271" w:type="pct"/>
                  <w:vAlign w:val="center"/>
                </w:tcPr>
                <w:p>
                  <w:pPr>
                    <w:widowControl/>
                    <w:jc w:val="center"/>
                  </w:pPr>
                  <w:r>
                    <w:rPr>
                      <w:rFonts w:hint="eastAsia"/>
                    </w:rPr>
                    <w:t>0.0009</w:t>
                  </w:r>
                </w:p>
              </w:tc>
              <w:tc>
                <w:tcPr>
                  <w:tcW w:w="307" w:type="pct"/>
                  <w:vAlign w:val="center"/>
                </w:tcPr>
                <w:p>
                  <w:pPr>
                    <w:widowControl/>
                    <w:jc w:val="center"/>
                  </w:pPr>
                  <w:r>
                    <w:rPr>
                      <w:rFonts w:hint="eastAsia"/>
                    </w:rPr>
                    <w:t>1800</w:t>
                  </w:r>
                </w:p>
              </w:tc>
            </w:tr>
          </w:tbl>
          <w:p>
            <w:pPr>
              <w:adjustRightInd w:val="0"/>
              <w:snapToGrid w:val="0"/>
              <w:spacing w:line="360" w:lineRule="auto"/>
              <w:ind w:firstLine="422" w:firstLineChars="200"/>
              <w:rPr>
                <w:b/>
              </w:rPr>
            </w:pPr>
            <w:r>
              <w:rPr>
                <w:rFonts w:hint="eastAsia"/>
                <w:b/>
              </w:rPr>
              <w:t>（3）金属粉尘</w:t>
            </w:r>
          </w:p>
          <w:p>
            <w:pPr>
              <w:adjustRightInd w:val="0"/>
              <w:snapToGrid w:val="0"/>
              <w:spacing w:line="360" w:lineRule="auto"/>
              <w:ind w:firstLine="420" w:firstLineChars="200"/>
            </w:pPr>
            <w:r>
              <w:rPr>
                <w:rFonts w:hint="eastAsia"/>
                <w:bCs/>
              </w:rPr>
              <w:t>本项目</w:t>
            </w:r>
            <w:r>
              <w:rPr>
                <w:bCs/>
              </w:rPr>
              <w:t>打磨批锋</w:t>
            </w:r>
            <w:r>
              <w:rPr>
                <w:rFonts w:hint="eastAsia"/>
                <w:bCs/>
              </w:rPr>
              <w:t>、抛光、喷砂/打磨等工序</w:t>
            </w:r>
            <w:r>
              <w:rPr>
                <w:bCs/>
              </w:rPr>
              <w:t>会产生少量的金属粉尘，主要成分为颗粒物。根据生态环境保护部《排放源统计调查产排污核算方法和系数手册》中“33-37，431-434机械行业系数手册”-“06预处理”-“抛丸、喷砂、打磨、滚筒”，颗粒物的产污系数为2.19kg/t原料，</w:t>
            </w:r>
            <w:r>
              <w:rPr>
                <w:rFonts w:hint="eastAsia"/>
                <w:bCs/>
              </w:rPr>
              <w:t>打磨机、抛光机、气动锉刀、喷砂机</w:t>
            </w:r>
            <w:r>
              <w:rPr>
                <w:bCs/>
              </w:rPr>
              <w:t>平均每天工作</w:t>
            </w:r>
            <w:r>
              <w:rPr>
                <w:rFonts w:hint="eastAsia"/>
                <w:bCs/>
              </w:rPr>
              <w:t>8</w:t>
            </w:r>
            <w:r>
              <w:rPr>
                <w:bCs/>
              </w:rPr>
              <w:t>h，年工作300天，则年工作时长为</w:t>
            </w:r>
            <w:r>
              <w:rPr>
                <w:rFonts w:hint="eastAsia"/>
                <w:bCs/>
              </w:rPr>
              <w:t>2400</w:t>
            </w:r>
            <w:r>
              <w:rPr>
                <w:bCs/>
              </w:rPr>
              <w:t>h，因此</w:t>
            </w:r>
            <w:r>
              <w:rPr>
                <w:rFonts w:hint="eastAsia"/>
                <w:bCs/>
              </w:rPr>
              <w:t>干式处理</w:t>
            </w:r>
            <w:r>
              <w:rPr>
                <w:bCs/>
              </w:rPr>
              <w:t>工序颗粒物产生量约2.2995t/a，产生速率约1.2775kg/h。</w:t>
            </w:r>
          </w:p>
          <w:p>
            <w:pPr>
              <w:widowControl/>
              <w:adjustRightInd w:val="0"/>
              <w:snapToGrid w:val="0"/>
              <w:spacing w:line="360" w:lineRule="auto"/>
              <w:ind w:firstLine="422" w:firstLineChars="200"/>
            </w:pPr>
            <w:r>
              <w:rPr>
                <w:rFonts w:hint="eastAsia"/>
                <w:b/>
                <w:bCs/>
              </w:rPr>
              <w:t>废气收集及处理设施：</w:t>
            </w:r>
            <w:r>
              <w:t>抛光机、打磨机、气动锉刀</w:t>
            </w:r>
            <w:r>
              <w:rPr>
                <w:rFonts w:hint="eastAsia"/>
              </w:rPr>
              <w:t>、喷砂机</w:t>
            </w:r>
            <w:r>
              <w:t>等设备</w:t>
            </w:r>
            <w:r>
              <w:rPr>
                <w:rFonts w:hint="eastAsia"/>
              </w:rPr>
              <w:t>产生的颗粒物</w:t>
            </w:r>
            <w:r>
              <w:rPr>
                <w:bCs/>
              </w:rPr>
              <w:t>采用落地式集气罩收集，且污染物产生点（或生产设施）四周及上下有围挡设施，仅保留物料进出通道，通道敞开面小于1个操作工位面，即此集气罩可视为包围型集气设备</w:t>
            </w:r>
            <w:r>
              <w:rPr>
                <w:rFonts w:hint="eastAsia"/>
                <w:bCs/>
              </w:rPr>
              <w:t>，</w:t>
            </w:r>
            <w:r>
              <w:t>粉尘集中收集至“旋风除尘器”中处理后经排气筒（DA002）达标排放</w:t>
            </w:r>
            <w:r>
              <w:rPr>
                <w:rFonts w:hint="eastAsia"/>
              </w:rPr>
              <w:t>。</w:t>
            </w:r>
          </w:p>
          <w:p>
            <w:pPr>
              <w:adjustRightInd w:val="0"/>
              <w:snapToGrid w:val="0"/>
              <w:spacing w:line="360" w:lineRule="auto"/>
              <w:ind w:firstLine="422" w:firstLineChars="200"/>
              <w:textAlignment w:val="baseline"/>
              <w:rPr>
                <w:bCs/>
              </w:rPr>
            </w:pPr>
            <w:r>
              <w:rPr>
                <w:rFonts w:hint="eastAsia"/>
                <w:b/>
                <w:bCs/>
              </w:rPr>
              <w:t>风量：</w:t>
            </w:r>
            <w:r>
              <w:rPr>
                <w:bCs/>
              </w:rPr>
              <w:t>根据《三废处理工程技术手册》（废气卷）中落地式外部集气管道风量确定计算公式：</w:t>
            </w:r>
          </w:p>
          <w:p>
            <w:pPr>
              <w:widowControl/>
              <w:adjustRightInd w:val="0"/>
              <w:snapToGrid w:val="0"/>
              <w:spacing w:line="360" w:lineRule="auto"/>
              <w:ind w:firstLine="420" w:firstLineChars="200"/>
              <w:jc w:val="center"/>
            </w:pPr>
            <w:r>
              <w:t>Q=3600×0.75（10x</w:t>
            </w:r>
            <w:r>
              <w:rPr>
                <w:vertAlign w:val="superscript"/>
              </w:rPr>
              <w:t>2</w:t>
            </w:r>
            <w:r>
              <w:t>+F）×Vx</w:t>
            </w:r>
          </w:p>
          <w:p>
            <w:pPr>
              <w:widowControl/>
              <w:adjustRightInd w:val="0"/>
              <w:snapToGrid w:val="0"/>
              <w:spacing w:line="360" w:lineRule="auto"/>
              <w:ind w:firstLine="420" w:firstLineChars="200"/>
            </w:pPr>
            <w:r>
              <w:t>其中：x——集气罩至污染源的距离（m）；</w:t>
            </w:r>
          </w:p>
          <w:p>
            <w:pPr>
              <w:widowControl/>
              <w:adjustRightInd w:val="0"/>
              <w:snapToGrid w:val="0"/>
              <w:spacing w:line="360" w:lineRule="auto"/>
              <w:ind w:firstLine="420" w:firstLineChars="200"/>
            </w:pPr>
            <w:r>
              <w:t>F——集气罩罩口面积（m</w:t>
            </w:r>
            <w:r>
              <w:rPr>
                <w:vertAlign w:val="superscript"/>
              </w:rPr>
              <w:t>2</w:t>
            </w:r>
            <w:r>
              <w:t>）；</w:t>
            </w:r>
          </w:p>
          <w:p>
            <w:pPr>
              <w:widowControl/>
              <w:adjustRightInd w:val="0"/>
              <w:snapToGrid w:val="0"/>
              <w:spacing w:line="360" w:lineRule="auto"/>
              <w:ind w:firstLine="420" w:firstLineChars="200"/>
            </w:pPr>
            <w:r>
              <w:t>V</w:t>
            </w:r>
            <w:r>
              <w:rPr>
                <w:vertAlign w:val="subscript"/>
              </w:rPr>
              <w:t>X</w:t>
            </w:r>
            <w:r>
              <w:t>——控制风速（m/s）。</w:t>
            </w:r>
          </w:p>
          <w:p>
            <w:pPr>
              <w:widowControl/>
              <w:spacing w:before="120" w:beforeLines="50" w:line="360" w:lineRule="auto"/>
              <w:jc w:val="center"/>
              <w:rPr>
                <w:b/>
              </w:rPr>
            </w:pPr>
            <w:r>
              <w:rPr>
                <w:b/>
              </w:rPr>
              <w:t>表 4-</w:t>
            </w:r>
            <w:r>
              <w:rPr>
                <w:rFonts w:hint="eastAsia"/>
                <w:b/>
              </w:rPr>
              <w:t>4</w:t>
            </w:r>
            <w:r>
              <w:rPr>
                <w:b/>
              </w:rPr>
              <w:t xml:space="preserve"> 项目打磨抛光粉尘收集风量设计参数表</w:t>
            </w:r>
          </w:p>
          <w:tbl>
            <w:tblPr>
              <w:tblStyle w:val="101"/>
              <w:tblW w:w="4999"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7"/>
              <w:gridCol w:w="1323"/>
              <w:gridCol w:w="1324"/>
              <w:gridCol w:w="1324"/>
              <w:gridCol w:w="1324"/>
              <w:gridCol w:w="1347"/>
              <w:gridCol w:w="13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09" w:type="pct"/>
                  <w:vAlign w:val="center"/>
                </w:tcPr>
                <w:p>
                  <w:pPr>
                    <w:widowControl/>
                    <w:adjustRightInd w:val="0"/>
                    <w:snapToGrid w:val="0"/>
                    <w:jc w:val="center"/>
                    <w:rPr>
                      <w:b/>
                      <w:bCs/>
                    </w:rPr>
                  </w:pPr>
                  <w:r>
                    <w:rPr>
                      <w:b/>
                      <w:bCs/>
                    </w:rPr>
                    <w:t>设备</w:t>
                  </w:r>
                </w:p>
              </w:tc>
              <w:tc>
                <w:tcPr>
                  <w:tcW w:w="712" w:type="pct"/>
                  <w:vAlign w:val="center"/>
                </w:tcPr>
                <w:p>
                  <w:pPr>
                    <w:widowControl/>
                    <w:adjustRightInd w:val="0"/>
                    <w:snapToGrid w:val="0"/>
                    <w:jc w:val="center"/>
                    <w:rPr>
                      <w:b/>
                      <w:bCs/>
                    </w:rPr>
                  </w:pPr>
                  <w:r>
                    <w:rPr>
                      <w:b/>
                      <w:bCs/>
                    </w:rPr>
                    <w:t>集气罩至污染源的距离（m）</w:t>
                  </w:r>
                </w:p>
              </w:tc>
              <w:tc>
                <w:tcPr>
                  <w:tcW w:w="713" w:type="pct"/>
                  <w:vAlign w:val="center"/>
                </w:tcPr>
                <w:p>
                  <w:pPr>
                    <w:widowControl/>
                    <w:adjustRightInd w:val="0"/>
                    <w:snapToGrid w:val="0"/>
                    <w:jc w:val="center"/>
                    <w:rPr>
                      <w:b/>
                      <w:bCs/>
                    </w:rPr>
                  </w:pPr>
                  <w:r>
                    <w:rPr>
                      <w:b/>
                      <w:bCs/>
                    </w:rPr>
                    <w:t>集气罩口面积（m</w:t>
                  </w:r>
                  <w:r>
                    <w:rPr>
                      <w:b/>
                      <w:bCs/>
                      <w:vertAlign w:val="superscript"/>
                    </w:rPr>
                    <w:t>2</w:t>
                  </w:r>
                  <w:r>
                    <w:rPr>
                      <w:b/>
                      <w:bCs/>
                    </w:rPr>
                    <w:t>）</w:t>
                  </w:r>
                </w:p>
              </w:tc>
              <w:tc>
                <w:tcPr>
                  <w:tcW w:w="713" w:type="pct"/>
                  <w:vAlign w:val="center"/>
                </w:tcPr>
                <w:p>
                  <w:pPr>
                    <w:widowControl/>
                    <w:adjustRightInd w:val="0"/>
                    <w:snapToGrid w:val="0"/>
                    <w:jc w:val="center"/>
                    <w:rPr>
                      <w:b/>
                      <w:bCs/>
                    </w:rPr>
                  </w:pPr>
                  <w:r>
                    <w:rPr>
                      <w:b/>
                      <w:bCs/>
                    </w:rPr>
                    <w:t>控制风速（m/s）</w:t>
                  </w:r>
                </w:p>
              </w:tc>
              <w:tc>
                <w:tcPr>
                  <w:tcW w:w="713" w:type="pct"/>
                  <w:vAlign w:val="center"/>
                </w:tcPr>
                <w:p>
                  <w:pPr>
                    <w:widowControl/>
                    <w:adjustRightInd w:val="0"/>
                    <w:snapToGrid w:val="0"/>
                    <w:jc w:val="center"/>
                    <w:rPr>
                      <w:b/>
                      <w:bCs/>
                    </w:rPr>
                  </w:pPr>
                  <w:r>
                    <w:rPr>
                      <w:b/>
                      <w:bCs/>
                    </w:rPr>
                    <w:t>单个</w:t>
                  </w:r>
                  <w:r>
                    <w:rPr>
                      <w:rFonts w:hint="eastAsia"/>
                      <w:b/>
                      <w:bCs/>
                    </w:rPr>
                    <w:t>集气</w:t>
                  </w:r>
                  <w:r>
                    <w:rPr>
                      <w:b/>
                      <w:bCs/>
                    </w:rPr>
                    <w:t>设施风量（m</w:t>
                  </w:r>
                  <w:r>
                    <w:rPr>
                      <w:b/>
                      <w:bCs/>
                      <w:vertAlign w:val="superscript"/>
                    </w:rPr>
                    <w:t>3</w:t>
                  </w:r>
                  <w:r>
                    <w:rPr>
                      <w:b/>
                      <w:bCs/>
                    </w:rPr>
                    <w:t>/h）</w:t>
                  </w:r>
                </w:p>
              </w:tc>
              <w:tc>
                <w:tcPr>
                  <w:tcW w:w="720" w:type="pct"/>
                  <w:vAlign w:val="center"/>
                </w:tcPr>
                <w:p>
                  <w:pPr>
                    <w:widowControl/>
                    <w:adjustRightInd w:val="0"/>
                    <w:snapToGrid w:val="0"/>
                    <w:jc w:val="center"/>
                    <w:rPr>
                      <w:b/>
                      <w:bCs/>
                    </w:rPr>
                  </w:pPr>
                  <w:r>
                    <w:rPr>
                      <w:b/>
                      <w:bCs/>
                    </w:rPr>
                    <w:t>集气设施数量（个）</w:t>
                  </w:r>
                </w:p>
              </w:tc>
              <w:tc>
                <w:tcPr>
                  <w:tcW w:w="714" w:type="pct"/>
                  <w:vAlign w:val="center"/>
                </w:tcPr>
                <w:p>
                  <w:pPr>
                    <w:widowControl/>
                    <w:adjustRightInd w:val="0"/>
                    <w:snapToGrid w:val="0"/>
                    <w:jc w:val="center"/>
                    <w:rPr>
                      <w:b/>
                      <w:bCs/>
                    </w:rPr>
                  </w:pPr>
                  <w:r>
                    <w:rPr>
                      <w:b/>
                      <w:bCs/>
                    </w:rPr>
                    <w:t>风量（m</w:t>
                  </w:r>
                  <w:r>
                    <w:rPr>
                      <w:b/>
                      <w:bCs/>
                      <w:vertAlign w:val="superscript"/>
                    </w:rPr>
                    <w:t>3</w:t>
                  </w:r>
                  <w:r>
                    <w:rPr>
                      <w:b/>
                      <w:bCs/>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pct"/>
                  <w:vAlign w:val="center"/>
                </w:tcPr>
                <w:p>
                  <w:pPr>
                    <w:widowControl/>
                    <w:adjustRightInd w:val="0"/>
                    <w:snapToGrid w:val="0"/>
                    <w:jc w:val="center"/>
                  </w:pPr>
                  <w:r>
                    <w:t>抛光机</w:t>
                  </w:r>
                </w:p>
              </w:tc>
              <w:tc>
                <w:tcPr>
                  <w:tcW w:w="712" w:type="pct"/>
                  <w:vAlign w:val="center"/>
                </w:tcPr>
                <w:p>
                  <w:pPr>
                    <w:widowControl/>
                    <w:adjustRightInd w:val="0"/>
                    <w:snapToGrid w:val="0"/>
                    <w:jc w:val="center"/>
                  </w:pPr>
                  <w:r>
                    <w:t>0.3</w:t>
                  </w:r>
                </w:p>
              </w:tc>
              <w:tc>
                <w:tcPr>
                  <w:tcW w:w="713" w:type="pct"/>
                  <w:vAlign w:val="center"/>
                </w:tcPr>
                <w:p>
                  <w:pPr>
                    <w:widowControl/>
                    <w:adjustRightInd w:val="0"/>
                    <w:snapToGrid w:val="0"/>
                    <w:jc w:val="center"/>
                  </w:pPr>
                  <w:r>
                    <w:t>0.1</w:t>
                  </w:r>
                </w:p>
              </w:tc>
              <w:tc>
                <w:tcPr>
                  <w:tcW w:w="713" w:type="pct"/>
                  <w:vAlign w:val="center"/>
                </w:tcPr>
                <w:p>
                  <w:pPr>
                    <w:widowControl/>
                    <w:adjustRightInd w:val="0"/>
                    <w:snapToGrid w:val="0"/>
                    <w:jc w:val="center"/>
                  </w:pPr>
                  <w:r>
                    <w:t>0.</w:t>
                  </w:r>
                  <w:r>
                    <w:rPr>
                      <w:rFonts w:hint="eastAsia"/>
                    </w:rPr>
                    <w:t>6</w:t>
                  </w:r>
                </w:p>
              </w:tc>
              <w:tc>
                <w:tcPr>
                  <w:tcW w:w="713" w:type="pct"/>
                  <w:vAlign w:val="center"/>
                </w:tcPr>
                <w:p>
                  <w:pPr>
                    <w:widowControl/>
                    <w:adjustRightInd w:val="0"/>
                    <w:snapToGrid w:val="0"/>
                    <w:jc w:val="center"/>
                  </w:pPr>
                  <w:r>
                    <w:rPr>
                      <w:rFonts w:hint="eastAsia"/>
                    </w:rPr>
                    <w:t>1350</w:t>
                  </w:r>
                </w:p>
              </w:tc>
              <w:tc>
                <w:tcPr>
                  <w:tcW w:w="720" w:type="pct"/>
                  <w:vAlign w:val="center"/>
                </w:tcPr>
                <w:p>
                  <w:pPr>
                    <w:widowControl/>
                    <w:adjustRightInd w:val="0"/>
                    <w:snapToGrid w:val="0"/>
                    <w:jc w:val="center"/>
                  </w:pPr>
                  <w:r>
                    <w:t>4</w:t>
                  </w:r>
                </w:p>
              </w:tc>
              <w:tc>
                <w:tcPr>
                  <w:tcW w:w="714" w:type="pct"/>
                  <w:vAlign w:val="center"/>
                </w:tcPr>
                <w:p>
                  <w:pPr>
                    <w:widowControl/>
                    <w:adjustRightInd w:val="0"/>
                    <w:snapToGrid w:val="0"/>
                    <w:jc w:val="center"/>
                  </w:pPr>
                  <w:r>
                    <w:rPr>
                      <w:rFonts w:hint="eastAsia"/>
                    </w:rPr>
                    <w:t>5400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pct"/>
                  <w:vAlign w:val="center"/>
                </w:tcPr>
                <w:p>
                  <w:pPr>
                    <w:widowControl/>
                    <w:adjustRightInd w:val="0"/>
                    <w:snapToGrid w:val="0"/>
                    <w:jc w:val="center"/>
                  </w:pPr>
                  <w:r>
                    <w:t>打磨机</w:t>
                  </w:r>
                </w:p>
              </w:tc>
              <w:tc>
                <w:tcPr>
                  <w:tcW w:w="712" w:type="pct"/>
                  <w:vAlign w:val="center"/>
                </w:tcPr>
                <w:p>
                  <w:pPr>
                    <w:widowControl/>
                    <w:adjustRightInd w:val="0"/>
                    <w:snapToGrid w:val="0"/>
                    <w:jc w:val="center"/>
                  </w:pPr>
                  <w:r>
                    <w:t>0.3</w:t>
                  </w:r>
                </w:p>
              </w:tc>
              <w:tc>
                <w:tcPr>
                  <w:tcW w:w="713" w:type="pct"/>
                  <w:vAlign w:val="center"/>
                </w:tcPr>
                <w:p>
                  <w:pPr>
                    <w:widowControl/>
                    <w:adjustRightInd w:val="0"/>
                    <w:snapToGrid w:val="0"/>
                    <w:jc w:val="center"/>
                  </w:pPr>
                  <w:r>
                    <w:t>0.1</w:t>
                  </w:r>
                </w:p>
              </w:tc>
              <w:tc>
                <w:tcPr>
                  <w:tcW w:w="713" w:type="pct"/>
                  <w:vAlign w:val="center"/>
                </w:tcPr>
                <w:p>
                  <w:pPr>
                    <w:widowControl/>
                    <w:adjustRightInd w:val="0"/>
                    <w:snapToGrid w:val="0"/>
                    <w:jc w:val="center"/>
                  </w:pPr>
                  <w:r>
                    <w:t>0.</w:t>
                  </w:r>
                  <w:r>
                    <w:rPr>
                      <w:rFonts w:hint="eastAsia"/>
                    </w:rPr>
                    <w:t>6</w:t>
                  </w:r>
                </w:p>
              </w:tc>
              <w:tc>
                <w:tcPr>
                  <w:tcW w:w="713" w:type="pct"/>
                  <w:vAlign w:val="center"/>
                </w:tcPr>
                <w:p>
                  <w:pPr>
                    <w:widowControl/>
                    <w:adjustRightInd w:val="0"/>
                    <w:snapToGrid w:val="0"/>
                    <w:jc w:val="center"/>
                  </w:pPr>
                  <w:r>
                    <w:rPr>
                      <w:rFonts w:hint="eastAsia"/>
                    </w:rPr>
                    <w:t>1350</w:t>
                  </w:r>
                </w:p>
              </w:tc>
              <w:tc>
                <w:tcPr>
                  <w:tcW w:w="720" w:type="pct"/>
                  <w:vAlign w:val="center"/>
                </w:tcPr>
                <w:p>
                  <w:pPr>
                    <w:widowControl/>
                    <w:adjustRightInd w:val="0"/>
                    <w:snapToGrid w:val="0"/>
                    <w:jc w:val="center"/>
                  </w:pPr>
                  <w:r>
                    <w:t>2</w:t>
                  </w:r>
                </w:p>
              </w:tc>
              <w:tc>
                <w:tcPr>
                  <w:tcW w:w="714" w:type="pct"/>
                  <w:vAlign w:val="center"/>
                </w:tcPr>
                <w:p>
                  <w:pPr>
                    <w:widowControl/>
                    <w:adjustRightInd w:val="0"/>
                    <w:snapToGrid w:val="0"/>
                    <w:jc w:val="center"/>
                  </w:pPr>
                  <w:r>
                    <w:rPr>
                      <w:rFonts w:hint="eastAsia"/>
                    </w:rPr>
                    <w:t>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pct"/>
                  <w:vAlign w:val="center"/>
                </w:tcPr>
                <w:p>
                  <w:pPr>
                    <w:widowControl/>
                    <w:adjustRightInd w:val="0"/>
                    <w:snapToGrid w:val="0"/>
                    <w:jc w:val="center"/>
                  </w:pPr>
                  <w:r>
                    <w:t>气动锉刀</w:t>
                  </w:r>
                </w:p>
              </w:tc>
              <w:tc>
                <w:tcPr>
                  <w:tcW w:w="712" w:type="pct"/>
                  <w:vAlign w:val="center"/>
                </w:tcPr>
                <w:p>
                  <w:pPr>
                    <w:widowControl/>
                    <w:adjustRightInd w:val="0"/>
                    <w:snapToGrid w:val="0"/>
                    <w:jc w:val="center"/>
                  </w:pPr>
                  <w:r>
                    <w:t>0.3</w:t>
                  </w:r>
                </w:p>
              </w:tc>
              <w:tc>
                <w:tcPr>
                  <w:tcW w:w="713" w:type="pct"/>
                  <w:vAlign w:val="center"/>
                </w:tcPr>
                <w:p>
                  <w:pPr>
                    <w:widowControl/>
                    <w:adjustRightInd w:val="0"/>
                    <w:snapToGrid w:val="0"/>
                    <w:jc w:val="center"/>
                  </w:pPr>
                  <w:r>
                    <w:rPr>
                      <w:rFonts w:hint="eastAsia"/>
                    </w:rPr>
                    <w:t>1</w:t>
                  </w:r>
                </w:p>
              </w:tc>
              <w:tc>
                <w:tcPr>
                  <w:tcW w:w="713" w:type="pct"/>
                  <w:vAlign w:val="center"/>
                </w:tcPr>
                <w:p>
                  <w:pPr>
                    <w:widowControl/>
                    <w:adjustRightInd w:val="0"/>
                    <w:snapToGrid w:val="0"/>
                    <w:jc w:val="center"/>
                  </w:pPr>
                  <w:r>
                    <w:t>0.</w:t>
                  </w:r>
                  <w:r>
                    <w:rPr>
                      <w:rFonts w:hint="eastAsia"/>
                    </w:rPr>
                    <w:t>6</w:t>
                  </w:r>
                </w:p>
              </w:tc>
              <w:tc>
                <w:tcPr>
                  <w:tcW w:w="713" w:type="pct"/>
                  <w:vAlign w:val="center"/>
                </w:tcPr>
                <w:p>
                  <w:pPr>
                    <w:widowControl/>
                    <w:adjustRightInd w:val="0"/>
                    <w:snapToGrid w:val="0"/>
                    <w:jc w:val="center"/>
                  </w:pPr>
                  <w:r>
                    <w:rPr>
                      <w:rFonts w:hint="eastAsia"/>
                    </w:rPr>
                    <w:t>3078</w:t>
                  </w:r>
                </w:p>
              </w:tc>
              <w:tc>
                <w:tcPr>
                  <w:tcW w:w="720" w:type="pct"/>
                  <w:vAlign w:val="center"/>
                </w:tcPr>
                <w:p>
                  <w:pPr>
                    <w:widowControl/>
                    <w:adjustRightInd w:val="0"/>
                    <w:snapToGrid w:val="0"/>
                    <w:jc w:val="center"/>
                  </w:pPr>
                  <w:r>
                    <w:rPr>
                      <w:rFonts w:hint="eastAsia"/>
                    </w:rPr>
                    <w:t>1</w:t>
                  </w:r>
                </w:p>
              </w:tc>
              <w:tc>
                <w:tcPr>
                  <w:tcW w:w="714" w:type="pct"/>
                  <w:vAlign w:val="center"/>
                </w:tcPr>
                <w:p>
                  <w:pPr>
                    <w:widowControl/>
                    <w:adjustRightInd w:val="0"/>
                    <w:snapToGrid w:val="0"/>
                    <w:jc w:val="center"/>
                  </w:pPr>
                  <w:r>
                    <w:rPr>
                      <w:rFonts w:hint="eastAsia"/>
                    </w:rPr>
                    <w:t>3078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4" w:hRule="atLeast"/>
                <w:jc w:val="center"/>
              </w:trPr>
              <w:tc>
                <w:tcPr>
                  <w:tcW w:w="709" w:type="pct"/>
                  <w:vAlign w:val="center"/>
                </w:tcPr>
                <w:p>
                  <w:pPr>
                    <w:widowControl/>
                    <w:adjustRightInd w:val="0"/>
                    <w:snapToGrid w:val="0"/>
                    <w:jc w:val="center"/>
                  </w:pPr>
                  <w:r>
                    <w:rPr>
                      <w:rFonts w:hint="eastAsia"/>
                    </w:rPr>
                    <w:t>喷砂机</w:t>
                  </w:r>
                </w:p>
              </w:tc>
              <w:tc>
                <w:tcPr>
                  <w:tcW w:w="712" w:type="pct"/>
                  <w:vAlign w:val="center"/>
                </w:tcPr>
                <w:p>
                  <w:pPr>
                    <w:widowControl/>
                    <w:adjustRightInd w:val="0"/>
                    <w:snapToGrid w:val="0"/>
                    <w:jc w:val="center"/>
                  </w:pPr>
                  <w:r>
                    <w:rPr>
                      <w:rFonts w:hint="eastAsia"/>
                    </w:rPr>
                    <w:t>0.3</w:t>
                  </w:r>
                </w:p>
              </w:tc>
              <w:tc>
                <w:tcPr>
                  <w:tcW w:w="713" w:type="pct"/>
                  <w:vAlign w:val="center"/>
                </w:tcPr>
                <w:p>
                  <w:pPr>
                    <w:widowControl/>
                    <w:adjustRightInd w:val="0"/>
                    <w:snapToGrid w:val="0"/>
                    <w:jc w:val="center"/>
                  </w:pPr>
                  <w:r>
                    <w:rPr>
                      <w:rFonts w:hint="eastAsia"/>
                    </w:rPr>
                    <w:t>0.1</w:t>
                  </w:r>
                </w:p>
              </w:tc>
              <w:tc>
                <w:tcPr>
                  <w:tcW w:w="713" w:type="pct"/>
                  <w:vAlign w:val="center"/>
                </w:tcPr>
                <w:p>
                  <w:pPr>
                    <w:widowControl/>
                    <w:adjustRightInd w:val="0"/>
                    <w:snapToGrid w:val="0"/>
                    <w:jc w:val="center"/>
                  </w:pPr>
                  <w:r>
                    <w:rPr>
                      <w:rFonts w:hint="eastAsia"/>
                    </w:rPr>
                    <w:t>0.6</w:t>
                  </w:r>
                </w:p>
              </w:tc>
              <w:tc>
                <w:tcPr>
                  <w:tcW w:w="713" w:type="pct"/>
                  <w:vAlign w:val="center"/>
                </w:tcPr>
                <w:p>
                  <w:pPr>
                    <w:widowControl/>
                    <w:adjustRightInd w:val="0"/>
                    <w:snapToGrid w:val="0"/>
                    <w:jc w:val="center"/>
                  </w:pPr>
                  <w:r>
                    <w:rPr>
                      <w:rFonts w:hint="eastAsia"/>
                    </w:rPr>
                    <w:t>1350</w:t>
                  </w:r>
                </w:p>
              </w:tc>
              <w:tc>
                <w:tcPr>
                  <w:tcW w:w="720" w:type="pct"/>
                  <w:vAlign w:val="center"/>
                </w:tcPr>
                <w:p>
                  <w:pPr>
                    <w:widowControl/>
                    <w:adjustRightInd w:val="0"/>
                    <w:snapToGrid w:val="0"/>
                    <w:jc w:val="center"/>
                  </w:pPr>
                  <w:r>
                    <w:rPr>
                      <w:rFonts w:hint="eastAsia"/>
                    </w:rPr>
                    <w:t>2</w:t>
                  </w:r>
                </w:p>
              </w:tc>
              <w:tc>
                <w:tcPr>
                  <w:tcW w:w="714" w:type="pct"/>
                  <w:vAlign w:val="center"/>
                </w:tcPr>
                <w:p>
                  <w:pPr>
                    <w:widowControl/>
                    <w:adjustRightInd w:val="0"/>
                    <w:snapToGrid w:val="0"/>
                    <w:jc w:val="center"/>
                  </w:pPr>
                  <w:r>
                    <w:rPr>
                      <w:rFonts w:hint="eastAsia"/>
                    </w:rPr>
                    <w:t>2700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5" w:hRule="atLeast"/>
                <w:jc w:val="center"/>
              </w:trPr>
              <w:tc>
                <w:tcPr>
                  <w:tcW w:w="4285" w:type="pct"/>
                  <w:gridSpan w:val="6"/>
                  <w:vAlign w:val="center"/>
                </w:tcPr>
                <w:p>
                  <w:pPr>
                    <w:widowControl/>
                    <w:adjustRightInd w:val="0"/>
                    <w:snapToGrid w:val="0"/>
                    <w:jc w:val="center"/>
                  </w:pPr>
                  <w:r>
                    <w:t>合计</w:t>
                  </w:r>
                </w:p>
              </w:tc>
              <w:tc>
                <w:tcPr>
                  <w:tcW w:w="714" w:type="pct"/>
                  <w:vAlign w:val="center"/>
                </w:tcPr>
                <w:p>
                  <w:pPr>
                    <w:widowControl/>
                    <w:adjustRightInd w:val="0"/>
                    <w:snapToGrid w:val="0"/>
                    <w:jc w:val="center"/>
                  </w:pPr>
                  <w:r>
                    <w:rPr>
                      <w:rFonts w:hint="eastAsia"/>
                    </w:rPr>
                    <w:t>13878</w:t>
                  </w:r>
                </w:p>
              </w:tc>
            </w:tr>
          </w:tbl>
          <w:p>
            <w:pPr>
              <w:adjustRightInd w:val="0"/>
              <w:snapToGrid w:val="0"/>
              <w:spacing w:before="120" w:beforeLines="50" w:line="360" w:lineRule="auto"/>
              <w:ind w:firstLine="420" w:firstLineChars="200"/>
              <w:rPr>
                <w:bCs/>
              </w:rPr>
            </w:pPr>
            <w:r>
              <w:rPr>
                <w:bCs/>
              </w:rPr>
              <w:t>本项目排气筒（DA002）的总风量为</w:t>
            </w:r>
            <w:r>
              <w:rPr>
                <w:rFonts w:hint="eastAsia"/>
                <w:bCs/>
              </w:rPr>
              <w:t>13878</w:t>
            </w:r>
            <w:r>
              <w:rPr>
                <w:bCs/>
              </w:rPr>
              <w:t>m</w:t>
            </w:r>
            <w:r>
              <w:rPr>
                <w:bCs/>
                <w:vertAlign w:val="superscript"/>
              </w:rPr>
              <w:t>3</w:t>
            </w:r>
            <w:r>
              <w:rPr>
                <w:bCs/>
              </w:rPr>
              <w:t>/h，考虑风管和设备的漏风量，管道漏风附加系数取1.15，设备漏风附加系数取1.05，因此排气筒（DA002）中设置风机风量为</w:t>
            </w:r>
            <w:r>
              <w:rPr>
                <w:rFonts w:hint="eastAsia"/>
                <w:bCs/>
              </w:rPr>
              <w:t>16757.7</w:t>
            </w:r>
            <w:r>
              <w:rPr>
                <w:bCs/>
              </w:rPr>
              <w:t>m</w:t>
            </w:r>
            <w:r>
              <w:rPr>
                <w:bCs/>
                <w:vertAlign w:val="superscript"/>
              </w:rPr>
              <w:t>3</w:t>
            </w:r>
            <w:r>
              <w:rPr>
                <w:bCs/>
              </w:rPr>
              <w:t>/h，取</w:t>
            </w:r>
            <w:r>
              <w:rPr>
                <w:rFonts w:hint="eastAsia"/>
                <w:bCs/>
              </w:rPr>
              <w:t>17000</w:t>
            </w:r>
            <w:r>
              <w:rPr>
                <w:bCs/>
              </w:rPr>
              <w:t>m</w:t>
            </w:r>
            <w:r>
              <w:rPr>
                <w:bCs/>
                <w:vertAlign w:val="superscript"/>
              </w:rPr>
              <w:t>3</w:t>
            </w:r>
            <w:r>
              <w:rPr>
                <w:bCs/>
              </w:rPr>
              <w:t xml:space="preserve">/h。 </w:t>
            </w:r>
          </w:p>
          <w:p>
            <w:pPr>
              <w:adjustRightInd w:val="0"/>
              <w:snapToGrid w:val="0"/>
              <w:spacing w:line="360" w:lineRule="auto"/>
              <w:ind w:firstLine="422" w:firstLineChars="200"/>
              <w:textAlignment w:val="baseline"/>
            </w:pPr>
            <w:r>
              <w:rPr>
                <w:rFonts w:hint="eastAsia"/>
                <w:b/>
                <w:bCs/>
              </w:rPr>
              <w:t>收集效率：</w:t>
            </w:r>
            <w:r>
              <w:rPr>
                <w:rFonts w:hint="eastAsia"/>
              </w:rPr>
              <w:t>《广东省工业源挥发性有机物减排量核算方法（试行）》表4</w:t>
            </w:r>
            <w:r>
              <w:t>.5-1</w:t>
            </w:r>
            <w:r>
              <w:rPr>
                <w:rFonts w:hint="eastAsia"/>
              </w:rPr>
              <w:t>废气收集集气效率参考值，</w:t>
            </w:r>
            <w:r>
              <w:rPr>
                <w:bCs/>
              </w:rPr>
              <w:t>打磨抛光粉尘采用落地式集气罩收集，且污染物产生点（或生产设施）四周及上下有围挡设施，仅保留物料进出通道，通道敞开面小于1个操作工位面，即此集气罩可视为包围型集气设备，控制风速为</w:t>
            </w:r>
            <w:r>
              <w:rPr>
                <w:rFonts w:hint="eastAsia"/>
                <w:bCs/>
              </w:rPr>
              <w:t>0.6</w:t>
            </w:r>
            <w:r>
              <w:rPr>
                <w:bCs/>
              </w:rPr>
              <w:t>m/s</w:t>
            </w:r>
            <w:r>
              <w:rPr>
                <w:rFonts w:hint="eastAsia"/>
                <w:bCs/>
              </w:rPr>
              <w:t>，收集效率取80%。</w:t>
            </w:r>
          </w:p>
          <w:p>
            <w:pPr>
              <w:adjustRightInd w:val="0"/>
              <w:snapToGrid w:val="0"/>
              <w:spacing w:line="360" w:lineRule="auto"/>
              <w:ind w:firstLine="422" w:firstLineChars="200"/>
              <w:textAlignment w:val="baseline"/>
            </w:pPr>
            <w:r>
              <w:rPr>
                <w:rFonts w:hint="eastAsia"/>
                <w:b/>
                <w:bCs/>
              </w:rPr>
              <w:t>处理效率：</w:t>
            </w:r>
            <w:r>
              <w:t>根据《大气污染控制技术手册》（化学工业出版社、马广大主编）</w:t>
            </w:r>
            <w:r>
              <w:rPr>
                <w:rFonts w:hint="eastAsia"/>
              </w:rPr>
              <w:t>，</w:t>
            </w:r>
            <w:r>
              <w:t>旋风除尘器对5~10μm之间的尘粒的除尘效率可达90%左右，本项目取值90%。</w:t>
            </w:r>
          </w:p>
          <w:p>
            <w:pPr>
              <w:adjustRightInd w:val="0"/>
              <w:snapToGrid w:val="0"/>
              <w:spacing w:line="360" w:lineRule="auto"/>
              <w:ind w:firstLine="420" w:firstLineChars="200"/>
            </w:pPr>
            <w:r>
              <w:rPr>
                <w:rStyle w:val="112"/>
                <w:rFonts w:hint="eastAsia"/>
              </w:rPr>
              <w:t>综上分析，</w:t>
            </w:r>
            <w:r>
              <w:rPr>
                <w:rFonts w:hint="eastAsia"/>
                <w:bCs/>
              </w:rPr>
              <w:t>干式处理</w:t>
            </w:r>
            <w:r>
              <w:rPr>
                <w:bCs/>
              </w:rPr>
              <w:t>工序颗粒物产生量约2.2995t/a，产生速率约1.2775kg/h</w:t>
            </w:r>
            <w:r>
              <w:rPr>
                <w:rFonts w:hint="eastAsia"/>
                <w:bCs/>
              </w:rPr>
              <w:t>，产生浓度为75.15mg/m</w:t>
            </w:r>
            <w:r>
              <w:rPr>
                <w:rFonts w:hint="eastAsia"/>
                <w:bCs/>
                <w:vertAlign w:val="superscript"/>
              </w:rPr>
              <w:t>3</w:t>
            </w:r>
            <w:r>
              <w:rPr>
                <w:rFonts w:hint="eastAsia"/>
                <w:bCs/>
              </w:rPr>
              <w:t>，排放量约0.184t/a，排放速率约0.07665kg/h，排放浓度约为4.51mg/m</w:t>
            </w:r>
            <w:r>
              <w:rPr>
                <w:rFonts w:hint="eastAsia"/>
                <w:bCs/>
                <w:vertAlign w:val="superscript"/>
              </w:rPr>
              <w:t>3</w:t>
            </w:r>
            <w:r>
              <w:rPr>
                <w:rFonts w:hint="eastAsia"/>
                <w:bCs/>
              </w:rPr>
              <w:t>。</w:t>
            </w:r>
          </w:p>
          <w:p>
            <w:pPr>
              <w:numPr>
                <w:ilvl w:val="0"/>
                <w:numId w:val="17"/>
              </w:numPr>
              <w:adjustRightInd w:val="0"/>
              <w:snapToGrid w:val="0"/>
              <w:spacing w:line="360" w:lineRule="auto"/>
              <w:ind w:firstLine="422" w:firstLineChars="200"/>
              <w:textAlignment w:val="baseline"/>
              <w:rPr>
                <w:b/>
                <w:bCs/>
                <w:szCs w:val="21"/>
              </w:rPr>
            </w:pPr>
            <w:r>
              <w:rPr>
                <w:b/>
                <w:bCs/>
                <w:szCs w:val="21"/>
              </w:rPr>
              <w:t>喷粉</w:t>
            </w:r>
            <w:r>
              <w:rPr>
                <w:rFonts w:hint="eastAsia"/>
                <w:b/>
                <w:bCs/>
                <w:szCs w:val="21"/>
              </w:rPr>
              <w:t>废气、</w:t>
            </w:r>
            <w:r>
              <w:rPr>
                <w:b/>
                <w:bCs/>
                <w:szCs w:val="21"/>
              </w:rPr>
              <w:t>烘烤固化废气</w:t>
            </w:r>
          </w:p>
          <w:p>
            <w:pPr>
              <w:widowControl/>
              <w:adjustRightInd w:val="0"/>
              <w:snapToGrid w:val="0"/>
              <w:spacing w:line="360" w:lineRule="auto"/>
              <w:ind w:firstLine="422" w:firstLineChars="200"/>
              <w:rPr>
                <w:szCs w:val="21"/>
              </w:rPr>
            </w:pPr>
            <w:r>
              <w:rPr>
                <w:b/>
                <w:bCs/>
                <w:szCs w:val="21"/>
              </w:rPr>
              <w:t>①粉末喷涂粉尘：</w:t>
            </w:r>
            <w:r>
              <w:rPr>
                <w:szCs w:val="21"/>
              </w:rPr>
              <w:t>本项目采用静电喷粉工艺，喷粉过程中会产生粉尘，根据前文核算，项目粉末涂料使用量约1.82t/a。参考《喷塑行业污染物源强估算及治理方法探讨》（青岛理工大学环境与市政工程学院王世杰、朱童琪、宋洁、张明辉、陈秀硕）和项目喷粉设备供应商提供的设计资料，喷粉的平均一次附着率为80-90%，本环评按80%计，则喷粉工序粉尘产生量为0.364t/a，约50%（0.182t/a）的粉尘由于重力沉降于喷粉房内，经收集后回用，其余未沉降的喷粉粉尘为0.182t/a，产生速率为0.07583kg/h。</w:t>
            </w:r>
          </w:p>
          <w:p>
            <w:pPr>
              <w:spacing w:line="360" w:lineRule="auto"/>
              <w:ind w:firstLine="422" w:firstLineChars="200"/>
              <w:rPr>
                <w:szCs w:val="21"/>
              </w:rPr>
            </w:pPr>
            <w:r>
              <w:rPr>
                <w:b/>
                <w:bCs/>
                <w:szCs w:val="21"/>
              </w:rPr>
              <w:t>②烘烤固化有机废气：</w:t>
            </w:r>
            <w:r>
              <w:rPr>
                <w:szCs w:val="21"/>
              </w:rPr>
              <w:t>本项目工件喷粉后烘烤过程会产生VOCs，静电喷涂所用粉末涂料为热固性粉末涂料，参考《排放源统计调查产排污核算方法和系数手册》（生态环境部公告 2021年 第24号）其中的《33-37,431-434机械行业系数手册》-5系数表-14涂装-粉末涂料-喷塑后烘干-挥发性有机物产污系数1.2千克/吨-原料，则VOCs产生量为0.002184t/a，产生速率为0.00091kg/h。</w:t>
            </w:r>
          </w:p>
          <w:p>
            <w:pPr>
              <w:spacing w:line="360" w:lineRule="auto"/>
              <w:ind w:firstLine="422" w:firstLineChars="200"/>
              <w:rPr>
                <w:szCs w:val="21"/>
              </w:rPr>
            </w:pPr>
            <w:r>
              <w:rPr>
                <w:b/>
                <w:bCs/>
                <w:szCs w:val="21"/>
              </w:rPr>
              <w:t>废气收集及处理设施：</w:t>
            </w:r>
            <w:r>
              <w:rPr>
                <w:szCs w:val="21"/>
              </w:rPr>
              <w:t>喷粉柜设置两个集气口，喷粉粉尘收集经袋式除尘器过滤处理后经排气筒（DA003）达标排放；烘烤固化废气采用“水喷淋+二级活性炭吸附装置”处理后经排气筒（DA004）达标排放。</w:t>
            </w:r>
          </w:p>
          <w:p>
            <w:pPr>
              <w:spacing w:line="360" w:lineRule="auto"/>
              <w:ind w:firstLine="422" w:firstLineChars="200"/>
              <w:rPr>
                <w:szCs w:val="21"/>
              </w:rPr>
            </w:pPr>
            <w:r>
              <w:rPr>
                <w:b/>
                <w:bCs/>
                <w:szCs w:val="21"/>
              </w:rPr>
              <w:t>风量：</w:t>
            </w:r>
            <w:r>
              <w:rPr>
                <w:szCs w:val="21"/>
              </w:rPr>
              <w:t>项目喷粉柜尺寸为长*宽*高=4.0*2.5*3.0m，其中，喷粉室设置1根排气筒（DA003），烘烤室设置1根排气筒（DA004），排风管内径皆为0.3m，风速控制在6m/s，根据《废气处理工程技术手册》（王纯 张殿印 主编）第十七章 净化系统的设计公式17-13：</w:t>
            </w:r>
          </w:p>
          <w:p>
            <w:pPr>
              <w:spacing w:line="360" w:lineRule="auto"/>
              <w:ind w:firstLine="420" w:firstLineChars="200"/>
              <w:jc w:val="center"/>
              <w:rPr>
                <w:szCs w:val="21"/>
              </w:rPr>
            </w:pPr>
            <w:r>
              <w:rPr>
                <w:szCs w:val="21"/>
              </w:rPr>
              <w:t>管道直径D=（4Q/πv）1/2</w:t>
            </w:r>
          </w:p>
          <w:p>
            <w:pPr>
              <w:spacing w:line="360" w:lineRule="auto"/>
              <w:ind w:firstLine="420" w:firstLineChars="200"/>
              <w:rPr>
                <w:szCs w:val="21"/>
              </w:rPr>
            </w:pPr>
            <w:r>
              <w:rPr>
                <w:szCs w:val="21"/>
              </w:rPr>
              <w:t>式中：Q为系统风量（m</w:t>
            </w:r>
            <w:r>
              <w:rPr>
                <w:szCs w:val="21"/>
                <w:vertAlign w:val="superscript"/>
              </w:rPr>
              <w:t>3</w:t>
            </w:r>
            <w:r>
              <w:rPr>
                <w:szCs w:val="21"/>
              </w:rPr>
              <w:t>/s），v为管内风速（m/s）。</w:t>
            </w:r>
          </w:p>
          <w:p>
            <w:pPr>
              <w:spacing w:line="360" w:lineRule="auto"/>
              <w:ind w:firstLine="420" w:firstLineChars="200"/>
              <w:rPr>
                <w:szCs w:val="21"/>
              </w:rPr>
            </w:pPr>
            <w:r>
              <w:rPr>
                <w:szCs w:val="21"/>
              </w:rPr>
              <w:t>由上式变换后可得Q=πD2*V/4</w:t>
            </w:r>
          </w:p>
          <w:p>
            <w:pPr>
              <w:spacing w:line="360" w:lineRule="auto"/>
              <w:ind w:firstLine="420" w:firstLineChars="200"/>
              <w:rPr>
                <w:szCs w:val="21"/>
              </w:rPr>
            </w:pPr>
            <w:r>
              <w:rPr>
                <w:szCs w:val="21"/>
              </w:rPr>
              <w:t>因此项目喷粉柜单个排风管所需风量=3.14*0.3*0.3*6/4=0.424 m</w:t>
            </w:r>
            <w:r>
              <w:rPr>
                <w:szCs w:val="21"/>
                <w:vertAlign w:val="superscript"/>
              </w:rPr>
              <w:t>3</w:t>
            </w:r>
            <w:r>
              <w:rPr>
                <w:szCs w:val="21"/>
              </w:rPr>
              <w:t>/s，则喷粉柜粉尘收集系统、烘烤固化废气收集系统所需总风量为0.424*2400=1017.6m</w:t>
            </w:r>
            <w:r>
              <w:rPr>
                <w:szCs w:val="21"/>
                <w:vertAlign w:val="superscript"/>
              </w:rPr>
              <w:t>3</w:t>
            </w:r>
            <w:r>
              <w:rPr>
                <w:szCs w:val="21"/>
              </w:rPr>
              <w:t>/h，考虑阻力损失，设计风量取2200m</w:t>
            </w:r>
            <w:r>
              <w:rPr>
                <w:szCs w:val="21"/>
                <w:vertAlign w:val="superscript"/>
              </w:rPr>
              <w:t>3</w:t>
            </w:r>
            <w:r>
              <w:rPr>
                <w:szCs w:val="21"/>
              </w:rPr>
              <w:t>/h。</w:t>
            </w:r>
          </w:p>
          <w:p>
            <w:pPr>
              <w:spacing w:line="360" w:lineRule="auto"/>
              <w:ind w:firstLine="422" w:firstLineChars="200"/>
              <w:rPr>
                <w:szCs w:val="21"/>
              </w:rPr>
            </w:pPr>
            <w:r>
              <w:rPr>
                <w:b/>
                <w:bCs/>
                <w:szCs w:val="21"/>
              </w:rPr>
              <w:t>收集效率：</w:t>
            </w:r>
            <w:r>
              <w:rPr>
                <w:szCs w:val="21"/>
              </w:rPr>
              <w:t>项目喷粉柜密闭设计，仅保留工件出入口，喷粉柜形成一个密闭空间，同时在喷粉柜上方设置抽风口，敞开面风速不小于0.5m/s，废气收集效率取80%。</w:t>
            </w:r>
          </w:p>
          <w:p>
            <w:pPr>
              <w:spacing w:line="360" w:lineRule="auto"/>
              <w:ind w:firstLine="422" w:firstLineChars="200"/>
              <w:rPr>
                <w:szCs w:val="21"/>
              </w:rPr>
            </w:pPr>
            <w:r>
              <w:rPr>
                <w:b/>
                <w:bCs/>
                <w:szCs w:val="21"/>
              </w:rPr>
              <w:t>处理效率：</w:t>
            </w:r>
            <w:r>
              <w:rPr>
                <w:szCs w:val="21"/>
              </w:rPr>
              <w:t>根据《三废处理工程技术手册 废气卷》（化工出版社）第二篇第五章第四节中对过滤除尘器的除尘效率分析可知，其除尘效率一般在90%～99%，其中布袋除尘器除尘效率一般可达99%，甚至可达 99.99%以上。本项目喷粉工序粉尘除尘效率取90</w:t>
            </w:r>
            <w:r>
              <w:rPr>
                <w:rFonts w:hint="eastAsia"/>
                <w:szCs w:val="21"/>
              </w:rPr>
              <w:t>%</w:t>
            </w:r>
            <w:r>
              <w:rPr>
                <w:szCs w:val="21"/>
              </w:rPr>
              <w:t>；根据《深圳市典型行业工艺废气排污量核算方法（试行）》表6挥发性有机物治理设施及达标要求，活性炭吸附治理效率为70%，因此二级活性吸附去除率取70%。</w:t>
            </w:r>
          </w:p>
          <w:p>
            <w:pPr>
              <w:spacing w:line="360" w:lineRule="auto"/>
              <w:ind w:firstLine="420" w:firstLineChars="200"/>
              <w:rPr>
                <w:szCs w:val="21"/>
              </w:rPr>
            </w:pPr>
            <w:r>
              <w:rPr>
                <w:rFonts w:hint="eastAsia"/>
                <w:szCs w:val="21"/>
              </w:rPr>
              <w:t>综上分析，喷粉工序颗粒物产生量0.182t/a，产生速率0.07583kg/h，产生浓度为34.47mg/m</w:t>
            </w:r>
            <w:r>
              <w:rPr>
                <w:rFonts w:hint="eastAsia"/>
                <w:szCs w:val="21"/>
                <w:vertAlign w:val="superscript"/>
              </w:rPr>
              <w:t>3</w:t>
            </w:r>
            <w:r>
              <w:rPr>
                <w:rFonts w:hint="eastAsia"/>
                <w:szCs w:val="21"/>
              </w:rPr>
              <w:t>，排放量为0.01456t/a，排放速率0.00607kg/h，排放浓度约为2.758mg/m</w:t>
            </w:r>
            <w:r>
              <w:rPr>
                <w:rFonts w:hint="eastAsia"/>
                <w:szCs w:val="21"/>
                <w:vertAlign w:val="superscript"/>
              </w:rPr>
              <w:t>3</w:t>
            </w:r>
            <w:r>
              <w:rPr>
                <w:rFonts w:hint="eastAsia"/>
                <w:szCs w:val="21"/>
              </w:rPr>
              <w:t>；烘烤固化工序总VOCs产生量为0.002184t/a，产生速率为0.00091kg/h，产生浓度约为0.414mg/m</w:t>
            </w:r>
            <w:r>
              <w:rPr>
                <w:rFonts w:hint="eastAsia"/>
                <w:szCs w:val="21"/>
                <w:vertAlign w:val="superscript"/>
              </w:rPr>
              <w:t>3</w:t>
            </w:r>
            <w:r>
              <w:rPr>
                <w:rFonts w:hint="eastAsia"/>
                <w:szCs w:val="21"/>
              </w:rPr>
              <w:t>，排放量为0.0005242t/a，排放速率为0.000218kg/h，排放浓度约为0.099mg/m</w:t>
            </w:r>
            <w:r>
              <w:rPr>
                <w:rFonts w:hint="eastAsia"/>
                <w:szCs w:val="21"/>
                <w:vertAlign w:val="superscript"/>
              </w:rPr>
              <w:t>3</w:t>
            </w:r>
            <w:r>
              <w:rPr>
                <w:rFonts w:hint="eastAsia"/>
                <w:szCs w:val="21"/>
              </w:rPr>
              <w:t>。</w:t>
            </w:r>
          </w:p>
          <w:p>
            <w:pPr>
              <w:tabs>
                <w:tab w:val="left" w:pos="1081"/>
              </w:tabs>
              <w:adjustRightInd w:val="0"/>
              <w:snapToGrid w:val="0"/>
              <w:spacing w:line="360" w:lineRule="auto"/>
              <w:ind w:firstLine="422" w:firstLineChars="200"/>
              <w:rPr>
                <w:b/>
                <w:szCs w:val="21"/>
              </w:rPr>
            </w:pPr>
            <w:r>
              <w:rPr>
                <w:b/>
                <w:szCs w:val="21"/>
              </w:rPr>
              <w:t>1.2、达标性分析</w:t>
            </w:r>
          </w:p>
          <w:p>
            <w:pPr>
              <w:adjustRightInd w:val="0"/>
              <w:snapToGrid w:val="0"/>
              <w:spacing w:line="360" w:lineRule="auto"/>
              <w:ind w:firstLine="420" w:firstLineChars="200"/>
              <w:rPr>
                <w:szCs w:val="21"/>
              </w:rPr>
            </w:pPr>
            <w:r>
              <w:rPr>
                <w:szCs w:val="21"/>
              </w:rPr>
              <w:t>A、电熔、压铸成型工序产生的烟尘、压铸工序产生</w:t>
            </w:r>
            <w:r>
              <w:rPr>
                <w:rFonts w:hint="eastAsia"/>
                <w:szCs w:val="21"/>
              </w:rPr>
              <w:t>的</w:t>
            </w:r>
            <w:r>
              <w:rPr>
                <w:szCs w:val="21"/>
              </w:rPr>
              <w:t>非甲烷总烃经集气罩收集后引至“水喷淋塔+二级活性炭吸附装置”处理后经排气筒（DA001）达标排放。根据源强核算结果，烟尘有组织排放量约0.0648t/a、排放速率约为0.027kg/h、排放浓度约为2.455mg/m</w:t>
            </w:r>
            <w:r>
              <w:rPr>
                <w:szCs w:val="21"/>
                <w:vertAlign w:val="superscript"/>
              </w:rPr>
              <w:t>3</w:t>
            </w:r>
            <w:r>
              <w:rPr>
                <w:szCs w:val="21"/>
              </w:rPr>
              <w:t>，可以达到《铸造工业大气污染物排放标准》（GB39726-2020）表1限值，颗粒物排放浓度≤30mg/m</w:t>
            </w:r>
            <w:r>
              <w:rPr>
                <w:szCs w:val="21"/>
                <w:vertAlign w:val="superscript"/>
              </w:rPr>
              <w:t>3</w:t>
            </w:r>
            <w:r>
              <w:rPr>
                <w:szCs w:val="21"/>
              </w:rPr>
              <w:t>；非甲烷总烃有组织排放量约为0.00196t/a、排放速率约为0.00109kg/h、排放浓度约为0.099mg/m</w:t>
            </w:r>
            <w:r>
              <w:rPr>
                <w:szCs w:val="21"/>
                <w:vertAlign w:val="superscript"/>
              </w:rPr>
              <w:t>3</w:t>
            </w:r>
            <w:r>
              <w:rPr>
                <w:szCs w:val="21"/>
              </w:rPr>
              <w:t>，可达到</w:t>
            </w:r>
            <w:r>
              <w:rPr>
                <w:bCs/>
                <w:szCs w:val="21"/>
              </w:rPr>
              <w:t>广东省</w:t>
            </w:r>
            <w:r>
              <w:rPr>
                <w:szCs w:val="21"/>
              </w:rPr>
              <w:t>《固定污染源挥发性有机物综合排放标准》（DB44/2367-2022）</w:t>
            </w:r>
            <w:r>
              <w:rPr>
                <w:bCs/>
                <w:szCs w:val="21"/>
              </w:rPr>
              <w:t>中表1挥发性有机物排放限值</w:t>
            </w:r>
            <w:r>
              <w:rPr>
                <w:szCs w:val="21"/>
              </w:rPr>
              <w:t>，非甲烷总烃排放浓度≤80mg/m</w:t>
            </w:r>
            <w:r>
              <w:rPr>
                <w:szCs w:val="21"/>
                <w:vertAlign w:val="superscript"/>
              </w:rPr>
              <w:t>3</w:t>
            </w:r>
            <w:r>
              <w:rPr>
                <w:szCs w:val="21"/>
              </w:rPr>
              <w:t>。</w:t>
            </w:r>
          </w:p>
          <w:p>
            <w:pPr>
              <w:adjustRightInd w:val="0"/>
              <w:snapToGrid w:val="0"/>
              <w:spacing w:line="360" w:lineRule="auto"/>
              <w:ind w:firstLine="411" w:firstLineChars="196"/>
            </w:pPr>
            <w:r>
              <w:t>未收集的烟尘、非甲烷总烃和VOCs作无组织排放，其烟尘无组织的排放量为0.</w:t>
            </w:r>
            <w:r>
              <w:rPr>
                <w:rFonts w:hint="eastAsia"/>
              </w:rPr>
              <w:t>1622</w:t>
            </w:r>
            <w:r>
              <w:t>t/a、排放速率为0.</w:t>
            </w:r>
            <w:r>
              <w:rPr>
                <w:rFonts w:hint="eastAsia"/>
              </w:rPr>
              <w:t>0676</w:t>
            </w:r>
            <w:r>
              <w:t>kg/h，非甲烷总烃无组织的排放量为</w:t>
            </w:r>
            <w:r>
              <w:rPr>
                <w:rFonts w:hint="eastAsia"/>
              </w:rPr>
              <w:t>0.00163</w:t>
            </w:r>
            <w:r>
              <w:t>t/a、排放速率为0.</w:t>
            </w:r>
            <w:r>
              <w:rPr>
                <w:rFonts w:hint="eastAsia"/>
              </w:rPr>
              <w:t>0009</w:t>
            </w:r>
            <w:r>
              <w:t>kg/h。烟尘厂区内无组织排放预计可达到《铸造工业大气污染物排放标准》（GB39726-2020）表A.1规定的限值：颗粒物排放浓度≤5mg/m</w:t>
            </w:r>
            <w:r>
              <w:rPr>
                <w:vertAlign w:val="superscript"/>
              </w:rPr>
              <w:t>3</w:t>
            </w:r>
            <w:r>
              <w:t>，</w:t>
            </w:r>
            <w:r>
              <w:rPr>
                <w:rFonts w:hint="eastAsia"/>
              </w:rPr>
              <w:t>厂界无组织排放预计能达到</w:t>
            </w:r>
            <w:r>
              <w:t>广东省《大气污染物排放限值》（DB44/27-2001）第二时段</w:t>
            </w:r>
            <w:r>
              <w:rPr>
                <w:bCs/>
              </w:rPr>
              <w:t>无组织排放监控浓度限值</w:t>
            </w:r>
            <w:r>
              <w:rPr>
                <w:rFonts w:hint="eastAsia"/>
                <w:bCs/>
              </w:rPr>
              <w:t>：</w:t>
            </w:r>
            <w:r>
              <w:t>颗粒物排放浓度≤</w:t>
            </w:r>
            <w:r>
              <w:rPr>
                <w:rFonts w:hint="eastAsia"/>
              </w:rPr>
              <w:t>1</w:t>
            </w:r>
            <w:r>
              <w:t>mg/m</w:t>
            </w:r>
            <w:r>
              <w:rPr>
                <w:vertAlign w:val="superscript"/>
              </w:rPr>
              <w:t>3</w:t>
            </w:r>
            <w:r>
              <w:t>，</w:t>
            </w:r>
            <w:r>
              <w:rPr>
                <w:rFonts w:hint="eastAsia"/>
              </w:rPr>
              <w:t>非甲烷总烃</w:t>
            </w:r>
            <w:r>
              <w:t>厂区内无组织排放预计可</w:t>
            </w:r>
            <w:r>
              <w:rPr>
                <w:rFonts w:hint="eastAsia"/>
              </w:rPr>
              <w:t>满足</w:t>
            </w:r>
            <w:r>
              <w:t>广东省《固定污染源挥发性有机物综合排放标准》（DB44/2367-2022）</w:t>
            </w:r>
            <w:r>
              <w:rPr>
                <w:rFonts w:hint="eastAsia"/>
              </w:rPr>
              <w:t>表3</w:t>
            </w:r>
            <w:r>
              <w:t>厂区内 VOCs 无组织排放</w:t>
            </w:r>
            <w:r>
              <w:rPr>
                <w:bCs/>
              </w:rPr>
              <w:t>监控点处1h平均浓度值</w:t>
            </w:r>
            <w:r>
              <w:t>≤</w:t>
            </w:r>
            <w:r>
              <w:rPr>
                <w:rFonts w:hint="eastAsia"/>
              </w:rPr>
              <w:t>6</w:t>
            </w:r>
            <w:r>
              <w:t>mg/m</w:t>
            </w:r>
            <w:r>
              <w:rPr>
                <w:vertAlign w:val="superscript"/>
              </w:rPr>
              <w:t>3</w:t>
            </w:r>
            <w:r>
              <w:rPr>
                <w:rFonts w:hint="eastAsia"/>
              </w:rPr>
              <w:t>要求</w:t>
            </w:r>
            <w:r>
              <w:t>，</w:t>
            </w:r>
            <w:r>
              <w:rPr>
                <w:rFonts w:hint="eastAsia"/>
              </w:rPr>
              <w:t>厂界无组织排放预计能满足</w:t>
            </w:r>
            <w:r>
              <w:rPr>
                <w:bCs/>
              </w:rPr>
              <w:t>广东省《家具制造行业挥发性有机化合物排放标准》（DB44/814-2010）无组织排放监控点浓度限值</w:t>
            </w:r>
            <w:r>
              <w:t>≤1mg/m</w:t>
            </w:r>
            <w:r>
              <w:rPr>
                <w:vertAlign w:val="superscript"/>
              </w:rPr>
              <w:t>3</w:t>
            </w:r>
            <w:r>
              <w:rPr>
                <w:rFonts w:hint="eastAsia"/>
              </w:rPr>
              <w:t>要求</w:t>
            </w:r>
            <w:r>
              <w:t>。</w:t>
            </w:r>
          </w:p>
          <w:p>
            <w:pPr>
              <w:numPr>
                <w:ilvl w:val="0"/>
                <w:numId w:val="20"/>
              </w:numPr>
              <w:adjustRightInd w:val="0"/>
              <w:snapToGrid w:val="0"/>
              <w:spacing w:line="360" w:lineRule="auto"/>
              <w:ind w:firstLine="411" w:firstLineChars="196"/>
            </w:pPr>
            <w:r>
              <w:rPr>
                <w:rFonts w:hint="eastAsia"/>
              </w:rPr>
              <w:t>打磨、抛光、喷砂工序成生的金属粉尘</w:t>
            </w:r>
            <w:r>
              <w:t>经集气罩收集后至</w:t>
            </w:r>
            <w:r>
              <w:rPr>
                <w:rFonts w:hint="eastAsia"/>
              </w:rPr>
              <w:t>“</w:t>
            </w:r>
            <w:r>
              <w:t>旋风除尘器</w:t>
            </w:r>
            <w:r>
              <w:rPr>
                <w:rFonts w:hint="eastAsia"/>
              </w:rPr>
              <w:t>”</w:t>
            </w:r>
            <w:r>
              <w:t>处理后经排气筒（DA002）达标排放。根据源强核算结果，</w:t>
            </w:r>
            <w:r>
              <w:rPr>
                <w:rFonts w:hint="eastAsia"/>
              </w:rPr>
              <w:t>金属</w:t>
            </w:r>
            <w:r>
              <w:t>粉尘有组织排放量约</w:t>
            </w:r>
            <w:r>
              <w:rPr>
                <w:rFonts w:hint="eastAsia"/>
              </w:rPr>
              <w:t>0.1840</w:t>
            </w:r>
            <w:r>
              <w:t>t/a、排放速率约为0.</w:t>
            </w:r>
            <w:r>
              <w:rPr>
                <w:rFonts w:hint="eastAsia"/>
              </w:rPr>
              <w:t>07665</w:t>
            </w:r>
            <w:r>
              <w:t>kg/h、排放浓度约为</w:t>
            </w:r>
            <w:r>
              <w:rPr>
                <w:rFonts w:hint="eastAsia"/>
              </w:rPr>
              <w:t>4.509</w:t>
            </w:r>
            <w:r>
              <w:t>mg/m</w:t>
            </w:r>
            <w:r>
              <w:rPr>
                <w:vertAlign w:val="superscript"/>
              </w:rPr>
              <w:t>3</w:t>
            </w:r>
            <w:r>
              <w:t>，可以达到《铸造工业大气污染物排放标准》（GB39726-2020）表1限值：颗粒物排放浓度≤30mg/m</w:t>
            </w:r>
            <w:r>
              <w:rPr>
                <w:vertAlign w:val="superscript"/>
              </w:rPr>
              <w:t>3</w:t>
            </w:r>
            <w:r>
              <w:t>。未收集的抛光粉尘作无组织排放，粉尘无组织的排放量为0.</w:t>
            </w:r>
            <w:r>
              <w:rPr>
                <w:rFonts w:hint="eastAsia"/>
              </w:rPr>
              <w:t>4599</w:t>
            </w:r>
            <w:r>
              <w:t>t/a、排放速率为0.</w:t>
            </w:r>
            <w:r>
              <w:rPr>
                <w:rFonts w:hint="eastAsia"/>
              </w:rPr>
              <w:t>191625</w:t>
            </w:r>
            <w:r>
              <w:t>kg/h，预计厂界颗粒物排放浓度可达到广东省《大气污染物排放限值》（DB44-27-2001）无组织排放监控浓度限值：颗粒物排放浓度≤1mg/m</w:t>
            </w:r>
            <w:r>
              <w:rPr>
                <w:vertAlign w:val="superscript"/>
              </w:rPr>
              <w:t>3</w:t>
            </w:r>
            <w:r>
              <w:t>。厂区内无组织排放同时满足《铸造工业大气污染物排放标准》（GB39726-2020）表A.1规定的限值。</w:t>
            </w:r>
          </w:p>
          <w:p>
            <w:pPr>
              <w:numPr>
                <w:ilvl w:val="0"/>
                <w:numId w:val="20"/>
              </w:numPr>
              <w:adjustRightInd w:val="0"/>
              <w:snapToGrid w:val="0"/>
              <w:spacing w:line="360" w:lineRule="auto"/>
              <w:ind w:firstLine="411" w:firstLineChars="196"/>
            </w:pPr>
            <w:r>
              <w:t>粉末喷涂工序产生的粉尘抽至“布袋除尘器”处理后经排气筒（DA003）达标排放，根据源强核算结果，粉末喷涂粉尘有组织排放量约0.01456t/a、排放速率约为0.00607kg/h、排放浓度约为2.7576mg/m</w:t>
            </w:r>
            <w:r>
              <w:rPr>
                <w:vertAlign w:val="superscript"/>
              </w:rPr>
              <w:t>3</w:t>
            </w:r>
            <w:r>
              <w:t>，可以达到《铸造工业大气污染物排放标准》（GB39726-2020）表1限值：颗粒物排放浓度≤30mg/m</w:t>
            </w:r>
            <w:r>
              <w:rPr>
                <w:vertAlign w:val="superscript"/>
              </w:rPr>
              <w:t>3</w:t>
            </w:r>
            <w:r>
              <w:t>。未收集的粉尘作无组织排放，其无组织的排放量为0.0364t/a、排放速率为0.0152kg/h，预计排放浓度可达到广东省《大气污染物排放限值》（DB44-27-2001）无组织排放监控浓度限值：颗粒物排放浓度≤1mg/m</w:t>
            </w:r>
            <w:r>
              <w:rPr>
                <w:vertAlign w:val="superscript"/>
              </w:rPr>
              <w:t>3</w:t>
            </w:r>
            <w:r>
              <w:t>。其中颗粒物无组织排放并满足《铸造工业大气污染物排放标准》（GB39726-2020）表A.1规定的限值。</w:t>
            </w:r>
          </w:p>
          <w:p>
            <w:pPr>
              <w:numPr>
                <w:ilvl w:val="0"/>
                <w:numId w:val="20"/>
              </w:numPr>
              <w:adjustRightInd w:val="0"/>
              <w:snapToGrid w:val="0"/>
              <w:spacing w:line="360" w:lineRule="auto"/>
              <w:ind w:firstLine="411" w:firstLineChars="196"/>
            </w:pPr>
            <w:r>
              <w:t>烘烤固化工序产生的总VOCs经“水喷淋+二级活性炭吸附”处理后经排气筒（DA004）达标排放，根据源强核算结果，总VOCs有组织排放量约0.00</w:t>
            </w:r>
            <w:r>
              <w:rPr>
                <w:rFonts w:hint="eastAsia"/>
              </w:rPr>
              <w:t>052</w:t>
            </w:r>
            <w:r>
              <w:t>t/a、排放速率约为0.000</w:t>
            </w:r>
            <w:r>
              <w:rPr>
                <w:rFonts w:hint="eastAsia"/>
              </w:rPr>
              <w:t>22</w:t>
            </w:r>
            <w:r>
              <w:t>kg/h、排放浓度约为0.0993mg/m</w:t>
            </w:r>
            <w:r>
              <w:rPr>
                <w:vertAlign w:val="superscript"/>
              </w:rPr>
              <w:t>3</w:t>
            </w:r>
            <w:r>
              <w:t>，可以达到</w:t>
            </w:r>
            <w:r>
              <w:rPr>
                <w:bCs/>
              </w:rPr>
              <w:t>广东省《固定污染源挥发性有机物综合排放标准》（DB44/2367-2022）表1挥发性有机物排放限值</w:t>
            </w:r>
            <w:r>
              <w:t>。</w:t>
            </w:r>
            <w:r>
              <w:rPr>
                <w:rStyle w:val="112"/>
                <w:rFonts w:hint="eastAsia"/>
              </w:rPr>
              <w:t>总VOCs无组织排放量约0.000436t/a，排放速率约为0.0001817kg/h，预计厂界排放浓度能达到</w:t>
            </w:r>
            <w:r>
              <w:rPr>
                <w:bCs/>
              </w:rPr>
              <w:t>《家具制造行业挥发性有机化合物排放标准》（DB44/814-2010）无组织排放监控点浓度限值</w:t>
            </w:r>
            <w:r>
              <w:rPr>
                <w:rFonts w:hint="eastAsia"/>
                <w:bCs/>
              </w:rPr>
              <w:t>2.0mg/m</w:t>
            </w:r>
            <w:r>
              <w:rPr>
                <w:rFonts w:hint="eastAsia"/>
                <w:bCs/>
                <w:vertAlign w:val="superscript"/>
              </w:rPr>
              <w:t>3</w:t>
            </w:r>
            <w:r>
              <w:rPr>
                <w:rFonts w:hint="eastAsia"/>
                <w:bCs/>
              </w:rPr>
              <w:t>。</w:t>
            </w:r>
          </w:p>
          <w:p>
            <w:pPr>
              <w:tabs>
                <w:tab w:val="left" w:pos="1081"/>
              </w:tabs>
              <w:adjustRightInd w:val="0"/>
              <w:snapToGrid w:val="0"/>
              <w:spacing w:line="360" w:lineRule="auto"/>
              <w:ind w:firstLine="422" w:firstLineChars="200"/>
              <w:rPr>
                <w:b/>
              </w:rPr>
            </w:pPr>
            <w:r>
              <w:rPr>
                <w:b/>
              </w:rPr>
              <w:t>2</w:t>
            </w:r>
            <w:r>
              <w:rPr>
                <w:rFonts w:hint="eastAsia"/>
                <w:b/>
              </w:rPr>
              <w:t>.</w:t>
            </w:r>
            <w:r>
              <w:rPr>
                <w:b/>
              </w:rPr>
              <w:t>排放口情况</w:t>
            </w:r>
          </w:p>
          <w:p>
            <w:pPr>
              <w:adjustRightInd w:val="0"/>
              <w:spacing w:line="360" w:lineRule="auto"/>
              <w:ind w:firstLine="413" w:firstLineChars="197"/>
              <w:textAlignment w:val="baseline"/>
            </w:pPr>
            <w:r>
              <w:t>本项目拟设4根排气筒，各排气筒基本情况如下表所示。</w:t>
            </w:r>
          </w:p>
          <w:p>
            <w:pPr>
              <w:widowControl/>
              <w:spacing w:line="360" w:lineRule="auto"/>
              <w:jc w:val="center"/>
              <w:rPr>
                <w:b/>
              </w:rPr>
            </w:pPr>
            <w:r>
              <w:rPr>
                <w:b/>
              </w:rPr>
              <w:t>表4-5 项目排气筒基本情况汇总表</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929"/>
              <w:gridCol w:w="1135"/>
              <w:gridCol w:w="813"/>
              <w:gridCol w:w="847"/>
              <w:gridCol w:w="953"/>
              <w:gridCol w:w="865"/>
              <w:gridCol w:w="1508"/>
              <w:gridCol w:w="14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449" w:type="pct"/>
                  <w:vAlign w:val="center"/>
                </w:tcPr>
                <w:p>
                  <w:pPr>
                    <w:jc w:val="center"/>
                    <w:rPr>
                      <w:b/>
                    </w:rPr>
                  </w:pPr>
                  <w:r>
                    <w:rPr>
                      <w:b/>
                    </w:rPr>
                    <w:t>排放口编号</w:t>
                  </w:r>
                </w:p>
              </w:tc>
              <w:tc>
                <w:tcPr>
                  <w:tcW w:w="508" w:type="pct"/>
                  <w:vAlign w:val="center"/>
                </w:tcPr>
                <w:p>
                  <w:pPr>
                    <w:jc w:val="center"/>
                    <w:rPr>
                      <w:b/>
                      <w:bCs/>
                    </w:rPr>
                  </w:pPr>
                  <w:r>
                    <w:rPr>
                      <w:b/>
                      <w:bCs/>
                    </w:rPr>
                    <w:t>排放口名称</w:t>
                  </w:r>
                </w:p>
              </w:tc>
              <w:tc>
                <w:tcPr>
                  <w:tcW w:w="619" w:type="pct"/>
                  <w:vAlign w:val="center"/>
                </w:tcPr>
                <w:p>
                  <w:pPr>
                    <w:jc w:val="center"/>
                    <w:rPr>
                      <w:b/>
                      <w:bCs/>
                    </w:rPr>
                  </w:pPr>
                  <w:r>
                    <w:rPr>
                      <w:b/>
                      <w:bCs/>
                    </w:rPr>
                    <w:t>污染物种类</w:t>
                  </w:r>
                </w:p>
              </w:tc>
              <w:tc>
                <w:tcPr>
                  <w:tcW w:w="437" w:type="pct"/>
                  <w:vAlign w:val="center"/>
                </w:tcPr>
                <w:p>
                  <w:pPr>
                    <w:jc w:val="center"/>
                    <w:rPr>
                      <w:b/>
                      <w:bCs/>
                    </w:rPr>
                  </w:pPr>
                  <w:r>
                    <w:rPr>
                      <w:b/>
                      <w:bCs/>
                    </w:rPr>
                    <w:t>排气筒高度（m）</w:t>
                  </w:r>
                </w:p>
              </w:tc>
              <w:tc>
                <w:tcPr>
                  <w:tcW w:w="464" w:type="pct"/>
                  <w:vAlign w:val="center"/>
                </w:tcPr>
                <w:p>
                  <w:pPr>
                    <w:jc w:val="center"/>
                    <w:rPr>
                      <w:b/>
                      <w:bCs/>
                    </w:rPr>
                  </w:pPr>
                  <w:r>
                    <w:rPr>
                      <w:b/>
                      <w:bCs/>
                    </w:rPr>
                    <w:t>排气筒内径（m）</w:t>
                  </w:r>
                </w:p>
              </w:tc>
              <w:tc>
                <w:tcPr>
                  <w:tcW w:w="513" w:type="pct"/>
                  <w:vAlign w:val="center"/>
                </w:tcPr>
                <w:p>
                  <w:pPr>
                    <w:jc w:val="center"/>
                    <w:rPr>
                      <w:b/>
                      <w:bCs/>
                    </w:rPr>
                  </w:pPr>
                  <w:r>
                    <w:rPr>
                      <w:b/>
                      <w:bCs/>
                    </w:rPr>
                    <w:t>烟气流速（m/s）</w:t>
                  </w:r>
                </w:p>
              </w:tc>
              <w:tc>
                <w:tcPr>
                  <w:tcW w:w="457" w:type="pct"/>
                  <w:vAlign w:val="center"/>
                </w:tcPr>
                <w:p>
                  <w:pPr>
                    <w:jc w:val="center"/>
                    <w:rPr>
                      <w:b/>
                      <w:bCs/>
                    </w:rPr>
                  </w:pPr>
                  <w:r>
                    <w:rPr>
                      <w:b/>
                      <w:bCs/>
                    </w:rPr>
                    <w:t>烟气温度（℃）</w:t>
                  </w:r>
                </w:p>
              </w:tc>
              <w:tc>
                <w:tcPr>
                  <w:tcW w:w="1548" w:type="pct"/>
                  <w:gridSpan w:val="2"/>
                  <w:vAlign w:val="center"/>
                </w:tcPr>
                <w:p>
                  <w:pPr>
                    <w:jc w:val="center"/>
                    <w:rPr>
                      <w:b/>
                      <w:bCs/>
                    </w:rPr>
                  </w:pPr>
                  <w:r>
                    <w:rPr>
                      <w:b/>
                      <w:bCs/>
                    </w:rPr>
                    <w:t>地理坐标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449" w:type="pct"/>
                  <w:vAlign w:val="center"/>
                </w:tcPr>
                <w:p>
                  <w:pPr>
                    <w:jc w:val="center"/>
                  </w:pPr>
                  <w:r>
                    <w:t>DA001</w:t>
                  </w:r>
                </w:p>
              </w:tc>
              <w:tc>
                <w:tcPr>
                  <w:tcW w:w="508" w:type="pct"/>
                  <w:vAlign w:val="center"/>
                </w:tcPr>
                <w:p>
                  <w:pPr>
                    <w:widowControl/>
                    <w:jc w:val="center"/>
                    <w:textAlignment w:val="center"/>
                  </w:pPr>
                  <w:r>
                    <w:t>压铸废气排放口</w:t>
                  </w:r>
                </w:p>
              </w:tc>
              <w:tc>
                <w:tcPr>
                  <w:tcW w:w="619" w:type="pct"/>
                  <w:vAlign w:val="center"/>
                </w:tcPr>
                <w:p>
                  <w:pPr>
                    <w:jc w:val="center"/>
                  </w:pPr>
                  <w:r>
                    <w:t>颗粒物、非甲烷总烃</w:t>
                  </w:r>
                </w:p>
              </w:tc>
              <w:tc>
                <w:tcPr>
                  <w:tcW w:w="437" w:type="pct"/>
                  <w:vAlign w:val="center"/>
                </w:tcPr>
                <w:p>
                  <w:pPr>
                    <w:jc w:val="center"/>
                  </w:pPr>
                  <w:r>
                    <w:t>15</w:t>
                  </w:r>
                </w:p>
              </w:tc>
              <w:tc>
                <w:tcPr>
                  <w:tcW w:w="464" w:type="pct"/>
                  <w:vAlign w:val="center"/>
                </w:tcPr>
                <w:p>
                  <w:pPr>
                    <w:jc w:val="center"/>
                  </w:pPr>
                  <w:r>
                    <w:t>0.</w:t>
                  </w:r>
                  <w:r>
                    <w:rPr>
                      <w:rFonts w:hint="eastAsia"/>
                    </w:rPr>
                    <w:t>5</w:t>
                  </w:r>
                </w:p>
              </w:tc>
              <w:tc>
                <w:tcPr>
                  <w:tcW w:w="513" w:type="pct"/>
                  <w:vAlign w:val="center"/>
                </w:tcPr>
                <w:p>
                  <w:pPr>
                    <w:jc w:val="center"/>
                  </w:pPr>
                  <w:r>
                    <w:rPr>
                      <w:rFonts w:hint="eastAsia"/>
                    </w:rPr>
                    <w:t>15.56</w:t>
                  </w:r>
                </w:p>
              </w:tc>
              <w:tc>
                <w:tcPr>
                  <w:tcW w:w="457" w:type="pct"/>
                  <w:vAlign w:val="center"/>
                </w:tcPr>
                <w:p>
                  <w:pPr>
                    <w:jc w:val="center"/>
                  </w:pPr>
                  <w:r>
                    <w:t>40℃</w:t>
                  </w:r>
                </w:p>
              </w:tc>
              <w:tc>
                <w:tcPr>
                  <w:tcW w:w="799" w:type="pct"/>
                  <w:vAlign w:val="center"/>
                </w:tcPr>
                <w:p>
                  <w:pPr>
                    <w:jc w:val="center"/>
                  </w:pPr>
                  <w:r>
                    <w:t>113°58’</w:t>
                  </w:r>
                  <w:r>
                    <w:rPr>
                      <w:rFonts w:hint="eastAsia"/>
                    </w:rPr>
                    <w:t>4.571</w:t>
                  </w:r>
                  <w:r>
                    <w:t>’’</w:t>
                  </w:r>
                </w:p>
              </w:tc>
              <w:tc>
                <w:tcPr>
                  <w:tcW w:w="748" w:type="pct"/>
                  <w:vAlign w:val="center"/>
                </w:tcPr>
                <w:p>
                  <w:pPr>
                    <w:jc w:val="center"/>
                  </w:pPr>
                  <w:r>
                    <w:t>23°9’4</w:t>
                  </w:r>
                  <w:r>
                    <w:rPr>
                      <w:rFonts w:hint="eastAsia"/>
                    </w:rPr>
                    <w:t>9.938</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9" w:hRule="atLeast"/>
                <w:jc w:val="center"/>
              </w:trPr>
              <w:tc>
                <w:tcPr>
                  <w:tcW w:w="449" w:type="pct"/>
                  <w:vAlign w:val="center"/>
                </w:tcPr>
                <w:p>
                  <w:pPr>
                    <w:jc w:val="center"/>
                  </w:pPr>
                  <w:r>
                    <w:t>DA002</w:t>
                  </w:r>
                </w:p>
              </w:tc>
              <w:tc>
                <w:tcPr>
                  <w:tcW w:w="508" w:type="pct"/>
                  <w:vAlign w:val="center"/>
                </w:tcPr>
                <w:p>
                  <w:pPr>
                    <w:widowControl/>
                    <w:jc w:val="center"/>
                    <w:textAlignment w:val="center"/>
                  </w:pPr>
                  <w:r>
                    <w:rPr>
                      <w:rStyle w:val="112"/>
                      <w:rFonts w:hint="eastAsia"/>
                    </w:rPr>
                    <w:t>打磨</w:t>
                  </w:r>
                  <w:r>
                    <w:t>废气排放口</w:t>
                  </w:r>
                </w:p>
              </w:tc>
              <w:tc>
                <w:tcPr>
                  <w:tcW w:w="619" w:type="pct"/>
                  <w:vAlign w:val="center"/>
                </w:tcPr>
                <w:p>
                  <w:pPr>
                    <w:jc w:val="center"/>
                  </w:pPr>
                  <w:r>
                    <w:t>颗粒物</w:t>
                  </w:r>
                </w:p>
              </w:tc>
              <w:tc>
                <w:tcPr>
                  <w:tcW w:w="437" w:type="pct"/>
                  <w:vAlign w:val="center"/>
                </w:tcPr>
                <w:p>
                  <w:pPr>
                    <w:jc w:val="center"/>
                  </w:pPr>
                  <w:r>
                    <w:t>15</w:t>
                  </w:r>
                </w:p>
              </w:tc>
              <w:tc>
                <w:tcPr>
                  <w:tcW w:w="464" w:type="pct"/>
                  <w:vAlign w:val="center"/>
                </w:tcPr>
                <w:p>
                  <w:pPr>
                    <w:jc w:val="center"/>
                  </w:pPr>
                  <w:r>
                    <w:t>0.</w:t>
                  </w:r>
                  <w:r>
                    <w:rPr>
                      <w:rFonts w:hint="eastAsia"/>
                    </w:rPr>
                    <w:t>5</w:t>
                  </w:r>
                </w:p>
              </w:tc>
              <w:tc>
                <w:tcPr>
                  <w:tcW w:w="513" w:type="pct"/>
                  <w:vAlign w:val="center"/>
                </w:tcPr>
                <w:p>
                  <w:pPr>
                    <w:jc w:val="center"/>
                  </w:pPr>
                  <w:r>
                    <w:rPr>
                      <w:rFonts w:hint="eastAsia"/>
                    </w:rPr>
                    <w:t>24.05</w:t>
                  </w:r>
                </w:p>
              </w:tc>
              <w:tc>
                <w:tcPr>
                  <w:tcW w:w="457" w:type="pct"/>
                  <w:vAlign w:val="center"/>
                </w:tcPr>
                <w:p>
                  <w:pPr>
                    <w:jc w:val="center"/>
                  </w:pPr>
                  <w:r>
                    <w:t>常温</w:t>
                  </w:r>
                </w:p>
              </w:tc>
              <w:tc>
                <w:tcPr>
                  <w:tcW w:w="799" w:type="pct"/>
                  <w:vAlign w:val="center"/>
                </w:tcPr>
                <w:p>
                  <w:pPr>
                    <w:jc w:val="center"/>
                  </w:pPr>
                  <w:r>
                    <w:t>113°58’</w:t>
                  </w:r>
                  <w:r>
                    <w:rPr>
                      <w:rFonts w:hint="eastAsia"/>
                    </w:rPr>
                    <w:t>5.614</w:t>
                  </w:r>
                  <w:r>
                    <w:t>’’</w:t>
                  </w:r>
                </w:p>
              </w:tc>
              <w:tc>
                <w:tcPr>
                  <w:tcW w:w="748" w:type="pct"/>
                  <w:vAlign w:val="center"/>
                </w:tcPr>
                <w:p>
                  <w:pPr>
                    <w:jc w:val="center"/>
                  </w:pPr>
                  <w:r>
                    <w:t>23°9’48.</w:t>
                  </w:r>
                  <w:r>
                    <w:rPr>
                      <w:rFonts w:hint="eastAsia"/>
                    </w:rPr>
                    <w:t>943</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7" w:hRule="atLeast"/>
                <w:jc w:val="center"/>
              </w:trPr>
              <w:tc>
                <w:tcPr>
                  <w:tcW w:w="449" w:type="pct"/>
                  <w:vAlign w:val="center"/>
                </w:tcPr>
                <w:p>
                  <w:pPr>
                    <w:jc w:val="center"/>
                  </w:pPr>
                  <w:r>
                    <w:t>DA003</w:t>
                  </w:r>
                </w:p>
              </w:tc>
              <w:tc>
                <w:tcPr>
                  <w:tcW w:w="508" w:type="pct"/>
                  <w:vAlign w:val="center"/>
                </w:tcPr>
                <w:p>
                  <w:pPr>
                    <w:widowControl/>
                    <w:jc w:val="center"/>
                    <w:textAlignment w:val="center"/>
                  </w:pPr>
                  <w:r>
                    <w:t>喷粉废气排放口</w:t>
                  </w:r>
                </w:p>
              </w:tc>
              <w:tc>
                <w:tcPr>
                  <w:tcW w:w="619" w:type="pct"/>
                  <w:vAlign w:val="center"/>
                </w:tcPr>
                <w:p>
                  <w:pPr>
                    <w:jc w:val="center"/>
                  </w:pPr>
                  <w:r>
                    <w:t>颗粒物</w:t>
                  </w:r>
                </w:p>
              </w:tc>
              <w:tc>
                <w:tcPr>
                  <w:tcW w:w="437" w:type="pct"/>
                  <w:vAlign w:val="center"/>
                </w:tcPr>
                <w:p>
                  <w:pPr>
                    <w:jc w:val="center"/>
                  </w:pPr>
                  <w:r>
                    <w:t>15</w:t>
                  </w:r>
                </w:p>
              </w:tc>
              <w:tc>
                <w:tcPr>
                  <w:tcW w:w="464" w:type="pct"/>
                  <w:vAlign w:val="center"/>
                </w:tcPr>
                <w:p>
                  <w:pPr>
                    <w:jc w:val="center"/>
                  </w:pPr>
                  <w:r>
                    <w:t>0.3</w:t>
                  </w:r>
                </w:p>
              </w:tc>
              <w:tc>
                <w:tcPr>
                  <w:tcW w:w="513" w:type="pct"/>
                  <w:vAlign w:val="center"/>
                </w:tcPr>
                <w:p>
                  <w:pPr>
                    <w:jc w:val="center"/>
                  </w:pPr>
                  <w:r>
                    <w:rPr>
                      <w:rFonts w:hint="eastAsia"/>
                    </w:rPr>
                    <w:t>8.65</w:t>
                  </w:r>
                </w:p>
              </w:tc>
              <w:tc>
                <w:tcPr>
                  <w:tcW w:w="457" w:type="pct"/>
                  <w:vAlign w:val="center"/>
                </w:tcPr>
                <w:p>
                  <w:pPr>
                    <w:jc w:val="center"/>
                  </w:pPr>
                  <w:r>
                    <w:t>常温</w:t>
                  </w:r>
                </w:p>
              </w:tc>
              <w:tc>
                <w:tcPr>
                  <w:tcW w:w="799" w:type="pct"/>
                  <w:vAlign w:val="center"/>
                </w:tcPr>
                <w:p>
                  <w:pPr>
                    <w:jc w:val="center"/>
                  </w:pPr>
                  <w:r>
                    <w:t>113°58’</w:t>
                  </w:r>
                  <w:r>
                    <w:rPr>
                      <w:rFonts w:hint="eastAsia"/>
                    </w:rPr>
                    <w:t>5.725</w:t>
                  </w:r>
                  <w:r>
                    <w:t>’’</w:t>
                  </w:r>
                </w:p>
              </w:tc>
              <w:tc>
                <w:tcPr>
                  <w:tcW w:w="748" w:type="pct"/>
                  <w:vAlign w:val="center"/>
                </w:tcPr>
                <w:p>
                  <w:pPr>
                    <w:jc w:val="center"/>
                  </w:pPr>
                  <w:r>
                    <w:t>23°9’48.</w:t>
                  </w:r>
                  <w:r>
                    <w:rPr>
                      <w:rFonts w:hint="eastAsia"/>
                    </w:rPr>
                    <w:t>668</w:t>
                  </w: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449" w:type="pct"/>
                  <w:vAlign w:val="center"/>
                </w:tcPr>
                <w:p>
                  <w:pPr>
                    <w:jc w:val="center"/>
                  </w:pPr>
                  <w:r>
                    <w:t>DA004</w:t>
                  </w:r>
                </w:p>
              </w:tc>
              <w:tc>
                <w:tcPr>
                  <w:tcW w:w="508" w:type="pct"/>
                  <w:vAlign w:val="center"/>
                </w:tcPr>
                <w:p>
                  <w:pPr>
                    <w:widowControl/>
                    <w:jc w:val="center"/>
                    <w:textAlignment w:val="center"/>
                  </w:pPr>
                  <w:r>
                    <w:t>烘烤固化废气排放口</w:t>
                  </w:r>
                </w:p>
              </w:tc>
              <w:tc>
                <w:tcPr>
                  <w:tcW w:w="619" w:type="pct"/>
                  <w:vAlign w:val="center"/>
                </w:tcPr>
                <w:p>
                  <w:pPr>
                    <w:jc w:val="center"/>
                  </w:pPr>
                  <w:r>
                    <w:t>总VOCs</w:t>
                  </w:r>
                </w:p>
              </w:tc>
              <w:tc>
                <w:tcPr>
                  <w:tcW w:w="437" w:type="pct"/>
                  <w:vAlign w:val="center"/>
                </w:tcPr>
                <w:p>
                  <w:pPr>
                    <w:jc w:val="center"/>
                  </w:pPr>
                  <w:r>
                    <w:t>15</w:t>
                  </w:r>
                </w:p>
              </w:tc>
              <w:tc>
                <w:tcPr>
                  <w:tcW w:w="464" w:type="pct"/>
                  <w:vAlign w:val="center"/>
                </w:tcPr>
                <w:p>
                  <w:pPr>
                    <w:jc w:val="center"/>
                  </w:pPr>
                  <w:r>
                    <w:t>0.3</w:t>
                  </w:r>
                </w:p>
              </w:tc>
              <w:tc>
                <w:tcPr>
                  <w:tcW w:w="513" w:type="pct"/>
                  <w:vAlign w:val="center"/>
                </w:tcPr>
                <w:p>
                  <w:pPr>
                    <w:jc w:val="center"/>
                  </w:pPr>
                  <w:r>
                    <w:rPr>
                      <w:rFonts w:hint="eastAsia"/>
                    </w:rPr>
                    <w:t>8.65</w:t>
                  </w:r>
                </w:p>
              </w:tc>
              <w:tc>
                <w:tcPr>
                  <w:tcW w:w="457" w:type="pct"/>
                  <w:vAlign w:val="center"/>
                </w:tcPr>
                <w:p>
                  <w:pPr>
                    <w:jc w:val="center"/>
                  </w:pPr>
                  <w:r>
                    <w:t>40℃</w:t>
                  </w:r>
                </w:p>
              </w:tc>
              <w:tc>
                <w:tcPr>
                  <w:tcW w:w="799" w:type="pct"/>
                  <w:vAlign w:val="center"/>
                </w:tcPr>
                <w:p>
                  <w:pPr>
                    <w:jc w:val="center"/>
                  </w:pPr>
                  <w:r>
                    <w:t>113°58’</w:t>
                  </w:r>
                  <w:r>
                    <w:rPr>
                      <w:rFonts w:hint="eastAsia"/>
                    </w:rPr>
                    <w:t>5.798</w:t>
                  </w:r>
                  <w:r>
                    <w:t>’’</w:t>
                  </w:r>
                </w:p>
              </w:tc>
              <w:tc>
                <w:tcPr>
                  <w:tcW w:w="748" w:type="pct"/>
                  <w:vAlign w:val="center"/>
                </w:tcPr>
                <w:p>
                  <w:pPr>
                    <w:jc w:val="center"/>
                  </w:pPr>
                  <w:r>
                    <w:t>23°9’48.</w:t>
                  </w:r>
                  <w:r>
                    <w:rPr>
                      <w:rFonts w:hint="eastAsia"/>
                    </w:rPr>
                    <w:t>392</w:t>
                  </w:r>
                  <w:r>
                    <w:t>’’</w:t>
                  </w:r>
                </w:p>
              </w:tc>
            </w:tr>
          </w:tbl>
          <w:p>
            <w:pPr>
              <w:adjustRightInd w:val="0"/>
              <w:spacing w:before="120" w:beforeLines="50" w:line="360" w:lineRule="auto"/>
              <w:ind w:firstLine="415" w:firstLineChars="197"/>
              <w:textAlignment w:val="baseline"/>
              <w:rPr>
                <w:b/>
              </w:rPr>
            </w:pPr>
            <w:r>
              <w:rPr>
                <w:rFonts w:hint="eastAsia"/>
                <w:b/>
              </w:rPr>
              <w:t>3.</w:t>
            </w:r>
            <w:r>
              <w:rPr>
                <w:b/>
              </w:rPr>
              <w:t>监测要求</w:t>
            </w:r>
          </w:p>
          <w:p>
            <w:pPr>
              <w:widowControl/>
              <w:adjustRightInd w:val="0"/>
              <w:snapToGrid w:val="0"/>
              <w:spacing w:line="360" w:lineRule="auto"/>
              <w:ind w:firstLine="420" w:firstLineChars="200"/>
            </w:pPr>
            <w:r>
              <w:t>参照《排污许可证申请与核发技术规范 金属铸造业》（HJ1115-2020）、《排污单位自行监测技术指南 总则》（HJ 819-2017），项目运营期废气监测要求如下。</w:t>
            </w:r>
          </w:p>
          <w:p>
            <w:pPr>
              <w:widowControl/>
              <w:spacing w:line="360" w:lineRule="auto"/>
              <w:jc w:val="center"/>
              <w:rPr>
                <w:b/>
              </w:rPr>
            </w:pPr>
            <w:r>
              <w:rPr>
                <w:b/>
              </w:rPr>
              <w:t>表4-6 项目废气监测一览表</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87"/>
              <w:gridCol w:w="1232"/>
              <w:gridCol w:w="911"/>
              <w:gridCol w:w="550"/>
              <w:gridCol w:w="3312"/>
              <w:gridCol w:w="1532"/>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76" w:hRule="atLeast"/>
                <w:jc w:val="center"/>
              </w:trPr>
              <w:tc>
                <w:tcPr>
                  <w:tcW w:w="316" w:type="pct"/>
                  <w:vAlign w:val="center"/>
                </w:tcPr>
                <w:p>
                  <w:pPr>
                    <w:jc w:val="center"/>
                    <w:rPr>
                      <w:b/>
                    </w:rPr>
                  </w:pPr>
                  <w:r>
                    <w:rPr>
                      <w:b/>
                    </w:rPr>
                    <w:t>产排污环节</w:t>
                  </w:r>
                </w:p>
              </w:tc>
              <w:tc>
                <w:tcPr>
                  <w:tcW w:w="663" w:type="pct"/>
                  <w:vAlign w:val="center"/>
                </w:tcPr>
                <w:p>
                  <w:pPr>
                    <w:jc w:val="center"/>
                    <w:rPr>
                      <w:b/>
                      <w:bCs/>
                    </w:rPr>
                  </w:pPr>
                  <w:r>
                    <w:rPr>
                      <w:b/>
                      <w:bCs/>
                    </w:rPr>
                    <w:t>监测点位</w:t>
                  </w:r>
                </w:p>
              </w:tc>
              <w:tc>
                <w:tcPr>
                  <w:tcW w:w="490" w:type="pct"/>
                  <w:vAlign w:val="center"/>
                </w:tcPr>
                <w:p>
                  <w:pPr>
                    <w:jc w:val="center"/>
                    <w:rPr>
                      <w:b/>
                      <w:bCs/>
                    </w:rPr>
                  </w:pPr>
                  <w:r>
                    <w:rPr>
                      <w:b/>
                      <w:bCs/>
                    </w:rPr>
                    <w:t>监测因子</w:t>
                  </w:r>
                </w:p>
              </w:tc>
              <w:tc>
                <w:tcPr>
                  <w:tcW w:w="296" w:type="pct"/>
                  <w:vAlign w:val="center"/>
                </w:tcPr>
                <w:p>
                  <w:pPr>
                    <w:jc w:val="center"/>
                    <w:rPr>
                      <w:b/>
                      <w:bCs/>
                    </w:rPr>
                  </w:pPr>
                  <w:r>
                    <w:rPr>
                      <w:b/>
                      <w:bCs/>
                    </w:rPr>
                    <w:t>监测频次</w:t>
                  </w:r>
                </w:p>
              </w:tc>
              <w:tc>
                <w:tcPr>
                  <w:tcW w:w="1782" w:type="pct"/>
                  <w:vAlign w:val="center"/>
                </w:tcPr>
                <w:p>
                  <w:pPr>
                    <w:jc w:val="center"/>
                    <w:rPr>
                      <w:b/>
                      <w:bCs/>
                    </w:rPr>
                  </w:pPr>
                  <w:r>
                    <w:rPr>
                      <w:b/>
                      <w:bCs/>
                    </w:rPr>
                    <w:t>执行排放标准</w:t>
                  </w:r>
                </w:p>
              </w:tc>
              <w:tc>
                <w:tcPr>
                  <w:tcW w:w="824" w:type="pct"/>
                  <w:vAlign w:val="center"/>
                </w:tcPr>
                <w:p>
                  <w:pPr>
                    <w:pStyle w:val="779"/>
                    <w:snapToGrid w:val="0"/>
                    <w:spacing w:line="240" w:lineRule="auto"/>
                    <w:ind w:firstLine="0"/>
                    <w:jc w:val="center"/>
                    <w:rPr>
                      <w:rFonts w:eastAsia="宋体"/>
                      <w:b/>
                      <w:bCs/>
                      <w:sz w:val="21"/>
                      <w:szCs w:val="21"/>
                    </w:rPr>
                  </w:pPr>
                  <w:r>
                    <w:rPr>
                      <w:rFonts w:eastAsia="宋体"/>
                      <w:b/>
                      <w:sz w:val="21"/>
                      <w:szCs w:val="21"/>
                    </w:rPr>
                    <w:t>排放限值（mg/m</w:t>
                  </w:r>
                  <w:r>
                    <w:rPr>
                      <w:rFonts w:eastAsia="宋体"/>
                      <w:b/>
                      <w:sz w:val="21"/>
                      <w:szCs w:val="21"/>
                      <w:vertAlign w:val="superscript"/>
                    </w:rPr>
                    <w:t>3</w:t>
                  </w:r>
                  <w:r>
                    <w:rPr>
                      <w:rFonts w:eastAsia="宋体"/>
                      <w:b/>
                      <w:sz w:val="21"/>
                      <w:szCs w:val="21"/>
                    </w:rPr>
                    <w:t>）</w:t>
                  </w:r>
                </w:p>
              </w:tc>
              <w:tc>
                <w:tcPr>
                  <w:tcW w:w="626" w:type="pct"/>
                  <w:vAlign w:val="center"/>
                </w:tcPr>
                <w:p>
                  <w:pPr>
                    <w:pStyle w:val="779"/>
                    <w:snapToGrid w:val="0"/>
                    <w:spacing w:line="240" w:lineRule="auto"/>
                    <w:ind w:firstLine="0"/>
                    <w:rPr>
                      <w:rFonts w:eastAsia="宋体"/>
                      <w:b/>
                      <w:sz w:val="21"/>
                      <w:szCs w:val="21"/>
                    </w:rPr>
                  </w:pPr>
                  <w:r>
                    <w:rPr>
                      <w:rFonts w:eastAsia="宋体"/>
                      <w:b/>
                      <w:sz w:val="21"/>
                      <w:szCs w:val="21"/>
                    </w:rPr>
                    <w:t>排放速率（kg/h）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6" w:hRule="atLeast"/>
                <w:jc w:val="center"/>
              </w:trPr>
              <w:tc>
                <w:tcPr>
                  <w:tcW w:w="316" w:type="pct"/>
                  <w:vMerge w:val="restart"/>
                  <w:vAlign w:val="center"/>
                </w:tcPr>
                <w:p>
                  <w:pPr>
                    <w:jc w:val="center"/>
                  </w:pPr>
                  <w:r>
                    <w:t>有组织</w:t>
                  </w:r>
                </w:p>
              </w:tc>
              <w:tc>
                <w:tcPr>
                  <w:tcW w:w="663" w:type="pct"/>
                  <w:vMerge w:val="restart"/>
                  <w:vAlign w:val="center"/>
                </w:tcPr>
                <w:p>
                  <w:pPr>
                    <w:jc w:val="center"/>
                  </w:pPr>
                  <w:r>
                    <w:t>DA001压铸废气排放口</w:t>
                  </w:r>
                </w:p>
              </w:tc>
              <w:tc>
                <w:tcPr>
                  <w:tcW w:w="490" w:type="pct"/>
                  <w:vAlign w:val="center"/>
                </w:tcPr>
                <w:p>
                  <w:pPr>
                    <w:jc w:val="center"/>
                  </w:pPr>
                  <w:r>
                    <w:t>非甲烷总烃</w:t>
                  </w:r>
                </w:p>
              </w:tc>
              <w:tc>
                <w:tcPr>
                  <w:tcW w:w="296" w:type="pct"/>
                  <w:vAlign w:val="center"/>
                </w:tcPr>
                <w:p>
                  <w:pPr>
                    <w:jc w:val="center"/>
                  </w:pPr>
                  <w:r>
                    <w:t>1次/年</w:t>
                  </w:r>
                </w:p>
              </w:tc>
              <w:tc>
                <w:tcPr>
                  <w:tcW w:w="1782" w:type="pct"/>
                  <w:vAlign w:val="center"/>
                </w:tcPr>
                <w:p>
                  <w:pPr>
                    <w:jc w:val="center"/>
                  </w:pPr>
                  <w:r>
                    <w:rPr>
                      <w:bCs/>
                    </w:rPr>
                    <w:t>《固定污染源挥发性有机物综合排放标准》（DB44/2367-2022）表1挥发性有机物排放限值</w:t>
                  </w:r>
                </w:p>
              </w:tc>
              <w:tc>
                <w:tcPr>
                  <w:tcW w:w="824" w:type="pct"/>
                  <w:vAlign w:val="center"/>
                </w:tcPr>
                <w:p>
                  <w:pPr>
                    <w:jc w:val="center"/>
                  </w:pPr>
                  <w:r>
                    <w:t>80</w:t>
                  </w:r>
                </w:p>
              </w:tc>
              <w:tc>
                <w:tcPr>
                  <w:tcW w:w="626" w:type="pct"/>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16" w:type="pct"/>
                  <w:vMerge w:val="continue"/>
                  <w:vAlign w:val="center"/>
                </w:tcPr>
                <w:p>
                  <w:pPr>
                    <w:jc w:val="center"/>
                  </w:pPr>
                </w:p>
              </w:tc>
              <w:tc>
                <w:tcPr>
                  <w:tcW w:w="663" w:type="pct"/>
                  <w:vMerge w:val="continue"/>
                  <w:vAlign w:val="center"/>
                </w:tcPr>
                <w:p>
                  <w:pPr>
                    <w:jc w:val="center"/>
                  </w:pPr>
                </w:p>
              </w:tc>
              <w:tc>
                <w:tcPr>
                  <w:tcW w:w="490" w:type="pct"/>
                  <w:vAlign w:val="center"/>
                </w:tcPr>
                <w:p>
                  <w:pPr>
                    <w:jc w:val="center"/>
                  </w:pPr>
                  <w:r>
                    <w:t>颗粒物</w:t>
                  </w:r>
                </w:p>
              </w:tc>
              <w:tc>
                <w:tcPr>
                  <w:tcW w:w="296" w:type="pct"/>
                  <w:vAlign w:val="center"/>
                </w:tcPr>
                <w:p>
                  <w:pPr>
                    <w:jc w:val="center"/>
                  </w:pPr>
                  <w:r>
                    <w:t>1次/年</w:t>
                  </w:r>
                </w:p>
              </w:tc>
              <w:tc>
                <w:tcPr>
                  <w:tcW w:w="1782" w:type="pct"/>
                  <w:vAlign w:val="center"/>
                </w:tcPr>
                <w:p>
                  <w:pPr>
                    <w:widowControl/>
                    <w:jc w:val="center"/>
                  </w:pPr>
                  <w:r>
                    <w:rPr>
                      <w:lang w:bidi="ar"/>
                    </w:rPr>
                    <w:t>《铸造工业大气污染物排放标准》（GB39726-2020）表1限值</w:t>
                  </w:r>
                </w:p>
              </w:tc>
              <w:tc>
                <w:tcPr>
                  <w:tcW w:w="824" w:type="pct"/>
                  <w:vAlign w:val="center"/>
                </w:tcPr>
                <w:p>
                  <w:pPr>
                    <w:jc w:val="center"/>
                  </w:pPr>
                  <w:r>
                    <w:t>30</w:t>
                  </w:r>
                </w:p>
              </w:tc>
              <w:tc>
                <w:tcPr>
                  <w:tcW w:w="626" w:type="pct"/>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16" w:type="pct"/>
                  <w:vMerge w:val="continue"/>
                  <w:vAlign w:val="center"/>
                </w:tcPr>
                <w:p>
                  <w:pPr>
                    <w:jc w:val="center"/>
                  </w:pPr>
                </w:p>
              </w:tc>
              <w:tc>
                <w:tcPr>
                  <w:tcW w:w="663" w:type="pct"/>
                  <w:vAlign w:val="center"/>
                </w:tcPr>
                <w:p>
                  <w:pPr>
                    <w:jc w:val="center"/>
                  </w:pPr>
                  <w:r>
                    <w:t>DA002</w:t>
                  </w:r>
                  <w:r>
                    <w:rPr>
                      <w:rFonts w:hint="eastAsia"/>
                    </w:rPr>
                    <w:t>打磨</w:t>
                  </w:r>
                  <w:r>
                    <w:t>废气排放口</w:t>
                  </w:r>
                </w:p>
              </w:tc>
              <w:tc>
                <w:tcPr>
                  <w:tcW w:w="490" w:type="pct"/>
                  <w:vAlign w:val="center"/>
                </w:tcPr>
                <w:p>
                  <w:pPr>
                    <w:jc w:val="center"/>
                  </w:pPr>
                  <w:r>
                    <w:t>颗粒物</w:t>
                  </w:r>
                </w:p>
              </w:tc>
              <w:tc>
                <w:tcPr>
                  <w:tcW w:w="296" w:type="pct"/>
                  <w:vAlign w:val="center"/>
                </w:tcPr>
                <w:p>
                  <w:pPr>
                    <w:jc w:val="center"/>
                  </w:pPr>
                  <w:r>
                    <w:t>1次/年</w:t>
                  </w:r>
                </w:p>
              </w:tc>
              <w:tc>
                <w:tcPr>
                  <w:tcW w:w="1782" w:type="pct"/>
                  <w:vAlign w:val="center"/>
                </w:tcPr>
                <w:p>
                  <w:pPr>
                    <w:jc w:val="center"/>
                  </w:pPr>
                  <w:r>
                    <w:rPr>
                      <w:lang w:bidi="ar"/>
                    </w:rPr>
                    <w:t>《铸造工业大气污染物排放标准》（GB39726-2020）表1限值</w:t>
                  </w:r>
                </w:p>
              </w:tc>
              <w:tc>
                <w:tcPr>
                  <w:tcW w:w="824" w:type="pct"/>
                  <w:vAlign w:val="center"/>
                </w:tcPr>
                <w:p>
                  <w:pPr>
                    <w:jc w:val="center"/>
                    <w:rPr>
                      <w:bCs/>
                    </w:rPr>
                  </w:pPr>
                  <w:r>
                    <w:rPr>
                      <w:bCs/>
                    </w:rPr>
                    <w:t>30</w:t>
                  </w:r>
                </w:p>
              </w:tc>
              <w:tc>
                <w:tcPr>
                  <w:tcW w:w="626" w:type="pct"/>
                  <w:vAlign w:val="center"/>
                </w:tcPr>
                <w:p>
                  <w:pPr>
                    <w:jc w:val="center"/>
                    <w:rPr>
                      <w:bCs/>
                    </w:rPr>
                  </w:pPr>
                  <w:r>
                    <w:rPr>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16" w:type="pct"/>
                  <w:vMerge w:val="continue"/>
                  <w:vAlign w:val="center"/>
                </w:tcPr>
                <w:p>
                  <w:pPr>
                    <w:jc w:val="center"/>
                  </w:pPr>
                </w:p>
              </w:tc>
              <w:tc>
                <w:tcPr>
                  <w:tcW w:w="663" w:type="pct"/>
                  <w:vAlign w:val="center"/>
                </w:tcPr>
                <w:p>
                  <w:pPr>
                    <w:jc w:val="center"/>
                  </w:pPr>
                  <w:r>
                    <w:t>DA003喷粉废气排放口</w:t>
                  </w:r>
                </w:p>
              </w:tc>
              <w:tc>
                <w:tcPr>
                  <w:tcW w:w="490" w:type="pct"/>
                  <w:vAlign w:val="center"/>
                </w:tcPr>
                <w:p>
                  <w:pPr>
                    <w:jc w:val="center"/>
                  </w:pPr>
                  <w:r>
                    <w:t>颗粒物</w:t>
                  </w:r>
                </w:p>
              </w:tc>
              <w:tc>
                <w:tcPr>
                  <w:tcW w:w="296" w:type="pct"/>
                  <w:vAlign w:val="center"/>
                </w:tcPr>
                <w:p>
                  <w:pPr>
                    <w:jc w:val="center"/>
                  </w:pPr>
                  <w:r>
                    <w:t>1次/年</w:t>
                  </w:r>
                </w:p>
              </w:tc>
              <w:tc>
                <w:tcPr>
                  <w:tcW w:w="1782" w:type="pct"/>
                  <w:vAlign w:val="center"/>
                </w:tcPr>
                <w:p>
                  <w:pPr>
                    <w:jc w:val="center"/>
                    <w:rPr>
                      <w:bCs/>
                    </w:rPr>
                  </w:pPr>
                  <w:r>
                    <w:rPr>
                      <w:lang w:bidi="ar"/>
                    </w:rPr>
                    <w:t>《铸造工业大气污染物排放标准》（GB39726-2020）表1限值</w:t>
                  </w:r>
                </w:p>
              </w:tc>
              <w:tc>
                <w:tcPr>
                  <w:tcW w:w="824" w:type="pct"/>
                  <w:vAlign w:val="center"/>
                </w:tcPr>
                <w:p>
                  <w:pPr>
                    <w:jc w:val="center"/>
                    <w:rPr>
                      <w:bCs/>
                    </w:rPr>
                  </w:pPr>
                  <w:r>
                    <w:rPr>
                      <w:rFonts w:hint="eastAsia"/>
                      <w:bCs/>
                    </w:rPr>
                    <w:t>30</w:t>
                  </w:r>
                </w:p>
              </w:tc>
              <w:tc>
                <w:tcPr>
                  <w:tcW w:w="626" w:type="pct"/>
                  <w:vAlign w:val="center"/>
                </w:tcPr>
                <w:p>
                  <w:pPr>
                    <w:jc w:val="center"/>
                    <w:rPr>
                      <w:bCs/>
                    </w:rPr>
                  </w:pPr>
                  <w:r>
                    <w:rPr>
                      <w:rFonts w:hint="eastAsia"/>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16" w:type="pct"/>
                  <w:vMerge w:val="continue"/>
                  <w:vAlign w:val="center"/>
                </w:tcPr>
                <w:p>
                  <w:pPr>
                    <w:jc w:val="center"/>
                  </w:pPr>
                </w:p>
              </w:tc>
              <w:tc>
                <w:tcPr>
                  <w:tcW w:w="663" w:type="pct"/>
                  <w:vAlign w:val="center"/>
                </w:tcPr>
                <w:p>
                  <w:pPr>
                    <w:jc w:val="center"/>
                  </w:pPr>
                  <w:r>
                    <w:t>DA004烘烤固化废气排放口</w:t>
                  </w:r>
                </w:p>
              </w:tc>
              <w:tc>
                <w:tcPr>
                  <w:tcW w:w="490" w:type="pct"/>
                  <w:vAlign w:val="center"/>
                </w:tcPr>
                <w:p>
                  <w:pPr>
                    <w:jc w:val="center"/>
                  </w:pPr>
                  <w:r>
                    <w:t>总VOCs</w:t>
                  </w:r>
                </w:p>
              </w:tc>
              <w:tc>
                <w:tcPr>
                  <w:tcW w:w="296" w:type="pct"/>
                  <w:vAlign w:val="center"/>
                </w:tcPr>
                <w:p>
                  <w:pPr>
                    <w:jc w:val="center"/>
                  </w:pPr>
                  <w:r>
                    <w:t>1次/年</w:t>
                  </w:r>
                </w:p>
              </w:tc>
              <w:tc>
                <w:tcPr>
                  <w:tcW w:w="1782" w:type="pct"/>
                  <w:vAlign w:val="center"/>
                </w:tcPr>
                <w:p>
                  <w:pPr>
                    <w:jc w:val="center"/>
                    <w:rPr>
                      <w:bCs/>
                    </w:rPr>
                  </w:pPr>
                  <w:r>
                    <w:rPr>
                      <w:bCs/>
                    </w:rPr>
                    <w:t>《固定污染源挥发性有机物综合排放标准》（DB44/2367-2022）表1挥发性有机物排放限值</w:t>
                  </w:r>
                </w:p>
              </w:tc>
              <w:tc>
                <w:tcPr>
                  <w:tcW w:w="824" w:type="pct"/>
                  <w:vAlign w:val="center"/>
                </w:tcPr>
                <w:p>
                  <w:pPr>
                    <w:jc w:val="center"/>
                    <w:rPr>
                      <w:bCs/>
                    </w:rPr>
                  </w:pPr>
                  <w:r>
                    <w:rPr>
                      <w:bCs/>
                    </w:rPr>
                    <w:t>100</w:t>
                  </w:r>
                </w:p>
              </w:tc>
              <w:tc>
                <w:tcPr>
                  <w:tcW w:w="626" w:type="pct"/>
                  <w:vAlign w:val="center"/>
                </w:tcPr>
                <w:p>
                  <w:pPr>
                    <w:jc w:val="center"/>
                    <w:rPr>
                      <w:bCs/>
                    </w:rPr>
                  </w:pPr>
                  <w:r>
                    <w:rPr>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16" w:type="pct"/>
                  <w:vMerge w:val="restart"/>
                  <w:vAlign w:val="center"/>
                </w:tcPr>
                <w:p>
                  <w:pPr>
                    <w:jc w:val="center"/>
                  </w:pPr>
                  <w:r>
                    <w:t>无组织</w:t>
                  </w:r>
                </w:p>
              </w:tc>
              <w:tc>
                <w:tcPr>
                  <w:tcW w:w="663" w:type="pct"/>
                  <w:vMerge w:val="restart"/>
                  <w:vAlign w:val="center"/>
                </w:tcPr>
                <w:p>
                  <w:pPr>
                    <w:jc w:val="center"/>
                  </w:pPr>
                  <w:r>
                    <w:t>在厂房外设置监测点</w:t>
                  </w:r>
                </w:p>
              </w:tc>
              <w:tc>
                <w:tcPr>
                  <w:tcW w:w="490" w:type="pct"/>
                  <w:vMerge w:val="restart"/>
                  <w:vAlign w:val="center"/>
                </w:tcPr>
                <w:p>
                  <w:pPr>
                    <w:jc w:val="center"/>
                    <w:textAlignment w:val="center"/>
                  </w:pPr>
                  <w:r>
                    <w:t>NMHC</w:t>
                  </w:r>
                </w:p>
              </w:tc>
              <w:tc>
                <w:tcPr>
                  <w:tcW w:w="296" w:type="pct"/>
                  <w:vMerge w:val="restart"/>
                  <w:vAlign w:val="center"/>
                </w:tcPr>
                <w:p>
                  <w:pPr>
                    <w:jc w:val="center"/>
                  </w:pPr>
                  <w:r>
                    <w:t>1次/年</w:t>
                  </w:r>
                </w:p>
              </w:tc>
              <w:tc>
                <w:tcPr>
                  <w:tcW w:w="1782" w:type="pct"/>
                  <w:vMerge w:val="restart"/>
                  <w:vAlign w:val="center"/>
                </w:tcPr>
                <w:p>
                  <w:pPr>
                    <w:widowControl/>
                    <w:jc w:val="left"/>
                  </w:pPr>
                  <w:r>
                    <w:t>《固定污染源挥发性有机物综合排放标准》（DB44/2367-2022）</w:t>
                  </w:r>
                  <w:r>
                    <w:rPr>
                      <w:rFonts w:hint="eastAsia"/>
                    </w:rPr>
                    <w:t>表3</w:t>
                  </w:r>
                  <w:r>
                    <w:t>厂区内 VOCs 无组织排放限值</w:t>
                  </w:r>
                </w:p>
              </w:tc>
              <w:tc>
                <w:tcPr>
                  <w:tcW w:w="824" w:type="pct"/>
                  <w:vAlign w:val="center"/>
                </w:tcPr>
                <w:p>
                  <w:pPr>
                    <w:jc w:val="center"/>
                    <w:rPr>
                      <w:bCs/>
                    </w:rPr>
                  </w:pPr>
                  <w:r>
                    <w:rPr>
                      <w:rFonts w:hint="eastAsia"/>
                    </w:rPr>
                    <w:t>6</w:t>
                  </w:r>
                  <w:r>
                    <w:t>（</w:t>
                  </w:r>
                  <w:r>
                    <w:rPr>
                      <w:bCs/>
                    </w:rPr>
                    <w:t>监控点处1h平均浓度值</w:t>
                  </w:r>
                  <w:r>
                    <w:t>）</w:t>
                  </w:r>
                </w:p>
              </w:tc>
              <w:tc>
                <w:tcPr>
                  <w:tcW w:w="626" w:type="pct"/>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16" w:type="pct"/>
                  <w:vMerge w:val="continue"/>
                  <w:vAlign w:val="center"/>
                </w:tcPr>
                <w:p>
                  <w:pPr>
                    <w:jc w:val="center"/>
                  </w:pPr>
                </w:p>
              </w:tc>
              <w:tc>
                <w:tcPr>
                  <w:tcW w:w="663" w:type="pct"/>
                  <w:vMerge w:val="continue"/>
                  <w:vAlign w:val="center"/>
                </w:tcPr>
                <w:p>
                  <w:pPr>
                    <w:jc w:val="center"/>
                  </w:pPr>
                </w:p>
              </w:tc>
              <w:tc>
                <w:tcPr>
                  <w:tcW w:w="490" w:type="pct"/>
                  <w:vMerge w:val="continue"/>
                  <w:vAlign w:val="center"/>
                </w:tcPr>
                <w:p>
                  <w:pPr>
                    <w:jc w:val="center"/>
                  </w:pPr>
                </w:p>
              </w:tc>
              <w:tc>
                <w:tcPr>
                  <w:tcW w:w="296" w:type="pct"/>
                  <w:vMerge w:val="continue"/>
                  <w:vAlign w:val="center"/>
                </w:tcPr>
                <w:p>
                  <w:pPr>
                    <w:jc w:val="center"/>
                  </w:pPr>
                </w:p>
              </w:tc>
              <w:tc>
                <w:tcPr>
                  <w:tcW w:w="1782" w:type="pct"/>
                  <w:vMerge w:val="continue"/>
                  <w:vAlign w:val="center"/>
                </w:tcPr>
                <w:p>
                  <w:pPr>
                    <w:jc w:val="center"/>
                  </w:pPr>
                </w:p>
              </w:tc>
              <w:tc>
                <w:tcPr>
                  <w:tcW w:w="824" w:type="pct"/>
                  <w:vAlign w:val="center"/>
                </w:tcPr>
                <w:p>
                  <w:pPr>
                    <w:jc w:val="center"/>
                    <w:rPr>
                      <w:bCs/>
                    </w:rPr>
                  </w:pPr>
                  <w:r>
                    <w:rPr>
                      <w:rFonts w:hint="eastAsia"/>
                    </w:rPr>
                    <w:t>20</w:t>
                  </w:r>
                  <w:r>
                    <w:t>（</w:t>
                  </w:r>
                  <w:r>
                    <w:rPr>
                      <w:bCs/>
                    </w:rPr>
                    <w:t>监控点处任意一次浓度值</w:t>
                  </w:r>
                  <w:r>
                    <w:t>）</w:t>
                  </w:r>
                </w:p>
              </w:tc>
              <w:tc>
                <w:tcPr>
                  <w:tcW w:w="626" w:type="pct"/>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16" w:type="pct"/>
                  <w:vMerge w:val="continue"/>
                  <w:vAlign w:val="center"/>
                </w:tcPr>
                <w:p>
                  <w:pPr>
                    <w:jc w:val="center"/>
                  </w:pPr>
                </w:p>
              </w:tc>
              <w:tc>
                <w:tcPr>
                  <w:tcW w:w="663" w:type="pct"/>
                  <w:vMerge w:val="continue"/>
                  <w:vAlign w:val="center"/>
                </w:tcPr>
                <w:p>
                  <w:pPr>
                    <w:jc w:val="center"/>
                  </w:pPr>
                </w:p>
              </w:tc>
              <w:tc>
                <w:tcPr>
                  <w:tcW w:w="490" w:type="pct"/>
                  <w:vAlign w:val="center"/>
                </w:tcPr>
                <w:p>
                  <w:pPr>
                    <w:jc w:val="center"/>
                  </w:pPr>
                  <w:r>
                    <w:t>颗粒物</w:t>
                  </w:r>
                </w:p>
              </w:tc>
              <w:tc>
                <w:tcPr>
                  <w:tcW w:w="296" w:type="pct"/>
                  <w:vAlign w:val="center"/>
                </w:tcPr>
                <w:p>
                  <w:pPr>
                    <w:jc w:val="center"/>
                  </w:pPr>
                  <w:r>
                    <w:t>1次/年</w:t>
                  </w:r>
                </w:p>
              </w:tc>
              <w:tc>
                <w:tcPr>
                  <w:tcW w:w="1782" w:type="pct"/>
                  <w:vAlign w:val="center"/>
                </w:tcPr>
                <w:p>
                  <w:pPr>
                    <w:jc w:val="center"/>
                  </w:pPr>
                  <w:r>
                    <w:rPr>
                      <w:lang w:bidi="ar"/>
                    </w:rPr>
                    <w:t>《铸造工业大气污染物排放标准》（GB39726-2020）</w:t>
                  </w:r>
                  <w:r>
                    <w:t>附录A标准</w:t>
                  </w:r>
                </w:p>
              </w:tc>
              <w:tc>
                <w:tcPr>
                  <w:tcW w:w="824" w:type="pct"/>
                  <w:vAlign w:val="center"/>
                </w:tcPr>
                <w:p>
                  <w:pPr>
                    <w:jc w:val="center"/>
                  </w:pPr>
                  <w:r>
                    <w:t>5（监控点处1h平均浓度值）</w:t>
                  </w:r>
                </w:p>
              </w:tc>
              <w:tc>
                <w:tcPr>
                  <w:tcW w:w="626" w:type="pct"/>
                  <w:vAlign w:val="center"/>
                </w:tcPr>
                <w:p>
                  <w:pPr>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16" w:type="pct"/>
                  <w:vMerge w:val="continue"/>
                  <w:vAlign w:val="center"/>
                </w:tcPr>
                <w:p>
                  <w:pPr>
                    <w:jc w:val="center"/>
                  </w:pPr>
                </w:p>
              </w:tc>
              <w:tc>
                <w:tcPr>
                  <w:tcW w:w="663" w:type="pct"/>
                  <w:vMerge w:val="restart"/>
                  <w:vAlign w:val="center"/>
                </w:tcPr>
                <w:p>
                  <w:pPr>
                    <w:jc w:val="center"/>
                  </w:pPr>
                  <w:r>
                    <w:t>厂界，监测点位根据监测时气象条件确定</w:t>
                  </w:r>
                </w:p>
              </w:tc>
              <w:tc>
                <w:tcPr>
                  <w:tcW w:w="490" w:type="pct"/>
                  <w:vAlign w:val="center"/>
                </w:tcPr>
                <w:p>
                  <w:pPr>
                    <w:jc w:val="center"/>
                  </w:pPr>
                  <w:r>
                    <w:t>总VOCs</w:t>
                  </w:r>
                </w:p>
              </w:tc>
              <w:tc>
                <w:tcPr>
                  <w:tcW w:w="296" w:type="pct"/>
                  <w:vAlign w:val="center"/>
                </w:tcPr>
                <w:p>
                  <w:pPr>
                    <w:jc w:val="center"/>
                  </w:pPr>
                  <w:r>
                    <w:t>1次/年</w:t>
                  </w:r>
                </w:p>
              </w:tc>
              <w:tc>
                <w:tcPr>
                  <w:tcW w:w="1782" w:type="pct"/>
                  <w:vAlign w:val="center"/>
                </w:tcPr>
                <w:p>
                  <w:pPr>
                    <w:jc w:val="center"/>
                  </w:pPr>
                  <w:r>
                    <w:rPr>
                      <w:bCs/>
                    </w:rPr>
                    <w:t>《家具制造行业挥发性有机化合物排放标准》（DB44/814-2010）无组织排放监控点浓度限值</w:t>
                  </w:r>
                </w:p>
              </w:tc>
              <w:tc>
                <w:tcPr>
                  <w:tcW w:w="824" w:type="pct"/>
                  <w:vAlign w:val="center"/>
                </w:tcPr>
                <w:p>
                  <w:pPr>
                    <w:jc w:val="center"/>
                    <w:rPr>
                      <w:bCs/>
                    </w:rPr>
                  </w:pPr>
                  <w:r>
                    <w:rPr>
                      <w:rFonts w:hint="eastAsia"/>
                      <w:bCs/>
                    </w:rPr>
                    <w:t>2.0</w:t>
                  </w:r>
                </w:p>
              </w:tc>
              <w:tc>
                <w:tcPr>
                  <w:tcW w:w="626" w:type="pct"/>
                  <w:vAlign w:val="center"/>
                </w:tcPr>
                <w:p>
                  <w:pPr>
                    <w:jc w:val="center"/>
                    <w:rPr>
                      <w:bCs/>
                    </w:rPr>
                  </w:pPr>
                  <w:r>
                    <w:rPr>
                      <w:bCs/>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7" w:hRule="atLeast"/>
                <w:jc w:val="center"/>
              </w:trPr>
              <w:tc>
                <w:tcPr>
                  <w:tcW w:w="316" w:type="pct"/>
                  <w:vMerge w:val="continue"/>
                  <w:vAlign w:val="center"/>
                </w:tcPr>
                <w:p>
                  <w:pPr>
                    <w:jc w:val="center"/>
                  </w:pPr>
                </w:p>
              </w:tc>
              <w:tc>
                <w:tcPr>
                  <w:tcW w:w="663" w:type="pct"/>
                  <w:vMerge w:val="continue"/>
                  <w:vAlign w:val="center"/>
                </w:tcPr>
                <w:p>
                  <w:pPr>
                    <w:jc w:val="center"/>
                  </w:pPr>
                </w:p>
              </w:tc>
              <w:tc>
                <w:tcPr>
                  <w:tcW w:w="490" w:type="pct"/>
                  <w:vAlign w:val="center"/>
                </w:tcPr>
                <w:p>
                  <w:pPr>
                    <w:jc w:val="center"/>
                  </w:pPr>
                  <w:r>
                    <w:t>颗粒物</w:t>
                  </w:r>
                </w:p>
              </w:tc>
              <w:tc>
                <w:tcPr>
                  <w:tcW w:w="296" w:type="pct"/>
                  <w:vAlign w:val="center"/>
                </w:tcPr>
                <w:p>
                  <w:pPr>
                    <w:jc w:val="center"/>
                  </w:pPr>
                  <w:r>
                    <w:t>1次/年</w:t>
                  </w:r>
                </w:p>
              </w:tc>
              <w:tc>
                <w:tcPr>
                  <w:tcW w:w="1782" w:type="pct"/>
                  <w:vAlign w:val="center"/>
                </w:tcPr>
                <w:p>
                  <w:pPr>
                    <w:jc w:val="center"/>
                  </w:pPr>
                  <w:r>
                    <w:t>《大气污染物排放限值》（DB44/27-2001）第二时段</w:t>
                  </w:r>
                  <w:r>
                    <w:rPr>
                      <w:bCs/>
                    </w:rPr>
                    <w:t>无组织排放监控浓度限值</w:t>
                  </w:r>
                </w:p>
              </w:tc>
              <w:tc>
                <w:tcPr>
                  <w:tcW w:w="824" w:type="pct"/>
                  <w:vAlign w:val="center"/>
                </w:tcPr>
                <w:p>
                  <w:pPr>
                    <w:jc w:val="center"/>
                  </w:pPr>
                  <w:r>
                    <w:t>1</w:t>
                  </w:r>
                  <w:r>
                    <w:rPr>
                      <w:rFonts w:hint="eastAsia"/>
                    </w:rPr>
                    <w:t>.0</w:t>
                  </w:r>
                </w:p>
              </w:tc>
              <w:tc>
                <w:tcPr>
                  <w:tcW w:w="626" w:type="pct"/>
                  <w:vAlign w:val="center"/>
                </w:tcPr>
                <w:p>
                  <w:pPr>
                    <w:jc w:val="center"/>
                  </w:pPr>
                  <w:r>
                    <w:t>/</w:t>
                  </w:r>
                </w:p>
              </w:tc>
            </w:tr>
          </w:tbl>
          <w:p>
            <w:pPr>
              <w:adjustRightInd w:val="0"/>
              <w:spacing w:before="120" w:beforeLines="50" w:line="360" w:lineRule="auto"/>
              <w:ind w:firstLine="415" w:firstLineChars="197"/>
              <w:textAlignment w:val="baseline"/>
              <w:rPr>
                <w:b/>
              </w:rPr>
            </w:pPr>
            <w:bookmarkStart w:id="6" w:name="_Toc515316307"/>
            <w:bookmarkStart w:id="7" w:name="_Toc23368"/>
            <w:r>
              <w:rPr>
                <w:rFonts w:hint="eastAsia"/>
                <w:b/>
              </w:rPr>
              <w:t>4.</w:t>
            </w:r>
            <w:r>
              <w:rPr>
                <w:b/>
              </w:rPr>
              <w:t>非正常工况源强分析</w:t>
            </w:r>
          </w:p>
          <w:p>
            <w:pPr>
              <w:widowControl/>
              <w:spacing w:line="360" w:lineRule="auto"/>
              <w:jc w:val="center"/>
              <w:rPr>
                <w:b/>
              </w:rPr>
            </w:pPr>
            <w:r>
              <w:rPr>
                <w:b/>
              </w:rPr>
              <w:t>表4-7 大气污染物非正常工况排放量核算表</w:t>
            </w:r>
          </w:p>
          <w:tbl>
            <w:tblPr>
              <w:tblStyle w:val="10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9"/>
              <w:gridCol w:w="1391"/>
              <w:gridCol w:w="876"/>
              <w:gridCol w:w="1332"/>
              <w:gridCol w:w="1373"/>
              <w:gridCol w:w="780"/>
              <w:gridCol w:w="711"/>
              <w:gridCol w:w="1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2" w:hRule="atLeast"/>
                <w:tblHeader/>
                <w:jc w:val="center"/>
              </w:trPr>
              <w:tc>
                <w:tcPr>
                  <w:tcW w:w="0" w:type="auto"/>
                  <w:vAlign w:val="center"/>
                </w:tcPr>
                <w:p>
                  <w:pPr>
                    <w:widowControl/>
                    <w:jc w:val="center"/>
                    <w:rPr>
                      <w:b/>
                      <w:lang w:eastAsia="zh-TW"/>
                    </w:rPr>
                  </w:pPr>
                  <w:r>
                    <w:rPr>
                      <w:b/>
                      <w:lang w:eastAsia="zh-TW"/>
                    </w:rPr>
                    <w:t>污染源</w:t>
                  </w:r>
                </w:p>
              </w:tc>
              <w:tc>
                <w:tcPr>
                  <w:tcW w:w="0" w:type="auto"/>
                  <w:vAlign w:val="center"/>
                </w:tcPr>
                <w:p>
                  <w:pPr>
                    <w:widowControl/>
                    <w:jc w:val="center"/>
                    <w:rPr>
                      <w:b/>
                      <w:lang w:eastAsia="zh-TW"/>
                    </w:rPr>
                  </w:pPr>
                  <w:r>
                    <w:rPr>
                      <w:b/>
                      <w:lang w:eastAsia="zh-TW"/>
                    </w:rPr>
                    <w:t>非正常排放原因</w:t>
                  </w:r>
                </w:p>
              </w:tc>
              <w:tc>
                <w:tcPr>
                  <w:tcW w:w="0" w:type="auto"/>
                  <w:vAlign w:val="center"/>
                </w:tcPr>
                <w:p>
                  <w:pPr>
                    <w:widowControl/>
                    <w:jc w:val="center"/>
                    <w:rPr>
                      <w:b/>
                    </w:rPr>
                  </w:pPr>
                  <w:r>
                    <w:rPr>
                      <w:b/>
                      <w:lang w:eastAsia="zh-TW"/>
                    </w:rPr>
                    <w:t>污染</w:t>
                  </w:r>
                  <w:r>
                    <w:rPr>
                      <w:b/>
                    </w:rPr>
                    <w:t>因子</w:t>
                  </w:r>
                </w:p>
              </w:tc>
              <w:tc>
                <w:tcPr>
                  <w:tcW w:w="0" w:type="auto"/>
                  <w:vAlign w:val="center"/>
                </w:tcPr>
                <w:p>
                  <w:pPr>
                    <w:widowControl/>
                    <w:jc w:val="center"/>
                    <w:rPr>
                      <w:b/>
                      <w:lang w:eastAsia="zh-TW"/>
                    </w:rPr>
                  </w:pPr>
                  <w:r>
                    <w:rPr>
                      <w:b/>
                      <w:lang w:eastAsia="zh-TW"/>
                    </w:rPr>
                    <w:t>非正常排放速率/(kg/h)</w:t>
                  </w:r>
                </w:p>
              </w:tc>
              <w:tc>
                <w:tcPr>
                  <w:tcW w:w="0" w:type="auto"/>
                  <w:vAlign w:val="center"/>
                </w:tcPr>
                <w:p>
                  <w:pPr>
                    <w:widowControl/>
                    <w:jc w:val="center"/>
                    <w:rPr>
                      <w:b/>
                      <w:lang w:eastAsia="zh-TW"/>
                    </w:rPr>
                  </w:pPr>
                  <w:r>
                    <w:rPr>
                      <w:b/>
                      <w:lang w:eastAsia="zh-TW"/>
                    </w:rPr>
                    <w:t>非正常排放浓度/(</w:t>
                  </w:r>
                  <w:r>
                    <w:rPr>
                      <w:b/>
                    </w:rPr>
                    <w:t>m</w:t>
                  </w:r>
                  <w:r>
                    <w:rPr>
                      <w:b/>
                      <w:lang w:eastAsia="zh-TW"/>
                    </w:rPr>
                    <w:t>g/m</w:t>
                  </w:r>
                  <w:r>
                    <w:rPr>
                      <w:b/>
                      <w:vertAlign w:val="superscript"/>
                      <w:lang w:eastAsia="zh-TW"/>
                    </w:rPr>
                    <w:t>3</w:t>
                  </w:r>
                  <w:r>
                    <w:rPr>
                      <w:b/>
                      <w:lang w:eastAsia="zh-TW"/>
                    </w:rPr>
                    <w:t>)</w:t>
                  </w:r>
                </w:p>
              </w:tc>
              <w:tc>
                <w:tcPr>
                  <w:tcW w:w="0" w:type="auto"/>
                  <w:vAlign w:val="center"/>
                </w:tcPr>
                <w:p>
                  <w:pPr>
                    <w:widowControl/>
                    <w:jc w:val="center"/>
                    <w:rPr>
                      <w:b/>
                      <w:lang w:eastAsia="zh-TW"/>
                    </w:rPr>
                  </w:pPr>
                  <w:r>
                    <w:rPr>
                      <w:b/>
                      <w:lang w:eastAsia="zh-TW"/>
                    </w:rPr>
                    <w:t>单次持续时间/h</w:t>
                  </w:r>
                </w:p>
              </w:tc>
              <w:tc>
                <w:tcPr>
                  <w:tcW w:w="0" w:type="auto"/>
                  <w:vAlign w:val="center"/>
                </w:tcPr>
                <w:p>
                  <w:pPr>
                    <w:widowControl/>
                    <w:jc w:val="center"/>
                    <w:rPr>
                      <w:b/>
                      <w:lang w:eastAsia="zh-TW"/>
                    </w:rPr>
                  </w:pPr>
                  <w:r>
                    <w:rPr>
                      <w:b/>
                      <w:lang w:eastAsia="zh-TW"/>
                    </w:rPr>
                    <w:t>年发生频次/次</w:t>
                  </w:r>
                </w:p>
              </w:tc>
              <w:tc>
                <w:tcPr>
                  <w:tcW w:w="0" w:type="auto"/>
                  <w:vAlign w:val="center"/>
                </w:tcPr>
                <w:p>
                  <w:pPr>
                    <w:widowControl/>
                    <w:jc w:val="center"/>
                    <w:rPr>
                      <w:b/>
                      <w:lang w:eastAsia="zh-TW"/>
                    </w:rPr>
                  </w:pPr>
                  <w:r>
                    <w:rPr>
                      <w:b/>
                      <w:lang w:eastAsia="zh-TW"/>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0" w:type="auto"/>
                  <w:vMerge w:val="restart"/>
                  <w:vAlign w:val="center"/>
                </w:tcPr>
                <w:p>
                  <w:pPr>
                    <w:widowControl/>
                    <w:jc w:val="center"/>
                  </w:pPr>
                  <w:r>
                    <w:t>排气筒DA001</w:t>
                  </w:r>
                </w:p>
              </w:tc>
              <w:tc>
                <w:tcPr>
                  <w:tcW w:w="0" w:type="auto"/>
                  <w:vMerge w:val="restart"/>
                  <w:vAlign w:val="center"/>
                </w:tcPr>
                <w:p>
                  <w:pPr>
                    <w:widowControl/>
                    <w:jc w:val="center"/>
                  </w:pPr>
                  <w:r>
                    <w:t>处理设施故障</w:t>
                  </w:r>
                  <w:r>
                    <w:rPr>
                      <w:rFonts w:hint="eastAsia"/>
                    </w:rPr>
                    <w:t>，处理效率下降为20%</w:t>
                  </w:r>
                </w:p>
              </w:tc>
              <w:tc>
                <w:tcPr>
                  <w:tcW w:w="0" w:type="auto"/>
                  <w:vAlign w:val="center"/>
                </w:tcPr>
                <w:p>
                  <w:pPr>
                    <w:widowControl/>
                    <w:jc w:val="center"/>
                  </w:pPr>
                  <w:r>
                    <w:t>非甲烷总烃</w:t>
                  </w:r>
                </w:p>
              </w:tc>
              <w:tc>
                <w:tcPr>
                  <w:tcW w:w="0" w:type="auto"/>
                  <w:vAlign w:val="center"/>
                </w:tcPr>
                <w:p>
                  <w:pPr>
                    <w:adjustRightInd w:val="0"/>
                    <w:snapToGrid w:val="0"/>
                    <w:jc w:val="center"/>
                    <w:textAlignment w:val="center"/>
                  </w:pPr>
                  <w:r>
                    <w:t>0.</w:t>
                  </w:r>
                  <w:r>
                    <w:rPr>
                      <w:rFonts w:hint="eastAsia"/>
                    </w:rPr>
                    <w:t>000377</w:t>
                  </w:r>
                </w:p>
              </w:tc>
              <w:tc>
                <w:tcPr>
                  <w:tcW w:w="0" w:type="auto"/>
                  <w:vAlign w:val="center"/>
                </w:tcPr>
                <w:p>
                  <w:pPr>
                    <w:adjustRightInd w:val="0"/>
                    <w:snapToGrid w:val="0"/>
                    <w:jc w:val="center"/>
                    <w:textAlignment w:val="center"/>
                  </w:pPr>
                  <w:r>
                    <w:rPr>
                      <w:rFonts w:hint="eastAsia"/>
                    </w:rPr>
                    <w:t>0.034</w:t>
                  </w:r>
                </w:p>
              </w:tc>
              <w:tc>
                <w:tcPr>
                  <w:tcW w:w="0" w:type="auto"/>
                  <w:vAlign w:val="center"/>
                </w:tcPr>
                <w:p>
                  <w:pPr>
                    <w:widowControl/>
                    <w:jc w:val="center"/>
                  </w:pPr>
                  <w:r>
                    <w:t>0.5</w:t>
                  </w:r>
                </w:p>
              </w:tc>
              <w:tc>
                <w:tcPr>
                  <w:tcW w:w="0" w:type="auto"/>
                  <w:vAlign w:val="center"/>
                </w:tcPr>
                <w:p>
                  <w:pPr>
                    <w:widowControl/>
                    <w:jc w:val="center"/>
                  </w:pPr>
                  <w:r>
                    <w:t>2</w:t>
                  </w:r>
                </w:p>
              </w:tc>
              <w:tc>
                <w:tcPr>
                  <w:tcW w:w="0" w:type="auto"/>
                  <w:vMerge w:val="restart"/>
                  <w:vAlign w:val="center"/>
                </w:tcPr>
                <w:p>
                  <w:pPr>
                    <w:widowControl/>
                    <w:jc w:val="center"/>
                    <w:rPr>
                      <w:lang w:eastAsia="zh-TW"/>
                    </w:rPr>
                  </w:pPr>
                  <w:r>
                    <w:rPr>
                      <w:lang w:eastAsia="zh-TW"/>
                    </w:rPr>
                    <w:t>立即停止</w:t>
                  </w:r>
                  <w:r>
                    <w:t>生产</w:t>
                  </w:r>
                  <w:r>
                    <w:rPr>
                      <w:lang w:eastAsia="zh-TW"/>
                    </w:rPr>
                    <w:t>，并定期加强环保设施检查，台账记录等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jc w:val="center"/>
              </w:trPr>
              <w:tc>
                <w:tcPr>
                  <w:tcW w:w="0" w:type="auto"/>
                  <w:vMerge w:val="continue"/>
                  <w:vAlign w:val="center"/>
                </w:tcPr>
                <w:p>
                  <w:pPr>
                    <w:widowControl/>
                    <w:jc w:val="center"/>
                  </w:pPr>
                </w:p>
              </w:tc>
              <w:tc>
                <w:tcPr>
                  <w:tcW w:w="0" w:type="auto"/>
                  <w:vMerge w:val="continue"/>
                  <w:vAlign w:val="center"/>
                </w:tcPr>
                <w:p>
                  <w:pPr>
                    <w:widowControl/>
                    <w:jc w:val="center"/>
                  </w:pPr>
                </w:p>
              </w:tc>
              <w:tc>
                <w:tcPr>
                  <w:tcW w:w="0" w:type="auto"/>
                  <w:vAlign w:val="center"/>
                </w:tcPr>
                <w:p>
                  <w:pPr>
                    <w:widowControl/>
                    <w:jc w:val="center"/>
                  </w:pPr>
                  <w:r>
                    <w:t>颗粒物</w:t>
                  </w:r>
                </w:p>
              </w:tc>
              <w:tc>
                <w:tcPr>
                  <w:tcW w:w="0" w:type="auto"/>
                  <w:vAlign w:val="center"/>
                </w:tcPr>
                <w:p>
                  <w:pPr>
                    <w:adjustRightInd w:val="0"/>
                    <w:snapToGrid w:val="0"/>
                    <w:jc w:val="center"/>
                    <w:textAlignment w:val="center"/>
                  </w:pPr>
                  <w:r>
                    <w:t>0.</w:t>
                  </w:r>
                  <w:r>
                    <w:rPr>
                      <w:rFonts w:hint="eastAsia"/>
                    </w:rPr>
                    <w:t>216</w:t>
                  </w:r>
                </w:p>
              </w:tc>
              <w:tc>
                <w:tcPr>
                  <w:tcW w:w="0" w:type="auto"/>
                  <w:vAlign w:val="center"/>
                </w:tcPr>
                <w:p>
                  <w:pPr>
                    <w:adjustRightInd w:val="0"/>
                    <w:snapToGrid w:val="0"/>
                    <w:jc w:val="center"/>
                    <w:textAlignment w:val="center"/>
                  </w:pPr>
                  <w:r>
                    <w:rPr>
                      <w:rFonts w:hint="eastAsia"/>
                    </w:rPr>
                    <w:t>19.65</w:t>
                  </w:r>
                </w:p>
              </w:tc>
              <w:tc>
                <w:tcPr>
                  <w:tcW w:w="0" w:type="auto"/>
                  <w:vAlign w:val="center"/>
                </w:tcPr>
                <w:p>
                  <w:pPr>
                    <w:widowControl/>
                    <w:jc w:val="center"/>
                  </w:pPr>
                  <w:r>
                    <w:t>0.5</w:t>
                  </w:r>
                </w:p>
              </w:tc>
              <w:tc>
                <w:tcPr>
                  <w:tcW w:w="0" w:type="auto"/>
                  <w:vAlign w:val="center"/>
                </w:tcPr>
                <w:p>
                  <w:pPr>
                    <w:widowControl/>
                    <w:jc w:val="center"/>
                  </w:pPr>
                  <w:r>
                    <w:t>2</w:t>
                  </w:r>
                </w:p>
              </w:tc>
              <w:tc>
                <w:tcPr>
                  <w:tcW w:w="0" w:type="auto"/>
                  <w:vMerge w:val="continue"/>
                  <w:vAlign w:val="center"/>
                </w:tcPr>
                <w:p>
                  <w:pPr>
                    <w:widowControl/>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0" w:type="auto"/>
                  <w:vAlign w:val="center"/>
                </w:tcPr>
                <w:p>
                  <w:pPr>
                    <w:jc w:val="center"/>
                  </w:pPr>
                  <w:r>
                    <w:t>排气筒DA002</w:t>
                  </w:r>
                </w:p>
              </w:tc>
              <w:tc>
                <w:tcPr>
                  <w:tcW w:w="0" w:type="auto"/>
                  <w:vMerge w:val="continue"/>
                  <w:vAlign w:val="center"/>
                </w:tcPr>
                <w:p>
                  <w:pPr>
                    <w:jc w:val="center"/>
                  </w:pPr>
                </w:p>
              </w:tc>
              <w:tc>
                <w:tcPr>
                  <w:tcW w:w="0" w:type="auto"/>
                  <w:vAlign w:val="center"/>
                </w:tcPr>
                <w:p>
                  <w:pPr>
                    <w:adjustRightInd w:val="0"/>
                    <w:snapToGrid w:val="0"/>
                    <w:jc w:val="center"/>
                  </w:pPr>
                  <w:r>
                    <w:t>颗粒物</w:t>
                  </w:r>
                </w:p>
              </w:tc>
              <w:tc>
                <w:tcPr>
                  <w:tcW w:w="0" w:type="auto"/>
                  <w:vAlign w:val="center"/>
                </w:tcPr>
                <w:p>
                  <w:pPr>
                    <w:adjustRightInd w:val="0"/>
                    <w:snapToGrid w:val="0"/>
                    <w:jc w:val="center"/>
                    <w:textAlignment w:val="center"/>
                  </w:pPr>
                  <w:r>
                    <w:t>0.</w:t>
                  </w:r>
                  <w:r>
                    <w:rPr>
                      <w:rFonts w:hint="eastAsia"/>
                    </w:rPr>
                    <w:t>613</w:t>
                  </w:r>
                </w:p>
              </w:tc>
              <w:tc>
                <w:tcPr>
                  <w:tcW w:w="0" w:type="auto"/>
                  <w:vAlign w:val="center"/>
                </w:tcPr>
                <w:p>
                  <w:pPr>
                    <w:adjustRightInd w:val="0"/>
                    <w:snapToGrid w:val="0"/>
                    <w:jc w:val="center"/>
                    <w:textAlignment w:val="center"/>
                  </w:pPr>
                  <w:r>
                    <w:t>3</w:t>
                  </w:r>
                  <w:r>
                    <w:rPr>
                      <w:rFonts w:hint="eastAsia"/>
                    </w:rPr>
                    <w:t>6.07</w:t>
                  </w:r>
                </w:p>
              </w:tc>
              <w:tc>
                <w:tcPr>
                  <w:tcW w:w="0" w:type="auto"/>
                  <w:vAlign w:val="center"/>
                </w:tcPr>
                <w:p>
                  <w:pPr>
                    <w:widowControl/>
                    <w:jc w:val="center"/>
                  </w:pPr>
                  <w:r>
                    <w:t>0.5</w:t>
                  </w:r>
                </w:p>
              </w:tc>
              <w:tc>
                <w:tcPr>
                  <w:tcW w:w="0" w:type="auto"/>
                  <w:vAlign w:val="center"/>
                </w:tcPr>
                <w:p>
                  <w:pPr>
                    <w:widowControl/>
                    <w:jc w:val="center"/>
                  </w:pPr>
                  <w:r>
                    <w:t>2</w:t>
                  </w:r>
                </w:p>
              </w:tc>
              <w:tc>
                <w:tcPr>
                  <w:tcW w:w="0" w:type="auto"/>
                  <w:vMerge w:val="continue"/>
                  <w:vAlign w:val="center"/>
                </w:tcPr>
                <w:p>
                  <w:pPr>
                    <w:jc w:val="center"/>
                    <w:rPr>
                      <w:lang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4" w:hRule="atLeast"/>
                <w:jc w:val="center"/>
              </w:trPr>
              <w:tc>
                <w:tcPr>
                  <w:tcW w:w="0" w:type="auto"/>
                  <w:vAlign w:val="center"/>
                </w:tcPr>
                <w:p>
                  <w:pPr>
                    <w:widowControl/>
                    <w:jc w:val="center"/>
                  </w:pPr>
                  <w:r>
                    <w:t>排气筒DA003</w:t>
                  </w:r>
                </w:p>
              </w:tc>
              <w:tc>
                <w:tcPr>
                  <w:tcW w:w="0" w:type="auto"/>
                  <w:vMerge w:val="continue"/>
                  <w:vAlign w:val="center"/>
                </w:tcPr>
                <w:p>
                  <w:pPr>
                    <w:widowControl/>
                    <w:jc w:val="center"/>
                  </w:pPr>
                </w:p>
              </w:tc>
              <w:tc>
                <w:tcPr>
                  <w:tcW w:w="0" w:type="auto"/>
                  <w:vAlign w:val="center"/>
                </w:tcPr>
                <w:p>
                  <w:pPr>
                    <w:widowControl/>
                    <w:jc w:val="center"/>
                  </w:pPr>
                  <w:r>
                    <w:t>颗粒物</w:t>
                  </w:r>
                </w:p>
              </w:tc>
              <w:tc>
                <w:tcPr>
                  <w:tcW w:w="0" w:type="auto"/>
                  <w:vAlign w:val="center"/>
                </w:tcPr>
                <w:p>
                  <w:pPr>
                    <w:adjustRightInd w:val="0"/>
                    <w:snapToGrid w:val="0"/>
                    <w:jc w:val="center"/>
                    <w:textAlignment w:val="center"/>
                  </w:pPr>
                  <w:r>
                    <w:t>0.</w:t>
                  </w:r>
                  <w:r>
                    <w:rPr>
                      <w:rFonts w:hint="eastAsia"/>
                    </w:rPr>
                    <w:t>0485</w:t>
                  </w:r>
                </w:p>
              </w:tc>
              <w:tc>
                <w:tcPr>
                  <w:tcW w:w="0" w:type="auto"/>
                  <w:vAlign w:val="center"/>
                </w:tcPr>
                <w:p>
                  <w:pPr>
                    <w:adjustRightInd w:val="0"/>
                    <w:snapToGrid w:val="0"/>
                    <w:jc w:val="center"/>
                    <w:textAlignment w:val="center"/>
                  </w:pPr>
                  <w:r>
                    <w:t>2</w:t>
                  </w:r>
                  <w:r>
                    <w:rPr>
                      <w:rFonts w:hint="eastAsia"/>
                    </w:rPr>
                    <w:t>2.06</w:t>
                  </w:r>
                </w:p>
              </w:tc>
              <w:tc>
                <w:tcPr>
                  <w:tcW w:w="0" w:type="auto"/>
                  <w:vAlign w:val="center"/>
                </w:tcPr>
                <w:p>
                  <w:pPr>
                    <w:widowControl/>
                    <w:jc w:val="center"/>
                  </w:pPr>
                  <w:r>
                    <w:t>0.5</w:t>
                  </w:r>
                </w:p>
              </w:tc>
              <w:tc>
                <w:tcPr>
                  <w:tcW w:w="0" w:type="auto"/>
                  <w:vAlign w:val="center"/>
                </w:tcPr>
                <w:p>
                  <w:pPr>
                    <w:widowControl/>
                    <w:jc w:val="center"/>
                  </w:pPr>
                  <w:r>
                    <w:t>2</w:t>
                  </w:r>
                </w:p>
              </w:tc>
              <w:tc>
                <w:tcPr>
                  <w:tcW w:w="0" w:type="auto"/>
                  <w:vMerge w:val="continue"/>
                  <w:vAlign w:val="center"/>
                </w:tcPr>
                <w:p>
                  <w:pPr>
                    <w:widowControl/>
                    <w:jc w:val="center"/>
                    <w:rPr>
                      <w:lang w:eastAsia="zh-T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34" w:hRule="atLeast"/>
                <w:jc w:val="center"/>
              </w:trPr>
              <w:tc>
                <w:tcPr>
                  <w:tcW w:w="0" w:type="auto"/>
                  <w:vAlign w:val="center"/>
                </w:tcPr>
                <w:p>
                  <w:pPr>
                    <w:jc w:val="center"/>
                  </w:pPr>
                  <w:r>
                    <w:t>排气筒DA004</w:t>
                  </w:r>
                </w:p>
              </w:tc>
              <w:tc>
                <w:tcPr>
                  <w:tcW w:w="0" w:type="auto"/>
                  <w:vMerge w:val="continue"/>
                  <w:vAlign w:val="center"/>
                </w:tcPr>
                <w:p>
                  <w:pPr>
                    <w:jc w:val="center"/>
                  </w:pPr>
                </w:p>
              </w:tc>
              <w:tc>
                <w:tcPr>
                  <w:tcW w:w="0" w:type="auto"/>
                  <w:vAlign w:val="center"/>
                </w:tcPr>
                <w:p>
                  <w:pPr>
                    <w:adjustRightInd w:val="0"/>
                    <w:snapToGrid w:val="0"/>
                    <w:jc w:val="center"/>
                  </w:pPr>
                  <w:r>
                    <w:t>总VOCs</w:t>
                  </w:r>
                </w:p>
              </w:tc>
              <w:tc>
                <w:tcPr>
                  <w:tcW w:w="0" w:type="auto"/>
                  <w:vAlign w:val="center"/>
                </w:tcPr>
                <w:p>
                  <w:pPr>
                    <w:adjustRightInd w:val="0"/>
                    <w:snapToGrid w:val="0"/>
                    <w:jc w:val="center"/>
                    <w:textAlignment w:val="center"/>
                  </w:pPr>
                  <w:r>
                    <w:t>0.000</w:t>
                  </w:r>
                  <w:r>
                    <w:rPr>
                      <w:rFonts w:hint="eastAsia"/>
                    </w:rPr>
                    <w:t>582</w:t>
                  </w:r>
                </w:p>
              </w:tc>
              <w:tc>
                <w:tcPr>
                  <w:tcW w:w="0" w:type="auto"/>
                  <w:vAlign w:val="center"/>
                </w:tcPr>
                <w:p>
                  <w:pPr>
                    <w:adjustRightInd w:val="0"/>
                    <w:snapToGrid w:val="0"/>
                    <w:jc w:val="center"/>
                    <w:textAlignment w:val="center"/>
                  </w:pPr>
                  <w:r>
                    <w:t>0.</w:t>
                  </w:r>
                  <w:r>
                    <w:rPr>
                      <w:rFonts w:hint="eastAsia"/>
                    </w:rPr>
                    <w:t>265</w:t>
                  </w:r>
                </w:p>
              </w:tc>
              <w:tc>
                <w:tcPr>
                  <w:tcW w:w="0" w:type="auto"/>
                  <w:vAlign w:val="center"/>
                </w:tcPr>
                <w:p>
                  <w:pPr>
                    <w:widowControl/>
                    <w:jc w:val="center"/>
                  </w:pPr>
                  <w:r>
                    <w:t>0.5</w:t>
                  </w:r>
                </w:p>
              </w:tc>
              <w:tc>
                <w:tcPr>
                  <w:tcW w:w="0" w:type="auto"/>
                  <w:vAlign w:val="center"/>
                </w:tcPr>
                <w:p>
                  <w:pPr>
                    <w:widowControl/>
                    <w:jc w:val="center"/>
                  </w:pPr>
                  <w:r>
                    <w:t>2</w:t>
                  </w:r>
                </w:p>
              </w:tc>
              <w:tc>
                <w:tcPr>
                  <w:tcW w:w="0" w:type="auto"/>
                  <w:vMerge w:val="continue"/>
                  <w:vAlign w:val="center"/>
                </w:tcPr>
                <w:p>
                  <w:pPr>
                    <w:jc w:val="center"/>
                    <w:rPr>
                      <w:lang w:eastAsia="zh-TW"/>
                    </w:rPr>
                  </w:pPr>
                </w:p>
              </w:tc>
            </w:tr>
          </w:tbl>
          <w:p>
            <w:pPr>
              <w:widowControl/>
              <w:adjustRightInd w:val="0"/>
              <w:snapToGrid w:val="0"/>
              <w:spacing w:before="120" w:beforeLines="50" w:line="360" w:lineRule="auto"/>
              <w:ind w:firstLine="422" w:firstLineChars="200"/>
              <w:jc w:val="left"/>
              <w:rPr>
                <w:b/>
              </w:rPr>
            </w:pPr>
            <w:r>
              <w:rPr>
                <w:rFonts w:hint="eastAsia"/>
                <w:b/>
              </w:rPr>
              <w:t>5.</w:t>
            </w:r>
            <w:r>
              <w:rPr>
                <w:b/>
              </w:rPr>
              <w:t>废气污染防治技术可行性分析</w:t>
            </w:r>
          </w:p>
          <w:p>
            <w:pPr>
              <w:pStyle w:val="877"/>
              <w:spacing w:line="360" w:lineRule="auto"/>
              <w:ind w:firstLine="420"/>
              <w:rPr>
                <w:sz w:val="21"/>
              </w:rPr>
            </w:pPr>
            <w:r>
              <w:rPr>
                <w:sz w:val="21"/>
              </w:rPr>
              <w:t>根据《排污许可证申请与核发技术规范 金属铸造业》（HJ1115—2020）表 A.1 废气防治可行技术参考表，压铸工序中</w:t>
            </w:r>
            <w:r>
              <w:rPr>
                <w:rFonts w:hint="eastAsia"/>
                <w:sz w:val="21"/>
              </w:rPr>
              <w:t>产生的有机废气</w:t>
            </w:r>
            <w:r>
              <w:rPr>
                <w:sz w:val="21"/>
              </w:rPr>
              <w:t>的</w:t>
            </w:r>
            <w:r>
              <w:rPr>
                <w:rFonts w:hint="eastAsia"/>
                <w:sz w:val="21"/>
              </w:rPr>
              <w:t>防治</w:t>
            </w:r>
            <w:r>
              <w:rPr>
                <w:sz w:val="21"/>
              </w:rPr>
              <w:t>可行技术为</w:t>
            </w:r>
            <w:r>
              <w:rPr>
                <w:rFonts w:hint="eastAsia"/>
                <w:sz w:val="21"/>
              </w:rPr>
              <w:t>“</w:t>
            </w:r>
            <w:r>
              <w:rPr>
                <w:sz w:val="21"/>
              </w:rPr>
              <w:t>活性炭吸附或催化燃烧装置”，</w:t>
            </w:r>
            <w:r>
              <w:rPr>
                <w:rFonts w:hint="eastAsia"/>
                <w:sz w:val="21"/>
              </w:rPr>
              <w:t>项目采用“收集装置+二级活性炭吸附装置”；打磨、抛光、</w:t>
            </w:r>
            <w:r>
              <w:rPr>
                <w:sz w:val="21"/>
              </w:rPr>
              <w:t>喷砂工序中</w:t>
            </w:r>
            <w:r>
              <w:rPr>
                <w:rFonts w:hint="eastAsia"/>
                <w:sz w:val="21"/>
              </w:rPr>
              <w:t>产生的</w:t>
            </w:r>
            <w:r>
              <w:rPr>
                <w:sz w:val="21"/>
              </w:rPr>
              <w:t>颗粒物</w:t>
            </w:r>
            <w:r>
              <w:rPr>
                <w:rFonts w:hint="eastAsia"/>
                <w:sz w:val="21"/>
              </w:rPr>
              <w:t>防治</w:t>
            </w:r>
            <w:r>
              <w:rPr>
                <w:sz w:val="21"/>
              </w:rPr>
              <w:t>可行技术为</w:t>
            </w:r>
            <w:r>
              <w:rPr>
                <w:rFonts w:hint="eastAsia"/>
                <w:sz w:val="21"/>
              </w:rPr>
              <w:t>“设置集气罩，经除尘器处理后排放”</w:t>
            </w:r>
            <w:r>
              <w:rPr>
                <w:sz w:val="21"/>
              </w:rPr>
              <w:t>，项目采用的</w:t>
            </w:r>
            <w:r>
              <w:rPr>
                <w:rFonts w:hint="eastAsia"/>
                <w:sz w:val="21"/>
              </w:rPr>
              <w:t>“</w:t>
            </w:r>
            <w:r>
              <w:rPr>
                <w:sz w:val="21"/>
              </w:rPr>
              <w:t>旋风除尘</w:t>
            </w:r>
            <w:r>
              <w:rPr>
                <w:rFonts w:hint="eastAsia"/>
                <w:sz w:val="21"/>
              </w:rPr>
              <w:t>”；喷粉烘烤固化工序产生的颗粒物采用“袋式除尘”工艺治理；根据技术规范，涂装工序TVOC可行技术为“在涂装车间设置TVOC处理装置”，烘烤固化工序产生的VOCs采用“喷淋塔+二级活性炭吸附装置”工艺治理，以上均</w:t>
            </w:r>
            <w:r>
              <w:rPr>
                <w:sz w:val="21"/>
              </w:rPr>
              <w:t>属于</w:t>
            </w:r>
            <w:r>
              <w:rPr>
                <w:rFonts w:hint="eastAsia"/>
                <w:sz w:val="21"/>
              </w:rPr>
              <w:t>污染防治</w:t>
            </w:r>
            <w:r>
              <w:rPr>
                <w:sz w:val="21"/>
              </w:rPr>
              <w:t>可行性技术。</w:t>
            </w:r>
          </w:p>
          <w:p>
            <w:pPr>
              <w:widowControl/>
              <w:spacing w:line="360" w:lineRule="auto"/>
              <w:jc w:val="center"/>
              <w:rPr>
                <w:b/>
              </w:rPr>
            </w:pPr>
            <w:r>
              <w:rPr>
                <w:b/>
              </w:rPr>
              <w:t>表4-8 本项目活性碳处理设施参数一览表</w:t>
            </w:r>
          </w:p>
          <w:tbl>
            <w:tblPr>
              <w:tblStyle w:val="101"/>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250"/>
              <w:gridCol w:w="1215"/>
              <w:gridCol w:w="1666"/>
              <w:gridCol w:w="2816"/>
              <w:gridCol w:w="15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Align w:val="center"/>
                </w:tcPr>
                <w:p>
                  <w:pPr>
                    <w:pStyle w:val="877"/>
                    <w:ind w:firstLine="0" w:firstLineChars="0"/>
                    <w:jc w:val="center"/>
                    <w:rPr>
                      <w:b/>
                      <w:bCs/>
                      <w:sz w:val="21"/>
                    </w:rPr>
                  </w:pPr>
                  <w:r>
                    <w:rPr>
                      <w:b/>
                      <w:bCs/>
                      <w:sz w:val="21"/>
                    </w:rPr>
                    <w:t>序号</w:t>
                  </w:r>
                </w:p>
              </w:tc>
              <w:tc>
                <w:tcPr>
                  <w:tcW w:w="673" w:type="pct"/>
                  <w:vAlign w:val="center"/>
                </w:tcPr>
                <w:p>
                  <w:pPr>
                    <w:pStyle w:val="877"/>
                    <w:ind w:firstLine="0" w:firstLineChars="0"/>
                    <w:jc w:val="center"/>
                    <w:rPr>
                      <w:b/>
                      <w:bCs/>
                      <w:sz w:val="21"/>
                    </w:rPr>
                  </w:pPr>
                  <w:r>
                    <w:rPr>
                      <w:b/>
                      <w:bCs/>
                      <w:sz w:val="21"/>
                    </w:rPr>
                    <w:t>治理措施</w:t>
                  </w:r>
                </w:p>
              </w:tc>
              <w:tc>
                <w:tcPr>
                  <w:tcW w:w="654" w:type="pct"/>
                  <w:vAlign w:val="center"/>
                </w:tcPr>
                <w:p>
                  <w:pPr>
                    <w:pStyle w:val="877"/>
                    <w:ind w:firstLine="0" w:firstLineChars="0"/>
                    <w:jc w:val="center"/>
                    <w:rPr>
                      <w:b/>
                      <w:bCs/>
                      <w:sz w:val="21"/>
                    </w:rPr>
                  </w:pPr>
                  <w:r>
                    <w:rPr>
                      <w:b/>
                      <w:bCs/>
                      <w:sz w:val="21"/>
                    </w:rPr>
                    <w:t>数量（个）</w:t>
                  </w:r>
                </w:p>
              </w:tc>
              <w:tc>
                <w:tcPr>
                  <w:tcW w:w="897" w:type="pct"/>
                  <w:vAlign w:val="center"/>
                </w:tcPr>
                <w:p>
                  <w:pPr>
                    <w:pStyle w:val="877"/>
                    <w:ind w:firstLine="0" w:firstLineChars="0"/>
                    <w:jc w:val="center"/>
                    <w:rPr>
                      <w:b/>
                      <w:bCs/>
                      <w:sz w:val="21"/>
                    </w:rPr>
                  </w:pPr>
                  <w:r>
                    <w:rPr>
                      <w:b/>
                      <w:bCs/>
                      <w:sz w:val="21"/>
                    </w:rPr>
                    <w:t>风量（m</w:t>
                  </w:r>
                  <w:r>
                    <w:rPr>
                      <w:b/>
                      <w:bCs/>
                      <w:sz w:val="21"/>
                      <w:vertAlign w:val="superscript"/>
                    </w:rPr>
                    <w:t>3</w:t>
                  </w:r>
                  <w:r>
                    <w:rPr>
                      <w:b/>
                      <w:bCs/>
                      <w:sz w:val="21"/>
                    </w:rPr>
                    <w:t>/h）</w:t>
                  </w:r>
                </w:p>
              </w:tc>
              <w:tc>
                <w:tcPr>
                  <w:tcW w:w="1516" w:type="pct"/>
                  <w:vAlign w:val="center"/>
                </w:tcPr>
                <w:p>
                  <w:pPr>
                    <w:pStyle w:val="877"/>
                    <w:ind w:firstLine="0" w:firstLineChars="0"/>
                    <w:jc w:val="center"/>
                    <w:rPr>
                      <w:b/>
                      <w:bCs/>
                      <w:sz w:val="21"/>
                    </w:rPr>
                  </w:pPr>
                  <w:r>
                    <w:rPr>
                      <w:b/>
                      <w:bCs/>
                      <w:sz w:val="21"/>
                    </w:rPr>
                    <w:t>规格参数：长*宽*高（m）</w:t>
                  </w:r>
                </w:p>
              </w:tc>
              <w:tc>
                <w:tcPr>
                  <w:tcW w:w="832" w:type="pct"/>
                  <w:vAlign w:val="center"/>
                </w:tcPr>
                <w:p>
                  <w:pPr>
                    <w:pStyle w:val="877"/>
                    <w:ind w:firstLine="0" w:firstLineChars="0"/>
                    <w:jc w:val="center"/>
                    <w:rPr>
                      <w:b/>
                      <w:bCs/>
                      <w:sz w:val="21"/>
                    </w:rPr>
                  </w:pPr>
                  <w:r>
                    <w:rPr>
                      <w:b/>
                      <w:bCs/>
                      <w:sz w:val="21"/>
                    </w:rPr>
                    <w:t>一次充填量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Align w:val="center"/>
                </w:tcPr>
                <w:p>
                  <w:pPr>
                    <w:pStyle w:val="877"/>
                    <w:ind w:firstLine="0" w:firstLineChars="0"/>
                    <w:jc w:val="center"/>
                    <w:rPr>
                      <w:sz w:val="21"/>
                    </w:rPr>
                  </w:pPr>
                  <w:r>
                    <w:rPr>
                      <w:sz w:val="21"/>
                    </w:rPr>
                    <w:t>1</w:t>
                  </w:r>
                </w:p>
              </w:tc>
              <w:tc>
                <w:tcPr>
                  <w:tcW w:w="673" w:type="pct"/>
                  <w:vAlign w:val="center"/>
                </w:tcPr>
                <w:p>
                  <w:pPr>
                    <w:pStyle w:val="877"/>
                    <w:ind w:firstLine="0" w:firstLineChars="0"/>
                    <w:jc w:val="center"/>
                    <w:rPr>
                      <w:sz w:val="21"/>
                    </w:rPr>
                  </w:pPr>
                  <w:r>
                    <w:rPr>
                      <w:sz w:val="21"/>
                    </w:rPr>
                    <w:t>活性炭箱</w:t>
                  </w:r>
                </w:p>
              </w:tc>
              <w:tc>
                <w:tcPr>
                  <w:tcW w:w="654" w:type="pct"/>
                  <w:vAlign w:val="center"/>
                </w:tcPr>
                <w:p>
                  <w:pPr>
                    <w:pStyle w:val="877"/>
                    <w:ind w:firstLine="0" w:firstLineChars="0"/>
                    <w:jc w:val="center"/>
                    <w:rPr>
                      <w:sz w:val="21"/>
                    </w:rPr>
                  </w:pPr>
                  <w:r>
                    <w:rPr>
                      <w:sz w:val="21"/>
                    </w:rPr>
                    <w:t>2</w:t>
                  </w:r>
                </w:p>
              </w:tc>
              <w:tc>
                <w:tcPr>
                  <w:tcW w:w="897" w:type="pct"/>
                  <w:vAlign w:val="center"/>
                </w:tcPr>
                <w:p>
                  <w:pPr>
                    <w:pStyle w:val="877"/>
                    <w:ind w:firstLine="0" w:firstLineChars="0"/>
                    <w:jc w:val="center"/>
                    <w:rPr>
                      <w:sz w:val="21"/>
                    </w:rPr>
                  </w:pPr>
                  <w:r>
                    <w:rPr>
                      <w:sz w:val="21"/>
                    </w:rPr>
                    <w:t>9200</w:t>
                  </w:r>
                </w:p>
              </w:tc>
              <w:tc>
                <w:tcPr>
                  <w:tcW w:w="1516" w:type="pct"/>
                  <w:vAlign w:val="center"/>
                </w:tcPr>
                <w:p>
                  <w:pPr>
                    <w:pStyle w:val="877"/>
                    <w:ind w:firstLine="0" w:firstLineChars="0"/>
                    <w:jc w:val="center"/>
                    <w:rPr>
                      <w:sz w:val="21"/>
                    </w:rPr>
                  </w:pPr>
                  <w:r>
                    <w:rPr>
                      <w:sz w:val="21"/>
                    </w:rPr>
                    <w:t>1.5*1.25*1.25</w:t>
                  </w:r>
                </w:p>
              </w:tc>
              <w:tc>
                <w:tcPr>
                  <w:tcW w:w="832" w:type="pct"/>
                  <w:vAlign w:val="center"/>
                </w:tcPr>
                <w:p>
                  <w:pPr>
                    <w:pStyle w:val="877"/>
                    <w:ind w:firstLine="0" w:firstLineChars="0"/>
                    <w:jc w:val="center"/>
                    <w:rPr>
                      <w:sz w:val="21"/>
                    </w:rPr>
                  </w:pPr>
                  <w:r>
                    <w:rPr>
                      <w:sz w:val="21"/>
                    </w:rPr>
                    <w:t>0.806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25" w:type="pct"/>
                  <w:vAlign w:val="center"/>
                </w:tcPr>
                <w:p>
                  <w:pPr>
                    <w:pStyle w:val="877"/>
                    <w:ind w:firstLine="0" w:firstLineChars="0"/>
                    <w:jc w:val="center"/>
                    <w:rPr>
                      <w:sz w:val="21"/>
                    </w:rPr>
                  </w:pPr>
                  <w:r>
                    <w:rPr>
                      <w:sz w:val="21"/>
                    </w:rPr>
                    <w:t>2</w:t>
                  </w:r>
                </w:p>
              </w:tc>
              <w:tc>
                <w:tcPr>
                  <w:tcW w:w="673" w:type="pct"/>
                  <w:vAlign w:val="center"/>
                </w:tcPr>
                <w:p>
                  <w:pPr>
                    <w:pStyle w:val="877"/>
                    <w:ind w:firstLine="0" w:firstLineChars="0"/>
                    <w:jc w:val="center"/>
                    <w:rPr>
                      <w:sz w:val="21"/>
                    </w:rPr>
                  </w:pPr>
                  <w:r>
                    <w:rPr>
                      <w:sz w:val="21"/>
                    </w:rPr>
                    <w:t>活性炭箱</w:t>
                  </w:r>
                </w:p>
              </w:tc>
              <w:tc>
                <w:tcPr>
                  <w:tcW w:w="654" w:type="pct"/>
                  <w:vAlign w:val="center"/>
                </w:tcPr>
                <w:p>
                  <w:pPr>
                    <w:pStyle w:val="877"/>
                    <w:ind w:firstLine="0" w:firstLineChars="0"/>
                    <w:jc w:val="center"/>
                    <w:rPr>
                      <w:sz w:val="21"/>
                    </w:rPr>
                  </w:pPr>
                  <w:r>
                    <w:rPr>
                      <w:sz w:val="21"/>
                    </w:rPr>
                    <w:t>2</w:t>
                  </w:r>
                </w:p>
              </w:tc>
              <w:tc>
                <w:tcPr>
                  <w:tcW w:w="897" w:type="pct"/>
                  <w:vAlign w:val="center"/>
                </w:tcPr>
                <w:p>
                  <w:pPr>
                    <w:pStyle w:val="877"/>
                    <w:ind w:firstLine="0" w:firstLineChars="0"/>
                    <w:jc w:val="center"/>
                    <w:rPr>
                      <w:sz w:val="21"/>
                    </w:rPr>
                  </w:pPr>
                  <w:r>
                    <w:rPr>
                      <w:rFonts w:hint="eastAsia"/>
                      <w:sz w:val="21"/>
                    </w:rPr>
                    <w:t>2200</w:t>
                  </w:r>
                </w:p>
              </w:tc>
              <w:tc>
                <w:tcPr>
                  <w:tcW w:w="1516" w:type="pct"/>
                  <w:vAlign w:val="center"/>
                </w:tcPr>
                <w:p>
                  <w:pPr>
                    <w:pStyle w:val="877"/>
                    <w:ind w:firstLine="0" w:firstLineChars="0"/>
                    <w:jc w:val="center"/>
                    <w:rPr>
                      <w:sz w:val="21"/>
                    </w:rPr>
                  </w:pPr>
                  <w:r>
                    <w:rPr>
                      <w:sz w:val="21"/>
                    </w:rPr>
                    <w:t>0.6*1.25*1.25</w:t>
                  </w:r>
                </w:p>
              </w:tc>
              <w:tc>
                <w:tcPr>
                  <w:tcW w:w="832" w:type="pct"/>
                  <w:vAlign w:val="center"/>
                </w:tcPr>
                <w:p>
                  <w:pPr>
                    <w:pStyle w:val="877"/>
                    <w:ind w:firstLine="0" w:firstLineChars="0"/>
                    <w:jc w:val="center"/>
                    <w:rPr>
                      <w:sz w:val="21"/>
                    </w:rPr>
                  </w:pPr>
                  <w:r>
                    <w:rPr>
                      <w:sz w:val="21"/>
                    </w:rPr>
                    <w:t>0.228</w:t>
                  </w:r>
                </w:p>
              </w:tc>
            </w:tr>
          </w:tbl>
          <w:p>
            <w:pPr>
              <w:adjustRightInd w:val="0"/>
              <w:snapToGrid w:val="0"/>
              <w:spacing w:before="120" w:beforeLines="50" w:line="360" w:lineRule="auto"/>
              <w:ind w:firstLine="420" w:firstLineChars="200"/>
              <w:rPr>
                <w:bCs/>
              </w:rPr>
            </w:pPr>
            <w:r>
              <w:rPr>
                <w:bCs/>
              </w:rPr>
              <w:t>项目电熔工序、压铸成型工序和抛光工序产生的颗粒物采用水喷淋塔进行处理，不属于《排污许可证申请与核发技术规范 金属铸造工业》（HJ1115-2020）表A.1中的可行技术，需对其进行可行性分析。</w:t>
            </w:r>
          </w:p>
          <w:p>
            <w:pPr>
              <w:pStyle w:val="2"/>
              <w:jc w:val="center"/>
              <w:rPr>
                <w:rFonts w:ascii="Times New Roman" w:hAnsi="Times New Roman" w:cs="Times New Roman"/>
                <w:color w:val="auto"/>
              </w:rPr>
            </w:pPr>
            <w:r>
              <w:rPr>
                <w:rFonts w:hint="eastAsia" w:ascii="Times New Roman" w:hAnsi="Times New Roman" w:cs="Times New Roman"/>
                <w:color w:val="auto"/>
              </w:rPr>
              <w:drawing>
                <wp:inline distT="0" distB="0" distL="114300" distR="114300">
                  <wp:extent cx="3653155" cy="3373755"/>
                  <wp:effectExtent l="0" t="0" r="4445" b="9525"/>
                  <wp:docPr id="59" name="图片 59" descr="喷淋塔"/>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喷淋塔"/>
                          <pic:cNvPicPr>
                            <a:picLocks noChangeAspect="1"/>
                          </pic:cNvPicPr>
                        </pic:nvPicPr>
                        <pic:blipFill>
                          <a:blip r:embed="rId18"/>
                          <a:stretch>
                            <a:fillRect/>
                          </a:stretch>
                        </pic:blipFill>
                        <pic:spPr>
                          <a:xfrm>
                            <a:off x="0" y="0"/>
                            <a:ext cx="3653155" cy="3373755"/>
                          </a:xfrm>
                          <a:prstGeom prst="rect">
                            <a:avLst/>
                          </a:prstGeom>
                        </pic:spPr>
                      </pic:pic>
                    </a:graphicData>
                  </a:graphic>
                </wp:inline>
              </w:drawing>
            </w:r>
          </w:p>
          <w:p>
            <w:pPr>
              <w:widowControl/>
              <w:spacing w:line="360" w:lineRule="auto"/>
              <w:jc w:val="center"/>
              <w:rPr>
                <w:b/>
              </w:rPr>
            </w:pPr>
            <w:r>
              <w:rPr>
                <w:b/>
              </w:rPr>
              <w:t>图4-1 水喷淋塔结构示意图</w:t>
            </w:r>
          </w:p>
          <w:p>
            <w:pPr>
              <w:adjustRightInd w:val="0"/>
              <w:snapToGrid w:val="0"/>
              <w:spacing w:before="120" w:beforeLines="50" w:line="360" w:lineRule="auto"/>
              <w:ind w:firstLine="420" w:firstLineChars="200"/>
            </w:pPr>
            <w:r>
              <w:rPr>
                <w:bCs/>
              </w:rPr>
              <w:t>水喷淋塔是气液反应净化系统中的常用的湿式除尘设备，工作时废气与液体逆向接触，经过洗涤使得气体得到净化、除尘、降温等。根据《大气污染控制技术手册》（化学工业出版社、马广大主编），水喷淋湿法除尘器的除尘效率在85～95%，本项目颗粒物产生量较小，通过水喷淋塔处理后均可达标排放，因此该废气污染防治技术可行。</w:t>
            </w:r>
          </w:p>
          <w:p>
            <w:pPr>
              <w:widowControl/>
              <w:adjustRightInd w:val="0"/>
              <w:snapToGrid w:val="0"/>
              <w:spacing w:before="120" w:beforeLines="50" w:line="360" w:lineRule="auto"/>
              <w:ind w:firstLine="422" w:firstLineChars="200"/>
              <w:jc w:val="left"/>
              <w:rPr>
                <w:b/>
              </w:rPr>
            </w:pPr>
            <w:r>
              <w:rPr>
                <w:b/>
              </w:rPr>
              <w:t>6.大气环境影响分析</w:t>
            </w:r>
          </w:p>
          <w:p>
            <w:pPr>
              <w:pStyle w:val="877"/>
              <w:spacing w:line="360" w:lineRule="auto"/>
              <w:ind w:firstLine="420"/>
              <w:rPr>
                <w:sz w:val="21"/>
              </w:rPr>
            </w:pPr>
            <w:r>
              <w:rPr>
                <w:sz w:val="21"/>
              </w:rPr>
              <w:t>本项目评价区域环境质量现状良好，各因子可达到《环境空气质量标准》（GB3095-2012）及其修改单二级标准，特征因子TVOC监测结果满足《环境影响评价技术导则 大气环境》（HJ2.2-2018）附录D.1其他污染物空气质量浓度参考限值，TSP符合国家《环境空气质量标准》（GB3095-2012）及其修改单中的二级标准，区域内的大气环境质量较好。项目各产污环节产生的废气均做到了有效收集，选取的污染防治设施属于排污许可技术规范认可的可行性技术，可以做到达标排放，项目外排废气的区域环境影响较小。</w:t>
            </w:r>
          </w:p>
          <w:p>
            <w:pPr>
              <w:widowControl/>
              <w:adjustRightInd w:val="0"/>
              <w:snapToGrid w:val="0"/>
              <w:spacing w:before="120" w:beforeLines="50" w:line="360" w:lineRule="auto"/>
              <w:ind w:firstLine="422" w:firstLineChars="200"/>
              <w:jc w:val="left"/>
              <w:rPr>
                <w:b/>
              </w:rPr>
            </w:pPr>
            <w:r>
              <w:rPr>
                <w:b/>
              </w:rPr>
              <w:t>7.卫生防护距离</w:t>
            </w:r>
          </w:p>
          <w:p>
            <w:pPr>
              <w:autoSpaceDE w:val="0"/>
              <w:autoSpaceDN w:val="0"/>
              <w:snapToGrid w:val="0"/>
              <w:spacing w:line="360" w:lineRule="auto"/>
              <w:ind w:firstLine="422" w:firstLineChars="200"/>
              <w:rPr>
                <w:b/>
                <w:bCs/>
              </w:rPr>
            </w:pPr>
            <w:r>
              <w:rPr>
                <w:b/>
                <w:bCs/>
              </w:rPr>
              <w:t>（1）主要特征大气有害物质</w:t>
            </w:r>
          </w:p>
          <w:p>
            <w:pPr>
              <w:adjustRightInd w:val="0"/>
              <w:snapToGrid w:val="0"/>
              <w:spacing w:line="360" w:lineRule="auto"/>
              <w:ind w:firstLine="420" w:firstLineChars="200"/>
              <w:textAlignment w:val="baseline"/>
            </w:pPr>
            <w:r>
              <w:t>项目产生的废气主要为压铸成型工序产生的非甲烷总烃，烘烤固化工序产生的VOCs以及电熔、打磨、喷砂</w:t>
            </w:r>
            <w:r>
              <w:rPr>
                <w:rFonts w:hint="eastAsia"/>
              </w:rPr>
              <w:t>、</w:t>
            </w:r>
            <w:r>
              <w:t>抛光和喷粉加工工序产生的颗粒物。根据《大气有害物质无组织排放卫生防护距离推导技术导则》（GB/T39499-2020），当目标企业无组织排放存在多种有毒有害污染物时，基于单个污染物的等标排放量计算结果，优先选择等标排放量最大的污染物为企业无组织排放的主要特征大气有害物质。</w:t>
            </w:r>
          </w:p>
          <w:p>
            <w:pPr>
              <w:adjustRightInd w:val="0"/>
              <w:snapToGrid w:val="0"/>
              <w:spacing w:line="360" w:lineRule="auto"/>
              <w:ind w:firstLine="420" w:firstLineChars="200"/>
              <w:textAlignment w:val="baseline"/>
              <w:rPr>
                <w:bCs/>
              </w:rPr>
            </w:pPr>
            <w:r>
              <w:t>根据《大气有害物质无组织排放卫生防护距离推导技术导则》（GB/T 39499-2020），根据目标行业企业的产品产量及其原辅材料、工艺特征、中间产物、产排污特点等具体情况，考虑对人体健康损害的毒性特点，选取特征大气有害物质，本项目无组织排放的</w:t>
            </w:r>
            <w:r>
              <w:rPr>
                <w:rFonts w:hint="eastAsia"/>
              </w:rPr>
              <w:t>污染物</w:t>
            </w:r>
            <w:r>
              <w:t>主要有</w:t>
            </w:r>
            <w:r>
              <w:rPr>
                <w:rFonts w:hint="eastAsia"/>
              </w:rPr>
              <w:t>非甲烷总烃、TSP</w:t>
            </w:r>
            <w:r>
              <w:t>和VOCs，</w:t>
            </w:r>
            <w:r>
              <w:rPr>
                <w:bCs/>
              </w:rPr>
              <w:t>TVOC的环境标准限值取《环境影响评价技术导则  大气环境》（HJ2.2-2018）附录D中TVOC 8小时浓度均值的2倍，TSP的环境标准限值取《环境空气质量标准》（GB3095-2012）及其2018年修改单的二级标准中TSP 24小时均值的3倍，非甲烷总烃的环境标准限值参照执行《大气污染物综合排放标准详解》P244页的推荐值：2 mg/m</w:t>
            </w:r>
            <w:r>
              <w:rPr>
                <w:bCs/>
                <w:vertAlign w:val="superscript"/>
              </w:rPr>
              <w:t>3</w:t>
            </w:r>
            <w:r>
              <w:rPr>
                <w:rFonts w:hint="eastAsia"/>
                <w:bCs/>
              </w:rPr>
              <w:t>，</w:t>
            </w:r>
            <w:r>
              <w:rPr>
                <w:bCs/>
              </w:rPr>
              <w:t>本项目各污染物等标排放量如下表所示。</w:t>
            </w:r>
          </w:p>
          <w:p>
            <w:pPr>
              <w:adjustRightInd w:val="0"/>
              <w:snapToGrid w:val="0"/>
              <w:spacing w:line="360" w:lineRule="auto"/>
              <w:jc w:val="center"/>
              <w:rPr>
                <w:b/>
                <w:bCs/>
              </w:rPr>
            </w:pPr>
            <w:r>
              <w:rPr>
                <w:b/>
                <w:bCs/>
              </w:rPr>
              <w:t>表4-9 项目主要污染物等标排放量计算表</w:t>
            </w:r>
          </w:p>
          <w:tbl>
            <w:tblPr>
              <w:tblStyle w:val="10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1"/>
              <w:gridCol w:w="1391"/>
              <w:gridCol w:w="2312"/>
              <w:gridCol w:w="2086"/>
              <w:gridCol w:w="210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jc w:val="center"/>
              </w:trPr>
              <w:tc>
                <w:tcPr>
                  <w:tcW w:w="749" w:type="pct"/>
                  <w:vAlign w:val="center"/>
                </w:tcPr>
                <w:p>
                  <w:pPr>
                    <w:adjustRightInd w:val="0"/>
                    <w:snapToGrid w:val="0"/>
                    <w:jc w:val="center"/>
                    <w:rPr>
                      <w:b/>
                      <w:bCs/>
                      <w:lang w:bidi="zh-CN"/>
                    </w:rPr>
                  </w:pPr>
                  <w:r>
                    <w:rPr>
                      <w:rFonts w:hint="eastAsia"/>
                      <w:b/>
                      <w:bCs/>
                      <w:lang w:bidi="zh-CN"/>
                    </w:rPr>
                    <w:t>面源所在地</w:t>
                  </w:r>
                </w:p>
              </w:tc>
              <w:tc>
                <w:tcPr>
                  <w:tcW w:w="749" w:type="pct"/>
                  <w:vAlign w:val="center"/>
                </w:tcPr>
                <w:p>
                  <w:pPr>
                    <w:adjustRightInd w:val="0"/>
                    <w:snapToGrid w:val="0"/>
                    <w:jc w:val="center"/>
                    <w:rPr>
                      <w:b/>
                      <w:bCs/>
                      <w:lang w:bidi="zh-CN"/>
                    </w:rPr>
                  </w:pPr>
                  <w:r>
                    <w:rPr>
                      <w:b/>
                      <w:bCs/>
                      <w:lang w:bidi="zh-CN"/>
                    </w:rPr>
                    <w:t>污染物</w:t>
                  </w:r>
                </w:p>
              </w:tc>
              <w:tc>
                <w:tcPr>
                  <w:tcW w:w="1245" w:type="pct"/>
                  <w:vAlign w:val="center"/>
                </w:tcPr>
                <w:p>
                  <w:pPr>
                    <w:adjustRightInd w:val="0"/>
                    <w:snapToGrid w:val="0"/>
                    <w:jc w:val="center"/>
                    <w:rPr>
                      <w:b/>
                      <w:bCs/>
                      <w:lang w:val="zh-CN" w:bidi="zh-CN"/>
                    </w:rPr>
                  </w:pPr>
                  <w:r>
                    <w:rPr>
                      <w:b/>
                      <w:bCs/>
                      <w:lang w:bidi="zh-CN"/>
                    </w:rPr>
                    <w:t>无组织排放量</w:t>
                  </w:r>
                  <w:r>
                    <w:rPr>
                      <w:b/>
                      <w:bCs/>
                      <w:lang w:val="zh-CN" w:bidi="zh-CN"/>
                    </w:rPr>
                    <w:t>Qc（kg/h）</w:t>
                  </w:r>
                </w:p>
              </w:tc>
              <w:tc>
                <w:tcPr>
                  <w:tcW w:w="1123" w:type="pct"/>
                  <w:vAlign w:val="center"/>
                </w:tcPr>
                <w:p>
                  <w:pPr>
                    <w:adjustRightInd w:val="0"/>
                    <w:snapToGrid w:val="0"/>
                    <w:jc w:val="center"/>
                    <w:rPr>
                      <w:b/>
                      <w:bCs/>
                      <w:lang w:bidi="zh-CN"/>
                    </w:rPr>
                  </w:pPr>
                  <w:r>
                    <w:rPr>
                      <w:b/>
                      <w:bCs/>
                      <w:lang w:bidi="zh-CN"/>
                    </w:rPr>
                    <w:t>标准限值</w:t>
                  </w:r>
                  <w:r>
                    <w:rPr>
                      <w:b/>
                      <w:bCs/>
                      <w:lang w:val="zh-CN" w:bidi="zh-CN"/>
                    </w:rPr>
                    <w:t>C</w:t>
                  </w:r>
                  <w:r>
                    <w:rPr>
                      <w:b/>
                      <w:bCs/>
                      <w:vertAlign w:val="subscript"/>
                      <w:lang w:val="zh-CN" w:bidi="zh-CN"/>
                    </w:rPr>
                    <w:t>m</w:t>
                  </w:r>
                  <w:r>
                    <w:rPr>
                      <w:b/>
                      <w:bCs/>
                      <w:lang w:val="zh-CN" w:bidi="zh-CN"/>
                    </w:rPr>
                    <w:t>（mg/m³）</w:t>
                  </w:r>
                </w:p>
              </w:tc>
              <w:tc>
                <w:tcPr>
                  <w:tcW w:w="1131" w:type="pct"/>
                  <w:vAlign w:val="center"/>
                </w:tcPr>
                <w:p>
                  <w:pPr>
                    <w:adjustRightInd w:val="0"/>
                    <w:snapToGrid w:val="0"/>
                    <w:jc w:val="center"/>
                    <w:rPr>
                      <w:b/>
                      <w:bCs/>
                      <w:lang w:val="zh-CN" w:bidi="zh-CN"/>
                    </w:rPr>
                  </w:pPr>
                  <w:r>
                    <w:rPr>
                      <w:b/>
                      <w:bCs/>
                      <w:lang w:bidi="zh-CN"/>
                    </w:rPr>
                    <w:t>等标排放量</w:t>
                  </w:r>
                  <w:r>
                    <w:rPr>
                      <w:b/>
                      <w:bCs/>
                      <w:lang w:val="zh-CN" w:bidi="zh-CN"/>
                    </w:rPr>
                    <w:t>Qc</w:t>
                  </w:r>
                  <w:r>
                    <w:rPr>
                      <w:b/>
                      <w:bCs/>
                      <w:lang w:bidi="zh-CN"/>
                    </w:rPr>
                    <w:t>/</w:t>
                  </w:r>
                  <w:r>
                    <w:rPr>
                      <w:b/>
                      <w:bCs/>
                      <w:lang w:val="zh-CN" w:bidi="zh-CN"/>
                    </w:rPr>
                    <w:t>C</w:t>
                  </w:r>
                  <w:r>
                    <w:rPr>
                      <w:b/>
                      <w:bCs/>
                      <w:vertAlign w:val="subscript"/>
                      <w:lang w:val="zh-CN" w:bidi="zh-CN"/>
                    </w:rPr>
                    <w:t>m</w:t>
                  </w:r>
                </w:p>
                <w:p>
                  <w:pPr>
                    <w:adjustRightInd w:val="0"/>
                    <w:snapToGrid w:val="0"/>
                    <w:rPr>
                      <w:b/>
                      <w:bCs/>
                      <w:lang w:val="zh-CN" w:bidi="zh-CN"/>
                    </w:rPr>
                  </w:pPr>
                  <w:r>
                    <w:rPr>
                      <w:b/>
                      <w:bCs/>
                      <w:lang w:val="zh-CN" w:bidi="zh-CN"/>
                    </w:rPr>
                    <w:t>（m³/ 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749" w:type="pct"/>
                  <w:vMerge w:val="restart"/>
                  <w:vAlign w:val="center"/>
                </w:tcPr>
                <w:p>
                  <w:pPr>
                    <w:adjustRightInd w:val="0"/>
                    <w:snapToGrid w:val="0"/>
                    <w:jc w:val="center"/>
                    <w:rPr>
                      <w:lang w:bidi="zh-CN"/>
                    </w:rPr>
                  </w:pPr>
                  <w:r>
                    <w:rPr>
                      <w:rFonts w:hint="eastAsia"/>
                      <w:lang w:bidi="zh-CN"/>
                    </w:rPr>
                    <w:t>A栋厂房</w:t>
                  </w:r>
                </w:p>
              </w:tc>
              <w:tc>
                <w:tcPr>
                  <w:tcW w:w="749" w:type="pct"/>
                  <w:vAlign w:val="center"/>
                </w:tcPr>
                <w:p>
                  <w:pPr>
                    <w:adjustRightInd w:val="0"/>
                    <w:snapToGrid w:val="0"/>
                    <w:jc w:val="center"/>
                    <w:rPr>
                      <w:lang w:bidi="zh-CN"/>
                    </w:rPr>
                  </w:pPr>
                  <w:r>
                    <w:rPr>
                      <w:rFonts w:hint="eastAsia"/>
                      <w:lang w:bidi="zh-CN"/>
                    </w:rPr>
                    <w:t>T</w:t>
                  </w:r>
                  <w:r>
                    <w:rPr>
                      <w:lang w:bidi="zh-CN"/>
                    </w:rPr>
                    <w:t>VOC</w:t>
                  </w:r>
                </w:p>
              </w:tc>
              <w:tc>
                <w:tcPr>
                  <w:tcW w:w="1245" w:type="pct"/>
                  <w:vAlign w:val="center"/>
                </w:tcPr>
                <w:p>
                  <w:pPr>
                    <w:adjustRightInd w:val="0"/>
                    <w:snapToGrid w:val="0"/>
                    <w:jc w:val="center"/>
                    <w:rPr>
                      <w:lang w:bidi="zh-CN"/>
                    </w:rPr>
                  </w:pPr>
                  <w:r>
                    <w:rPr>
                      <w:rFonts w:hint="eastAsia"/>
                      <w:lang w:bidi="zh-CN"/>
                    </w:rPr>
                    <w:t>0.0001817</w:t>
                  </w:r>
                </w:p>
              </w:tc>
              <w:tc>
                <w:tcPr>
                  <w:tcW w:w="1123" w:type="pct"/>
                  <w:vAlign w:val="center"/>
                </w:tcPr>
                <w:p>
                  <w:pPr>
                    <w:adjustRightInd w:val="0"/>
                    <w:snapToGrid w:val="0"/>
                    <w:jc w:val="center"/>
                    <w:rPr>
                      <w:lang w:bidi="zh-CN"/>
                    </w:rPr>
                  </w:pPr>
                  <w:r>
                    <w:rPr>
                      <w:lang w:bidi="zh-CN"/>
                    </w:rPr>
                    <w:t>1.2</w:t>
                  </w:r>
                </w:p>
              </w:tc>
              <w:tc>
                <w:tcPr>
                  <w:tcW w:w="1131" w:type="pct"/>
                  <w:vAlign w:val="center"/>
                </w:tcPr>
                <w:p>
                  <w:pPr>
                    <w:adjustRightInd w:val="0"/>
                    <w:snapToGrid w:val="0"/>
                    <w:jc w:val="center"/>
                    <w:rPr>
                      <w:lang w:bidi="zh-CN"/>
                    </w:rPr>
                  </w:pPr>
                  <w:r>
                    <w:rPr>
                      <w:rFonts w:hint="eastAsia"/>
                      <w:lang w:bidi="zh-CN"/>
                    </w:rPr>
                    <w:t>0.0001514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749" w:type="pct"/>
                  <w:vMerge w:val="continue"/>
                  <w:vAlign w:val="center"/>
                </w:tcPr>
                <w:p>
                  <w:pPr>
                    <w:adjustRightInd w:val="0"/>
                    <w:snapToGrid w:val="0"/>
                    <w:jc w:val="center"/>
                    <w:rPr>
                      <w:lang w:bidi="zh-CN"/>
                    </w:rPr>
                  </w:pPr>
                </w:p>
              </w:tc>
              <w:tc>
                <w:tcPr>
                  <w:tcW w:w="749" w:type="pct"/>
                  <w:vAlign w:val="center"/>
                </w:tcPr>
                <w:p>
                  <w:pPr>
                    <w:adjustRightInd w:val="0"/>
                    <w:snapToGrid w:val="0"/>
                    <w:jc w:val="center"/>
                    <w:rPr>
                      <w:lang w:bidi="zh-CN"/>
                    </w:rPr>
                  </w:pPr>
                  <w:r>
                    <w:rPr>
                      <w:rFonts w:hint="eastAsia"/>
                      <w:lang w:bidi="zh-CN"/>
                    </w:rPr>
                    <w:t>TSP</w:t>
                  </w:r>
                </w:p>
              </w:tc>
              <w:tc>
                <w:tcPr>
                  <w:tcW w:w="1245" w:type="pct"/>
                  <w:vAlign w:val="center"/>
                </w:tcPr>
                <w:p>
                  <w:pPr>
                    <w:adjustRightInd w:val="0"/>
                    <w:snapToGrid w:val="0"/>
                    <w:jc w:val="center"/>
                    <w:rPr>
                      <w:lang w:bidi="zh-CN"/>
                    </w:rPr>
                  </w:pPr>
                  <w:r>
                    <w:rPr>
                      <w:rFonts w:hint="eastAsia"/>
                      <w:lang w:bidi="zh-CN"/>
                    </w:rPr>
                    <w:t>0.2068</w:t>
                  </w:r>
                </w:p>
              </w:tc>
              <w:tc>
                <w:tcPr>
                  <w:tcW w:w="1123" w:type="pct"/>
                  <w:vAlign w:val="center"/>
                </w:tcPr>
                <w:p>
                  <w:pPr>
                    <w:adjustRightInd w:val="0"/>
                    <w:snapToGrid w:val="0"/>
                    <w:jc w:val="center"/>
                    <w:rPr>
                      <w:lang w:bidi="zh-CN"/>
                    </w:rPr>
                  </w:pPr>
                  <w:r>
                    <w:rPr>
                      <w:lang w:bidi="zh-CN"/>
                    </w:rPr>
                    <w:t>0.9</w:t>
                  </w:r>
                </w:p>
              </w:tc>
              <w:tc>
                <w:tcPr>
                  <w:tcW w:w="1131" w:type="pct"/>
                  <w:vAlign w:val="center"/>
                </w:tcPr>
                <w:p>
                  <w:pPr>
                    <w:adjustRightInd w:val="0"/>
                    <w:snapToGrid w:val="0"/>
                    <w:jc w:val="center"/>
                    <w:rPr>
                      <w:lang w:bidi="zh-CN"/>
                    </w:rPr>
                  </w:pPr>
                  <w:r>
                    <w:rPr>
                      <w:rFonts w:hint="eastAsia"/>
                      <w:lang w:bidi="zh-CN"/>
                    </w:rPr>
                    <w:t>0.2298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749" w:type="pct"/>
                  <w:vMerge w:val="restart"/>
                  <w:vAlign w:val="center"/>
                </w:tcPr>
                <w:p>
                  <w:pPr>
                    <w:adjustRightInd w:val="0"/>
                    <w:snapToGrid w:val="0"/>
                    <w:jc w:val="center"/>
                    <w:rPr>
                      <w:lang w:bidi="zh-CN"/>
                    </w:rPr>
                  </w:pPr>
                  <w:r>
                    <w:rPr>
                      <w:rFonts w:hint="eastAsia"/>
                      <w:lang w:bidi="zh-CN"/>
                    </w:rPr>
                    <w:t>B栋厂房</w:t>
                  </w:r>
                </w:p>
              </w:tc>
              <w:tc>
                <w:tcPr>
                  <w:tcW w:w="749" w:type="pct"/>
                  <w:vAlign w:val="center"/>
                </w:tcPr>
                <w:p>
                  <w:pPr>
                    <w:adjustRightInd w:val="0"/>
                    <w:snapToGrid w:val="0"/>
                    <w:jc w:val="center"/>
                    <w:rPr>
                      <w:lang w:bidi="zh-CN"/>
                    </w:rPr>
                  </w:pPr>
                  <w:r>
                    <w:rPr>
                      <w:lang w:bidi="zh-CN"/>
                    </w:rPr>
                    <w:t>非甲烷总烃</w:t>
                  </w:r>
                </w:p>
              </w:tc>
              <w:tc>
                <w:tcPr>
                  <w:tcW w:w="1245" w:type="pct"/>
                  <w:vAlign w:val="center"/>
                </w:tcPr>
                <w:p>
                  <w:pPr>
                    <w:adjustRightInd w:val="0"/>
                    <w:snapToGrid w:val="0"/>
                    <w:jc w:val="center"/>
                    <w:rPr>
                      <w:lang w:bidi="zh-CN"/>
                    </w:rPr>
                  </w:pPr>
                  <w:r>
                    <w:rPr>
                      <w:rFonts w:hint="eastAsia"/>
                      <w:lang w:bidi="zh-CN"/>
                    </w:rPr>
                    <w:t>0.000906</w:t>
                  </w:r>
                </w:p>
              </w:tc>
              <w:tc>
                <w:tcPr>
                  <w:tcW w:w="1123" w:type="pct"/>
                  <w:vAlign w:val="center"/>
                </w:tcPr>
                <w:p>
                  <w:pPr>
                    <w:adjustRightInd w:val="0"/>
                    <w:snapToGrid w:val="0"/>
                    <w:jc w:val="center"/>
                    <w:rPr>
                      <w:lang w:bidi="zh-CN"/>
                    </w:rPr>
                  </w:pPr>
                  <w:r>
                    <w:rPr>
                      <w:lang w:bidi="zh-CN"/>
                    </w:rPr>
                    <w:t>2</w:t>
                  </w:r>
                  <w:r>
                    <w:rPr>
                      <w:rFonts w:hint="eastAsia"/>
                      <w:lang w:bidi="zh-CN"/>
                    </w:rPr>
                    <w:t>.0</w:t>
                  </w:r>
                </w:p>
              </w:tc>
              <w:tc>
                <w:tcPr>
                  <w:tcW w:w="1131" w:type="pct"/>
                  <w:vAlign w:val="center"/>
                </w:tcPr>
                <w:p>
                  <w:pPr>
                    <w:adjustRightInd w:val="0"/>
                    <w:snapToGrid w:val="0"/>
                    <w:jc w:val="center"/>
                    <w:rPr>
                      <w:lang w:bidi="zh-CN"/>
                    </w:rPr>
                  </w:pPr>
                  <w:r>
                    <w:rPr>
                      <w:rFonts w:hint="eastAsia"/>
                      <w:lang w:bidi="zh-CN"/>
                    </w:rPr>
                    <w:t>0.000453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1" w:hRule="atLeast"/>
                <w:jc w:val="center"/>
              </w:trPr>
              <w:tc>
                <w:tcPr>
                  <w:tcW w:w="749" w:type="pct"/>
                  <w:vMerge w:val="continue"/>
                  <w:vAlign w:val="center"/>
                </w:tcPr>
                <w:p>
                  <w:pPr>
                    <w:adjustRightInd w:val="0"/>
                    <w:snapToGrid w:val="0"/>
                    <w:jc w:val="center"/>
                    <w:rPr>
                      <w:lang w:bidi="zh-CN"/>
                    </w:rPr>
                  </w:pPr>
                </w:p>
              </w:tc>
              <w:tc>
                <w:tcPr>
                  <w:tcW w:w="749" w:type="pct"/>
                  <w:vAlign w:val="center"/>
                </w:tcPr>
                <w:p>
                  <w:pPr>
                    <w:adjustRightInd w:val="0"/>
                    <w:snapToGrid w:val="0"/>
                    <w:jc w:val="center"/>
                    <w:rPr>
                      <w:lang w:bidi="zh-CN"/>
                    </w:rPr>
                  </w:pPr>
                  <w:r>
                    <w:rPr>
                      <w:rFonts w:hint="eastAsia"/>
                      <w:lang w:bidi="zh-CN"/>
                    </w:rPr>
                    <w:t>TSP</w:t>
                  </w:r>
                </w:p>
              </w:tc>
              <w:tc>
                <w:tcPr>
                  <w:tcW w:w="1245" w:type="pct"/>
                  <w:vAlign w:val="center"/>
                </w:tcPr>
                <w:p>
                  <w:pPr>
                    <w:adjustRightInd w:val="0"/>
                    <w:snapToGrid w:val="0"/>
                    <w:jc w:val="center"/>
                    <w:rPr>
                      <w:lang w:bidi="zh-CN"/>
                    </w:rPr>
                  </w:pPr>
                  <w:r>
                    <w:rPr>
                      <w:rFonts w:hint="eastAsia"/>
                      <w:lang w:bidi="zh-CN"/>
                    </w:rPr>
                    <w:t>0.06758</w:t>
                  </w:r>
                </w:p>
              </w:tc>
              <w:tc>
                <w:tcPr>
                  <w:tcW w:w="1123" w:type="pct"/>
                  <w:vAlign w:val="center"/>
                </w:tcPr>
                <w:p>
                  <w:pPr>
                    <w:adjustRightInd w:val="0"/>
                    <w:snapToGrid w:val="0"/>
                    <w:jc w:val="center"/>
                    <w:rPr>
                      <w:lang w:bidi="zh-CN"/>
                    </w:rPr>
                  </w:pPr>
                  <w:r>
                    <w:rPr>
                      <w:lang w:bidi="zh-CN"/>
                    </w:rPr>
                    <w:t>0.9</w:t>
                  </w:r>
                </w:p>
              </w:tc>
              <w:tc>
                <w:tcPr>
                  <w:tcW w:w="1131" w:type="pct"/>
                  <w:vAlign w:val="center"/>
                </w:tcPr>
                <w:p>
                  <w:pPr>
                    <w:adjustRightInd w:val="0"/>
                    <w:snapToGrid w:val="0"/>
                    <w:jc w:val="center"/>
                    <w:rPr>
                      <w:lang w:bidi="zh-CN"/>
                    </w:rPr>
                  </w:pPr>
                  <w:r>
                    <w:rPr>
                      <w:rFonts w:hint="eastAsia"/>
                      <w:lang w:bidi="zh-CN"/>
                    </w:rPr>
                    <w:t>0.07509</w:t>
                  </w:r>
                </w:p>
              </w:tc>
            </w:tr>
          </w:tbl>
          <w:p>
            <w:pPr>
              <w:adjustRightInd w:val="0"/>
              <w:snapToGrid w:val="0"/>
              <w:spacing w:before="120" w:beforeLines="50" w:line="360" w:lineRule="auto"/>
              <w:ind w:firstLine="420" w:firstLineChars="200"/>
              <w:textAlignment w:val="baseline"/>
            </w:pPr>
            <w:r>
              <w:rPr>
                <w:rFonts w:hint="eastAsia"/>
              </w:rPr>
              <w:t>本项目A栋厂</w:t>
            </w:r>
            <w:r>
              <w:t>房</w:t>
            </w:r>
            <w:r>
              <w:rPr>
                <w:rFonts w:hint="eastAsia"/>
              </w:rPr>
              <w:t>无组织排放存在两种污染物（TVOC、TSP），基于单个污染物的等标排放量计算结果，项目有毒有害污染物的等标排放量相差99.93</w:t>
            </w:r>
            <w:r>
              <w:t>%，</w:t>
            </w:r>
            <w:r>
              <w:rPr>
                <w:rFonts w:hint="eastAsia"/>
              </w:rPr>
              <w:t>大于10%，优先选择等标排放量最大的污染物作为企业无组织排放的主要特征大气有害物质。经计算，A栋厂房主要特征大气有害物质为T</w:t>
            </w:r>
            <w:r>
              <w:t>SP</w:t>
            </w:r>
            <w:r>
              <w:rPr>
                <w:rFonts w:hint="eastAsia"/>
              </w:rPr>
              <w:t>；</w:t>
            </w:r>
          </w:p>
          <w:p>
            <w:pPr>
              <w:adjustRightInd w:val="0"/>
              <w:snapToGrid w:val="0"/>
              <w:spacing w:line="360" w:lineRule="auto"/>
              <w:ind w:firstLine="420" w:firstLineChars="200"/>
              <w:textAlignment w:val="baseline"/>
              <w:rPr>
                <w:bCs/>
              </w:rPr>
            </w:pPr>
            <w:r>
              <w:rPr>
                <w:rFonts w:hint="eastAsia"/>
              </w:rPr>
              <w:t>B栋厂</w:t>
            </w:r>
            <w:r>
              <w:t>房</w:t>
            </w:r>
            <w:r>
              <w:rPr>
                <w:rFonts w:hint="eastAsia"/>
              </w:rPr>
              <w:t>无组织排放存在两种污染物（非甲烷总烃、TSP），基于单个污染物的等标排放量计算结果，项目有毒有害污染物的等标排放量相差99.40</w:t>
            </w:r>
            <w:r>
              <w:t>%，</w:t>
            </w:r>
            <w:r>
              <w:rPr>
                <w:rFonts w:hint="eastAsia"/>
              </w:rPr>
              <w:t>大于10%，优先选择等标排放量最大的污染物作为企业无组织排放的主要特征大气有害物质。经计算，B栋厂房主要特征大气有害物质为TSP</w:t>
            </w:r>
            <w:r>
              <w:t>。</w:t>
            </w:r>
          </w:p>
          <w:p>
            <w:pPr>
              <w:adjustRightInd w:val="0"/>
              <w:snapToGrid w:val="0"/>
              <w:spacing w:line="360" w:lineRule="auto"/>
              <w:ind w:firstLine="422" w:firstLineChars="200"/>
              <w:textAlignment w:val="baseline"/>
              <w:rPr>
                <w:b/>
              </w:rPr>
            </w:pPr>
            <w:r>
              <w:rPr>
                <w:b/>
              </w:rPr>
              <w:t>（2）卫生防护距离初值计算</w:t>
            </w:r>
          </w:p>
          <w:p>
            <w:pPr>
              <w:autoSpaceDE w:val="0"/>
              <w:autoSpaceDN w:val="0"/>
              <w:adjustRightInd w:val="0"/>
              <w:spacing w:line="360" w:lineRule="auto"/>
              <w:ind w:firstLine="420" w:firstLineChars="200"/>
            </w:pPr>
            <w:r>
              <w:t>采用GB/T39499-2020推荐的估算方法进行计算，具体计算公式如下：</w:t>
            </w:r>
          </w:p>
          <w:p>
            <w:pPr>
              <w:spacing w:line="360" w:lineRule="auto"/>
              <w:ind w:firstLine="200"/>
              <w:jc w:val="center"/>
            </w:pPr>
            <w:r>
              <w:drawing>
                <wp:inline distT="0" distB="0" distL="114300" distR="114300">
                  <wp:extent cx="1828800" cy="549275"/>
                  <wp:effectExtent l="0" t="0" r="0" b="0"/>
                  <wp:docPr id="4"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3"/>
                          <pic:cNvPicPr>
                            <a:picLocks noChangeAspect="1"/>
                          </pic:cNvPicPr>
                        </pic:nvPicPr>
                        <pic:blipFill>
                          <a:blip r:embed="rId19"/>
                          <a:stretch>
                            <a:fillRect/>
                          </a:stretch>
                        </pic:blipFill>
                        <pic:spPr>
                          <a:xfrm>
                            <a:off x="0" y="0"/>
                            <a:ext cx="1828800" cy="549275"/>
                          </a:xfrm>
                          <a:prstGeom prst="rect">
                            <a:avLst/>
                          </a:prstGeom>
                          <a:noFill/>
                          <a:ln>
                            <a:noFill/>
                          </a:ln>
                        </pic:spPr>
                      </pic:pic>
                    </a:graphicData>
                  </a:graphic>
                </wp:inline>
              </w:drawing>
            </w:r>
          </w:p>
          <w:p>
            <w:pPr>
              <w:adjustRightInd w:val="0"/>
              <w:snapToGrid w:val="0"/>
              <w:spacing w:line="360" w:lineRule="auto"/>
              <w:ind w:firstLine="200"/>
            </w:pPr>
            <w:r>
              <w:t xml:space="preserve">    式中：</w:t>
            </w:r>
          </w:p>
          <w:p>
            <w:pPr>
              <w:adjustRightInd w:val="0"/>
              <w:snapToGrid w:val="0"/>
              <w:spacing w:line="360" w:lineRule="auto"/>
              <w:ind w:firstLine="420" w:firstLineChars="200"/>
            </w:pPr>
            <w:r>
              <w:t>Q</w:t>
            </w:r>
            <w:r>
              <w:rPr>
                <w:vertAlign w:val="subscript"/>
              </w:rPr>
              <w:t>c</w:t>
            </w:r>
            <w:r>
              <w:rPr/>
              <w:sym w:font="Symbol" w:char="F0BE"/>
            </w:r>
            <w:r>
              <w:rPr/>
              <w:sym w:font="Symbol" w:char="F0BE"/>
            </w:r>
            <w:r>
              <w:t>大气有害物质的无组织排放量，单位为千克每小时(kg/h)；</w:t>
            </w:r>
          </w:p>
          <w:p>
            <w:pPr>
              <w:adjustRightInd w:val="0"/>
              <w:snapToGrid w:val="0"/>
              <w:spacing w:line="360" w:lineRule="auto"/>
              <w:ind w:firstLine="420" w:firstLineChars="200"/>
            </w:pPr>
            <w:r>
              <w:t>C</w:t>
            </w:r>
            <w:r>
              <w:rPr>
                <w:vertAlign w:val="subscript"/>
              </w:rPr>
              <w:t>m</w:t>
            </w:r>
            <w:r>
              <w:rPr/>
              <w:sym w:font="Symbol" w:char="F0BE"/>
            </w:r>
            <w:r>
              <w:rPr/>
              <w:sym w:font="Symbol" w:char="F0BE"/>
            </w:r>
            <w:r>
              <w:t>大气有害物质环境空气质量的标准限值，单位为毫克每立方米(mg/m</w:t>
            </w:r>
            <w:r>
              <w:rPr>
                <w:vertAlign w:val="superscript"/>
              </w:rPr>
              <w:t>3</w:t>
            </w:r>
            <w:r>
              <w:t>)；</w:t>
            </w:r>
          </w:p>
          <w:p>
            <w:pPr>
              <w:adjustRightInd w:val="0"/>
              <w:snapToGrid w:val="0"/>
              <w:spacing w:line="360" w:lineRule="auto"/>
              <w:ind w:firstLine="420" w:firstLineChars="200"/>
            </w:pPr>
            <w:r>
              <w:t>L</w:t>
            </w:r>
            <w:r>
              <w:rPr/>
              <w:sym w:font="Symbol" w:char="F0BE"/>
            </w:r>
            <w:r>
              <w:rPr/>
              <w:sym w:font="Symbol" w:char="F0BE"/>
            </w:r>
            <w:r>
              <w:t>大气有害物质卫生防护距离初值，单位为米(m)；</w:t>
            </w:r>
          </w:p>
          <w:p>
            <w:pPr>
              <w:adjustRightInd w:val="0"/>
              <w:snapToGrid w:val="0"/>
              <w:spacing w:line="360" w:lineRule="auto"/>
              <w:ind w:firstLine="420" w:firstLineChars="200"/>
            </w:pPr>
            <w:r>
              <w:t>r</w:t>
            </w:r>
            <w:r>
              <w:rPr/>
              <w:sym w:font="Symbol" w:char="F0BE"/>
            </w:r>
            <w:r>
              <w:rPr/>
              <w:sym w:font="Symbol" w:char="F0BE"/>
            </w:r>
            <w:r>
              <w:t>大气有害物质无组织排放源所在生产单元的等效半径，单位为米(m)；</w:t>
            </w:r>
          </w:p>
          <w:p>
            <w:pPr>
              <w:adjustRightInd w:val="0"/>
              <w:snapToGrid w:val="0"/>
              <w:spacing w:line="360" w:lineRule="auto"/>
              <w:ind w:firstLine="420" w:firstLineChars="200"/>
            </w:pPr>
            <w:r>
              <w:t>A、B、C、D</w:t>
            </w:r>
            <w:r>
              <w:rPr/>
              <w:sym w:font="Symbol" w:char="F0BE"/>
            </w:r>
            <w:r>
              <w:rPr/>
              <w:sym w:font="Symbol" w:char="F0BE"/>
            </w:r>
            <w:r>
              <w:t>卫生防护距离初值计算系数，无因次，根据工业企业所在地区近5年平均风速及大气污染源构成类别从下表查取。</w:t>
            </w:r>
          </w:p>
          <w:p>
            <w:pPr>
              <w:adjustRightInd w:val="0"/>
              <w:snapToGrid w:val="0"/>
              <w:spacing w:line="360" w:lineRule="auto"/>
              <w:jc w:val="center"/>
              <w:rPr>
                <w:b/>
              </w:rPr>
            </w:pPr>
            <w:r>
              <w:rPr>
                <w:b/>
              </w:rPr>
              <w:t>表4-10 卫生防护距离初值计算系数</w:t>
            </w:r>
          </w:p>
          <w:tbl>
            <w:tblPr>
              <w:tblStyle w:val="10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89"/>
              <w:gridCol w:w="1268"/>
              <w:gridCol w:w="798"/>
              <w:gridCol w:w="798"/>
              <w:gridCol w:w="810"/>
              <w:gridCol w:w="798"/>
              <w:gridCol w:w="798"/>
              <w:gridCol w:w="810"/>
              <w:gridCol w:w="798"/>
              <w:gridCol w:w="801"/>
              <w:gridCol w:w="8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rPr>
                      <w:b/>
                      <w:bCs/>
                    </w:rPr>
                  </w:pPr>
                  <w:r>
                    <w:rPr>
                      <w:b/>
                      <w:bCs/>
                    </w:rPr>
                    <w:t>卫生防护距离初值计算系数</w:t>
                  </w:r>
                </w:p>
              </w:tc>
              <w:tc>
                <w:tcPr>
                  <w:tcW w:w="683" w:type="pct"/>
                  <w:vMerge w:val="restart"/>
                  <w:vAlign w:val="center"/>
                </w:tcPr>
                <w:p>
                  <w:pPr>
                    <w:jc w:val="center"/>
                    <w:rPr>
                      <w:b/>
                      <w:bCs/>
                    </w:rPr>
                  </w:pPr>
                  <w:r>
                    <w:rPr>
                      <w:b/>
                      <w:bCs/>
                    </w:rPr>
                    <w:t>工业企业</w:t>
                  </w:r>
                </w:p>
                <w:p>
                  <w:pPr>
                    <w:jc w:val="center"/>
                    <w:rPr>
                      <w:b/>
                      <w:bCs/>
                    </w:rPr>
                  </w:pPr>
                  <w:r>
                    <w:rPr>
                      <w:b/>
                      <w:bCs/>
                    </w:rPr>
                    <w:t>所在地区</w:t>
                  </w:r>
                </w:p>
                <w:p>
                  <w:pPr>
                    <w:jc w:val="center"/>
                    <w:rPr>
                      <w:b/>
                      <w:bCs/>
                    </w:rPr>
                  </w:pPr>
                  <w:r>
                    <w:rPr>
                      <w:b/>
                      <w:bCs/>
                    </w:rPr>
                    <w:t>近5年平</w:t>
                  </w:r>
                </w:p>
                <w:p>
                  <w:pPr>
                    <w:jc w:val="center"/>
                    <w:rPr>
                      <w:b/>
                      <w:bCs/>
                    </w:rPr>
                  </w:pPr>
                  <w:r>
                    <w:rPr>
                      <w:b/>
                      <w:bCs/>
                    </w:rPr>
                    <w:t>均风速m/s</w:t>
                  </w:r>
                </w:p>
              </w:tc>
              <w:tc>
                <w:tcPr>
                  <w:tcW w:w="3891" w:type="pct"/>
                  <w:gridSpan w:val="9"/>
                  <w:vAlign w:val="center"/>
                </w:tcPr>
                <w:p>
                  <w:pPr>
                    <w:jc w:val="center"/>
                    <w:rPr>
                      <w:b/>
                      <w:bCs/>
                    </w:rPr>
                  </w:pPr>
                  <w:r>
                    <w:rPr>
                      <w:b/>
                      <w:bCs/>
                    </w:rPr>
                    <w:t>卫生防护距离L,m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pPr>
                </w:p>
              </w:tc>
              <w:tc>
                <w:tcPr>
                  <w:tcW w:w="683" w:type="pct"/>
                  <w:vMerge w:val="continue"/>
                  <w:vAlign w:val="center"/>
                </w:tcPr>
                <w:p>
                  <w:pPr>
                    <w:jc w:val="center"/>
                  </w:pPr>
                </w:p>
              </w:tc>
              <w:tc>
                <w:tcPr>
                  <w:tcW w:w="1296" w:type="pct"/>
                  <w:gridSpan w:val="3"/>
                  <w:vAlign w:val="center"/>
                </w:tcPr>
                <w:p>
                  <w:pPr>
                    <w:jc w:val="center"/>
                  </w:pPr>
                  <w:r>
                    <w:t>L≤1000</w:t>
                  </w:r>
                </w:p>
              </w:tc>
              <w:tc>
                <w:tcPr>
                  <w:tcW w:w="1296" w:type="pct"/>
                  <w:gridSpan w:val="3"/>
                  <w:vAlign w:val="center"/>
                </w:tcPr>
                <w:p>
                  <w:pPr>
                    <w:jc w:val="center"/>
                  </w:pPr>
                  <w:r>
                    <w:t>1000＜L≤2000</w:t>
                  </w:r>
                </w:p>
              </w:tc>
              <w:tc>
                <w:tcPr>
                  <w:tcW w:w="1297" w:type="pct"/>
                  <w:gridSpan w:val="3"/>
                  <w:vAlign w:val="center"/>
                </w:tcPr>
                <w:p>
                  <w:pPr>
                    <w:jc w:val="center"/>
                  </w:pPr>
                  <w:r>
                    <w:t>L＞2000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pPr>
                </w:p>
              </w:tc>
              <w:tc>
                <w:tcPr>
                  <w:tcW w:w="683" w:type="pct"/>
                  <w:vMerge w:val="continue"/>
                  <w:vAlign w:val="center"/>
                </w:tcPr>
                <w:p>
                  <w:pPr>
                    <w:jc w:val="center"/>
                  </w:pPr>
                </w:p>
              </w:tc>
              <w:tc>
                <w:tcPr>
                  <w:tcW w:w="3891" w:type="pct"/>
                  <w:gridSpan w:val="9"/>
                  <w:vAlign w:val="center"/>
                </w:tcPr>
                <w:p>
                  <w:pPr>
                    <w:jc w:val="center"/>
                  </w:pPr>
                  <w:r>
                    <w:t>工业企业大气污染源构成类型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pPr>
                </w:p>
              </w:tc>
              <w:tc>
                <w:tcPr>
                  <w:tcW w:w="683" w:type="pct"/>
                  <w:vMerge w:val="continue"/>
                  <w:vAlign w:val="center"/>
                </w:tcPr>
                <w:p>
                  <w:pPr>
                    <w:jc w:val="center"/>
                  </w:pPr>
                </w:p>
              </w:tc>
              <w:tc>
                <w:tcPr>
                  <w:tcW w:w="430" w:type="pct"/>
                  <w:vAlign w:val="center"/>
                </w:tcPr>
                <w:p>
                  <w:pPr>
                    <w:jc w:val="center"/>
                  </w:pPr>
                  <w:r>
                    <w:t>Ⅰ</w:t>
                  </w:r>
                </w:p>
              </w:tc>
              <w:tc>
                <w:tcPr>
                  <w:tcW w:w="430" w:type="pct"/>
                  <w:vAlign w:val="center"/>
                </w:tcPr>
                <w:p>
                  <w:pPr>
                    <w:jc w:val="center"/>
                  </w:pPr>
                  <w:r>
                    <w:t>Ⅱ</w:t>
                  </w:r>
                </w:p>
              </w:tc>
              <w:tc>
                <w:tcPr>
                  <w:tcW w:w="435" w:type="pct"/>
                  <w:vAlign w:val="center"/>
                </w:tcPr>
                <w:p>
                  <w:pPr>
                    <w:jc w:val="center"/>
                  </w:pPr>
                  <w:r>
                    <w:t>Ⅲ</w:t>
                  </w:r>
                </w:p>
              </w:tc>
              <w:tc>
                <w:tcPr>
                  <w:tcW w:w="430" w:type="pct"/>
                  <w:vAlign w:val="center"/>
                </w:tcPr>
                <w:p>
                  <w:pPr>
                    <w:jc w:val="center"/>
                  </w:pPr>
                  <w:r>
                    <w:t>Ⅰ</w:t>
                  </w:r>
                </w:p>
              </w:tc>
              <w:tc>
                <w:tcPr>
                  <w:tcW w:w="430" w:type="pct"/>
                  <w:vAlign w:val="center"/>
                </w:tcPr>
                <w:p>
                  <w:pPr>
                    <w:jc w:val="center"/>
                  </w:pPr>
                  <w:r>
                    <w:t>Ⅱ</w:t>
                  </w:r>
                </w:p>
              </w:tc>
              <w:tc>
                <w:tcPr>
                  <w:tcW w:w="435" w:type="pct"/>
                  <w:vAlign w:val="center"/>
                </w:tcPr>
                <w:p>
                  <w:pPr>
                    <w:jc w:val="center"/>
                  </w:pPr>
                  <w:r>
                    <w:t>Ⅲ</w:t>
                  </w:r>
                </w:p>
              </w:tc>
              <w:tc>
                <w:tcPr>
                  <w:tcW w:w="430" w:type="pct"/>
                  <w:vAlign w:val="center"/>
                </w:tcPr>
                <w:p>
                  <w:pPr>
                    <w:jc w:val="center"/>
                  </w:pPr>
                  <w:r>
                    <w:t>Ⅰ</w:t>
                  </w:r>
                </w:p>
              </w:tc>
              <w:tc>
                <w:tcPr>
                  <w:tcW w:w="431" w:type="pct"/>
                  <w:vAlign w:val="center"/>
                </w:tcPr>
                <w:p>
                  <w:pPr>
                    <w:jc w:val="center"/>
                  </w:pPr>
                  <w:r>
                    <w:t>Ⅱ</w:t>
                  </w:r>
                </w:p>
              </w:tc>
              <w:tc>
                <w:tcPr>
                  <w:tcW w:w="435" w:type="pct"/>
                  <w:vAlign w:val="center"/>
                </w:tcPr>
                <w:p>
                  <w:pPr>
                    <w:jc w:val="center"/>
                  </w:pPr>
                  <w:r>
                    <w:t>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pPr>
                  <w:r>
                    <w:t>A</w:t>
                  </w:r>
                </w:p>
              </w:tc>
              <w:tc>
                <w:tcPr>
                  <w:tcW w:w="683" w:type="pct"/>
                  <w:vAlign w:val="center"/>
                </w:tcPr>
                <w:p>
                  <w:pPr>
                    <w:jc w:val="center"/>
                  </w:pPr>
                  <w:r>
                    <w:t>&lt;2</w:t>
                  </w:r>
                </w:p>
              </w:tc>
              <w:tc>
                <w:tcPr>
                  <w:tcW w:w="430" w:type="pct"/>
                  <w:vAlign w:val="center"/>
                </w:tcPr>
                <w:p>
                  <w:pPr>
                    <w:jc w:val="center"/>
                  </w:pPr>
                  <w:r>
                    <w:t>400</w:t>
                  </w:r>
                </w:p>
              </w:tc>
              <w:tc>
                <w:tcPr>
                  <w:tcW w:w="430" w:type="pct"/>
                  <w:vAlign w:val="center"/>
                </w:tcPr>
                <w:p>
                  <w:pPr>
                    <w:jc w:val="center"/>
                  </w:pPr>
                  <w:r>
                    <w:t>400</w:t>
                  </w:r>
                </w:p>
              </w:tc>
              <w:tc>
                <w:tcPr>
                  <w:tcW w:w="435" w:type="pct"/>
                  <w:vAlign w:val="center"/>
                </w:tcPr>
                <w:p>
                  <w:pPr>
                    <w:jc w:val="center"/>
                  </w:pPr>
                  <w:r>
                    <w:t>400</w:t>
                  </w:r>
                </w:p>
              </w:tc>
              <w:tc>
                <w:tcPr>
                  <w:tcW w:w="430" w:type="pct"/>
                  <w:vAlign w:val="center"/>
                </w:tcPr>
                <w:p>
                  <w:pPr>
                    <w:jc w:val="center"/>
                  </w:pPr>
                  <w:r>
                    <w:t>400</w:t>
                  </w:r>
                </w:p>
              </w:tc>
              <w:tc>
                <w:tcPr>
                  <w:tcW w:w="430" w:type="pct"/>
                  <w:vAlign w:val="center"/>
                </w:tcPr>
                <w:p>
                  <w:pPr>
                    <w:jc w:val="center"/>
                  </w:pPr>
                  <w:r>
                    <w:t>400</w:t>
                  </w:r>
                </w:p>
              </w:tc>
              <w:tc>
                <w:tcPr>
                  <w:tcW w:w="435" w:type="pct"/>
                  <w:vAlign w:val="center"/>
                </w:tcPr>
                <w:p>
                  <w:pPr>
                    <w:jc w:val="center"/>
                  </w:pPr>
                  <w:r>
                    <w:t>400</w:t>
                  </w:r>
                </w:p>
              </w:tc>
              <w:tc>
                <w:tcPr>
                  <w:tcW w:w="430" w:type="pct"/>
                  <w:vAlign w:val="center"/>
                </w:tcPr>
                <w:p>
                  <w:pPr>
                    <w:jc w:val="center"/>
                  </w:pPr>
                  <w:r>
                    <w:t>80</w:t>
                  </w:r>
                </w:p>
              </w:tc>
              <w:tc>
                <w:tcPr>
                  <w:tcW w:w="431" w:type="pct"/>
                  <w:vAlign w:val="center"/>
                </w:tcPr>
                <w:p>
                  <w:pPr>
                    <w:jc w:val="center"/>
                  </w:pPr>
                  <w:r>
                    <w:t>80</w:t>
                  </w:r>
                </w:p>
              </w:tc>
              <w:tc>
                <w:tcPr>
                  <w:tcW w:w="435" w:type="pct"/>
                  <w:vAlign w:val="center"/>
                </w:tcPr>
                <w:p>
                  <w:pPr>
                    <w:jc w:val="center"/>
                  </w:pPr>
                  <w:r>
                    <w:t>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pPr>
                </w:p>
              </w:tc>
              <w:tc>
                <w:tcPr>
                  <w:tcW w:w="683" w:type="pct"/>
                  <w:vAlign w:val="center"/>
                </w:tcPr>
                <w:p>
                  <w:pPr>
                    <w:jc w:val="center"/>
                  </w:pPr>
                  <w:r>
                    <w:t>2～4</w:t>
                  </w:r>
                </w:p>
              </w:tc>
              <w:tc>
                <w:tcPr>
                  <w:tcW w:w="430" w:type="pct"/>
                  <w:vAlign w:val="center"/>
                </w:tcPr>
                <w:p>
                  <w:pPr>
                    <w:jc w:val="center"/>
                  </w:pPr>
                  <w:r>
                    <w:t>700</w:t>
                  </w:r>
                </w:p>
              </w:tc>
              <w:tc>
                <w:tcPr>
                  <w:tcW w:w="430" w:type="pct"/>
                  <w:vAlign w:val="center"/>
                </w:tcPr>
                <w:p>
                  <w:pPr>
                    <w:jc w:val="center"/>
                  </w:pPr>
                  <w:r>
                    <w:t>470</w:t>
                  </w:r>
                </w:p>
              </w:tc>
              <w:tc>
                <w:tcPr>
                  <w:tcW w:w="435" w:type="pct"/>
                  <w:vAlign w:val="center"/>
                </w:tcPr>
                <w:p>
                  <w:pPr>
                    <w:jc w:val="center"/>
                  </w:pPr>
                  <w:r>
                    <w:t>350</w:t>
                  </w:r>
                </w:p>
              </w:tc>
              <w:tc>
                <w:tcPr>
                  <w:tcW w:w="430" w:type="pct"/>
                  <w:vAlign w:val="center"/>
                </w:tcPr>
                <w:p>
                  <w:pPr>
                    <w:jc w:val="center"/>
                  </w:pPr>
                  <w:r>
                    <w:t>700</w:t>
                  </w:r>
                </w:p>
              </w:tc>
              <w:tc>
                <w:tcPr>
                  <w:tcW w:w="430" w:type="pct"/>
                  <w:vAlign w:val="center"/>
                </w:tcPr>
                <w:p>
                  <w:pPr>
                    <w:jc w:val="center"/>
                  </w:pPr>
                  <w:r>
                    <w:t>470</w:t>
                  </w:r>
                </w:p>
              </w:tc>
              <w:tc>
                <w:tcPr>
                  <w:tcW w:w="435" w:type="pct"/>
                  <w:vAlign w:val="center"/>
                </w:tcPr>
                <w:p>
                  <w:pPr>
                    <w:jc w:val="center"/>
                  </w:pPr>
                  <w:r>
                    <w:t>350</w:t>
                  </w:r>
                </w:p>
              </w:tc>
              <w:tc>
                <w:tcPr>
                  <w:tcW w:w="430" w:type="pct"/>
                  <w:vAlign w:val="center"/>
                </w:tcPr>
                <w:p>
                  <w:pPr>
                    <w:jc w:val="center"/>
                  </w:pPr>
                  <w:r>
                    <w:t>380</w:t>
                  </w:r>
                </w:p>
              </w:tc>
              <w:tc>
                <w:tcPr>
                  <w:tcW w:w="431" w:type="pct"/>
                  <w:vAlign w:val="center"/>
                </w:tcPr>
                <w:p>
                  <w:pPr>
                    <w:jc w:val="center"/>
                  </w:pPr>
                  <w:r>
                    <w:t>250</w:t>
                  </w:r>
                </w:p>
              </w:tc>
              <w:tc>
                <w:tcPr>
                  <w:tcW w:w="435" w:type="pct"/>
                  <w:vAlign w:val="center"/>
                </w:tcPr>
                <w:p>
                  <w:pPr>
                    <w:jc w:val="center"/>
                  </w:pPr>
                  <w:r>
                    <w:t>190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pPr>
                </w:p>
              </w:tc>
              <w:tc>
                <w:tcPr>
                  <w:tcW w:w="683" w:type="pct"/>
                  <w:vAlign w:val="center"/>
                </w:tcPr>
                <w:p>
                  <w:pPr>
                    <w:jc w:val="center"/>
                  </w:pPr>
                  <w:r>
                    <w:t>&gt;4</w:t>
                  </w:r>
                </w:p>
              </w:tc>
              <w:tc>
                <w:tcPr>
                  <w:tcW w:w="430" w:type="pct"/>
                  <w:vAlign w:val="center"/>
                </w:tcPr>
                <w:p>
                  <w:pPr>
                    <w:jc w:val="center"/>
                  </w:pPr>
                  <w:r>
                    <w:t>530</w:t>
                  </w:r>
                </w:p>
              </w:tc>
              <w:tc>
                <w:tcPr>
                  <w:tcW w:w="430" w:type="pct"/>
                  <w:vAlign w:val="center"/>
                </w:tcPr>
                <w:p>
                  <w:pPr>
                    <w:jc w:val="center"/>
                  </w:pPr>
                  <w:r>
                    <w:t>350</w:t>
                  </w:r>
                </w:p>
              </w:tc>
              <w:tc>
                <w:tcPr>
                  <w:tcW w:w="435" w:type="pct"/>
                  <w:vAlign w:val="center"/>
                </w:tcPr>
                <w:p>
                  <w:pPr>
                    <w:jc w:val="center"/>
                  </w:pPr>
                  <w:r>
                    <w:t>260</w:t>
                  </w:r>
                </w:p>
              </w:tc>
              <w:tc>
                <w:tcPr>
                  <w:tcW w:w="430" w:type="pct"/>
                  <w:vAlign w:val="center"/>
                </w:tcPr>
                <w:p>
                  <w:pPr>
                    <w:jc w:val="center"/>
                  </w:pPr>
                  <w:r>
                    <w:t>530</w:t>
                  </w:r>
                </w:p>
              </w:tc>
              <w:tc>
                <w:tcPr>
                  <w:tcW w:w="430" w:type="pct"/>
                  <w:vAlign w:val="center"/>
                </w:tcPr>
                <w:p>
                  <w:pPr>
                    <w:jc w:val="center"/>
                  </w:pPr>
                  <w:r>
                    <w:t>350</w:t>
                  </w:r>
                </w:p>
              </w:tc>
              <w:tc>
                <w:tcPr>
                  <w:tcW w:w="435" w:type="pct"/>
                  <w:vAlign w:val="center"/>
                </w:tcPr>
                <w:p>
                  <w:pPr>
                    <w:jc w:val="center"/>
                  </w:pPr>
                  <w:r>
                    <w:t>260</w:t>
                  </w:r>
                </w:p>
              </w:tc>
              <w:tc>
                <w:tcPr>
                  <w:tcW w:w="430" w:type="pct"/>
                  <w:vAlign w:val="center"/>
                </w:tcPr>
                <w:p>
                  <w:pPr>
                    <w:jc w:val="center"/>
                  </w:pPr>
                  <w:r>
                    <w:t>290</w:t>
                  </w:r>
                </w:p>
              </w:tc>
              <w:tc>
                <w:tcPr>
                  <w:tcW w:w="431" w:type="pct"/>
                  <w:vAlign w:val="center"/>
                </w:tcPr>
                <w:p>
                  <w:pPr>
                    <w:jc w:val="center"/>
                  </w:pPr>
                  <w:r>
                    <w:t>190</w:t>
                  </w:r>
                </w:p>
              </w:tc>
              <w:tc>
                <w:tcPr>
                  <w:tcW w:w="435" w:type="pct"/>
                  <w:vAlign w:val="center"/>
                </w:tcPr>
                <w:p>
                  <w:pPr>
                    <w:jc w:val="center"/>
                  </w:pPr>
                  <w:r>
                    <w:t>140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pPr>
                  <w:r>
                    <w:t>B</w:t>
                  </w:r>
                </w:p>
              </w:tc>
              <w:tc>
                <w:tcPr>
                  <w:tcW w:w="683" w:type="pct"/>
                  <w:vAlign w:val="center"/>
                </w:tcPr>
                <w:p>
                  <w:pPr>
                    <w:jc w:val="center"/>
                  </w:pPr>
                  <w:r>
                    <w:t>&lt;2</w:t>
                  </w:r>
                </w:p>
              </w:tc>
              <w:tc>
                <w:tcPr>
                  <w:tcW w:w="1296" w:type="pct"/>
                  <w:gridSpan w:val="3"/>
                  <w:vAlign w:val="center"/>
                </w:tcPr>
                <w:p>
                  <w:pPr>
                    <w:jc w:val="center"/>
                  </w:pPr>
                  <w:r>
                    <w:t>0.01</w:t>
                  </w:r>
                </w:p>
              </w:tc>
              <w:tc>
                <w:tcPr>
                  <w:tcW w:w="1296" w:type="pct"/>
                  <w:gridSpan w:val="3"/>
                  <w:vAlign w:val="center"/>
                </w:tcPr>
                <w:p>
                  <w:pPr>
                    <w:jc w:val="center"/>
                  </w:pPr>
                  <w:r>
                    <w:t>0.015</w:t>
                  </w:r>
                </w:p>
              </w:tc>
              <w:tc>
                <w:tcPr>
                  <w:tcW w:w="1297" w:type="pct"/>
                  <w:gridSpan w:val="3"/>
                  <w:vAlign w:val="center"/>
                </w:tcPr>
                <w:p>
                  <w:pPr>
                    <w:jc w:val="center"/>
                  </w:pPr>
                  <w:r>
                    <w:t>0.015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pPr>
                </w:p>
              </w:tc>
              <w:tc>
                <w:tcPr>
                  <w:tcW w:w="683" w:type="pct"/>
                  <w:vAlign w:val="center"/>
                </w:tcPr>
                <w:p>
                  <w:pPr>
                    <w:jc w:val="center"/>
                  </w:pPr>
                  <w:r>
                    <w:t>&gt;2</w:t>
                  </w:r>
                </w:p>
              </w:tc>
              <w:tc>
                <w:tcPr>
                  <w:tcW w:w="1296" w:type="pct"/>
                  <w:gridSpan w:val="3"/>
                  <w:vAlign w:val="center"/>
                </w:tcPr>
                <w:p>
                  <w:pPr>
                    <w:jc w:val="center"/>
                  </w:pPr>
                  <w:r>
                    <w:t>0.021</w:t>
                  </w:r>
                </w:p>
              </w:tc>
              <w:tc>
                <w:tcPr>
                  <w:tcW w:w="1296" w:type="pct"/>
                  <w:gridSpan w:val="3"/>
                  <w:vAlign w:val="center"/>
                </w:tcPr>
                <w:p>
                  <w:pPr>
                    <w:jc w:val="center"/>
                  </w:pPr>
                  <w:r>
                    <w:t>0.036</w:t>
                  </w:r>
                </w:p>
              </w:tc>
              <w:tc>
                <w:tcPr>
                  <w:tcW w:w="1297" w:type="pct"/>
                  <w:gridSpan w:val="3"/>
                  <w:vAlign w:val="center"/>
                </w:tcPr>
                <w:p>
                  <w:pPr>
                    <w:jc w:val="center"/>
                  </w:pPr>
                  <w:r>
                    <w:t>0.036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pPr>
                  <w:r>
                    <w:t>C</w:t>
                  </w:r>
                </w:p>
              </w:tc>
              <w:tc>
                <w:tcPr>
                  <w:tcW w:w="683" w:type="pct"/>
                  <w:vAlign w:val="center"/>
                </w:tcPr>
                <w:p>
                  <w:pPr>
                    <w:jc w:val="center"/>
                  </w:pPr>
                  <w:r>
                    <w:t>&lt;2</w:t>
                  </w:r>
                </w:p>
              </w:tc>
              <w:tc>
                <w:tcPr>
                  <w:tcW w:w="1296" w:type="pct"/>
                  <w:gridSpan w:val="3"/>
                  <w:vAlign w:val="center"/>
                </w:tcPr>
                <w:p>
                  <w:pPr>
                    <w:jc w:val="center"/>
                  </w:pPr>
                  <w:r>
                    <w:t>1.85</w:t>
                  </w:r>
                </w:p>
              </w:tc>
              <w:tc>
                <w:tcPr>
                  <w:tcW w:w="1296" w:type="pct"/>
                  <w:gridSpan w:val="3"/>
                  <w:vAlign w:val="center"/>
                </w:tcPr>
                <w:p>
                  <w:pPr>
                    <w:jc w:val="center"/>
                  </w:pPr>
                  <w:r>
                    <w:t>1.79</w:t>
                  </w:r>
                </w:p>
              </w:tc>
              <w:tc>
                <w:tcPr>
                  <w:tcW w:w="1297" w:type="pct"/>
                  <w:gridSpan w:val="3"/>
                  <w:vAlign w:val="center"/>
                </w:tcPr>
                <w:p>
                  <w:pPr>
                    <w:jc w:val="center"/>
                  </w:pPr>
                  <w: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pPr>
                </w:p>
              </w:tc>
              <w:tc>
                <w:tcPr>
                  <w:tcW w:w="683" w:type="pct"/>
                  <w:vAlign w:val="center"/>
                </w:tcPr>
                <w:p>
                  <w:pPr>
                    <w:jc w:val="center"/>
                  </w:pPr>
                  <w:r>
                    <w:t>&gt;2</w:t>
                  </w:r>
                </w:p>
              </w:tc>
              <w:tc>
                <w:tcPr>
                  <w:tcW w:w="1296" w:type="pct"/>
                  <w:gridSpan w:val="3"/>
                  <w:vAlign w:val="center"/>
                </w:tcPr>
                <w:p>
                  <w:pPr>
                    <w:jc w:val="center"/>
                  </w:pPr>
                  <w:r>
                    <w:t>1.85</w:t>
                  </w:r>
                </w:p>
              </w:tc>
              <w:tc>
                <w:tcPr>
                  <w:tcW w:w="1296" w:type="pct"/>
                  <w:gridSpan w:val="3"/>
                  <w:vAlign w:val="center"/>
                </w:tcPr>
                <w:p>
                  <w:pPr>
                    <w:jc w:val="center"/>
                  </w:pPr>
                  <w:r>
                    <w:t>1.77</w:t>
                  </w:r>
                </w:p>
              </w:tc>
              <w:tc>
                <w:tcPr>
                  <w:tcW w:w="1297" w:type="pct"/>
                  <w:gridSpan w:val="3"/>
                  <w:vAlign w:val="center"/>
                </w:tcPr>
                <w:p>
                  <w:pPr>
                    <w:jc w:val="center"/>
                  </w:pPr>
                  <w:r>
                    <w:t>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restart"/>
                  <w:vAlign w:val="center"/>
                </w:tcPr>
                <w:p>
                  <w:pPr>
                    <w:jc w:val="center"/>
                  </w:pPr>
                  <w:r>
                    <w:t>D</w:t>
                  </w:r>
                </w:p>
              </w:tc>
              <w:tc>
                <w:tcPr>
                  <w:tcW w:w="683" w:type="pct"/>
                  <w:vAlign w:val="center"/>
                </w:tcPr>
                <w:p>
                  <w:pPr>
                    <w:jc w:val="center"/>
                  </w:pPr>
                  <w:r>
                    <w:t>&lt;2</w:t>
                  </w:r>
                </w:p>
              </w:tc>
              <w:tc>
                <w:tcPr>
                  <w:tcW w:w="1296" w:type="pct"/>
                  <w:gridSpan w:val="3"/>
                  <w:vAlign w:val="center"/>
                </w:tcPr>
                <w:p>
                  <w:pPr>
                    <w:jc w:val="center"/>
                  </w:pPr>
                  <w:r>
                    <w:t>0.78</w:t>
                  </w:r>
                </w:p>
              </w:tc>
              <w:tc>
                <w:tcPr>
                  <w:tcW w:w="1296" w:type="pct"/>
                  <w:gridSpan w:val="3"/>
                  <w:vAlign w:val="center"/>
                </w:tcPr>
                <w:p>
                  <w:pPr>
                    <w:jc w:val="center"/>
                  </w:pPr>
                  <w:r>
                    <w:t>0.78</w:t>
                  </w:r>
                </w:p>
              </w:tc>
              <w:tc>
                <w:tcPr>
                  <w:tcW w:w="1297" w:type="pct"/>
                  <w:gridSpan w:val="3"/>
                  <w:vAlign w:val="center"/>
                </w:tcPr>
                <w:p>
                  <w:pPr>
                    <w:jc w:val="center"/>
                  </w:pPr>
                  <w:r>
                    <w:t>0.57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425" w:type="pct"/>
                  <w:vMerge w:val="continue"/>
                  <w:vAlign w:val="center"/>
                </w:tcPr>
                <w:p>
                  <w:pPr>
                    <w:jc w:val="center"/>
                  </w:pPr>
                </w:p>
              </w:tc>
              <w:tc>
                <w:tcPr>
                  <w:tcW w:w="683" w:type="pct"/>
                  <w:vAlign w:val="center"/>
                </w:tcPr>
                <w:p>
                  <w:pPr>
                    <w:jc w:val="center"/>
                  </w:pPr>
                  <w:r>
                    <w:t>&gt;2</w:t>
                  </w:r>
                </w:p>
              </w:tc>
              <w:tc>
                <w:tcPr>
                  <w:tcW w:w="1296" w:type="pct"/>
                  <w:gridSpan w:val="3"/>
                  <w:vAlign w:val="center"/>
                </w:tcPr>
                <w:p>
                  <w:pPr>
                    <w:jc w:val="center"/>
                  </w:pPr>
                  <w:r>
                    <w:t>0.84</w:t>
                  </w:r>
                </w:p>
              </w:tc>
              <w:tc>
                <w:tcPr>
                  <w:tcW w:w="1296" w:type="pct"/>
                  <w:gridSpan w:val="3"/>
                  <w:vAlign w:val="center"/>
                </w:tcPr>
                <w:p>
                  <w:pPr>
                    <w:jc w:val="center"/>
                  </w:pPr>
                  <w:r>
                    <w:t>0.84</w:t>
                  </w:r>
                </w:p>
              </w:tc>
              <w:tc>
                <w:tcPr>
                  <w:tcW w:w="1297" w:type="pct"/>
                  <w:gridSpan w:val="3"/>
                  <w:vAlign w:val="center"/>
                </w:tcPr>
                <w:p>
                  <w:pPr>
                    <w:jc w:val="center"/>
                  </w:pPr>
                  <w: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5000" w:type="pct"/>
                  <w:gridSpan w:val="11"/>
                  <w:vAlign w:val="center"/>
                </w:tcPr>
                <w:p>
                  <w:pPr>
                    <w:autoSpaceDE w:val="0"/>
                    <w:autoSpaceDN w:val="0"/>
                    <w:adjustRightInd w:val="0"/>
                    <w:ind w:firstLine="420" w:firstLineChars="200"/>
                  </w:pPr>
                  <w:r>
                    <w:t>注：Ⅰ类：与无组织排放源共存的排放同种有害气体的排气筒的排放量，大于标准规定的允许排放量的三分之一者。</w:t>
                  </w:r>
                </w:p>
                <w:p>
                  <w:pPr>
                    <w:autoSpaceDE w:val="0"/>
                    <w:autoSpaceDN w:val="0"/>
                    <w:adjustRightInd w:val="0"/>
                    <w:ind w:firstLine="420" w:firstLineChars="200"/>
                  </w:pPr>
                  <w: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autoSpaceDE w:val="0"/>
                    <w:autoSpaceDN w:val="0"/>
                    <w:adjustRightInd w:val="0"/>
                    <w:ind w:firstLine="420" w:firstLineChars="200"/>
                  </w:pPr>
                  <w:r>
                    <w:t>Ⅲ类：无排放同种有害物质的排气筒与无组织排放源共存，且无组织排放的有害物质的容许浓度是按慢性反应指标确定者。</w:t>
                  </w:r>
                </w:p>
              </w:tc>
            </w:tr>
          </w:tbl>
          <w:p>
            <w:pPr>
              <w:widowControl/>
              <w:adjustRightInd w:val="0"/>
              <w:snapToGrid w:val="0"/>
              <w:spacing w:before="120" w:beforeLines="50" w:line="360" w:lineRule="auto"/>
              <w:ind w:firstLine="420" w:firstLineChars="200"/>
            </w:pPr>
            <w:r>
              <w:t>项目A、B厂房相邻，</w:t>
            </w:r>
            <w:r>
              <w:rPr>
                <w:rFonts w:hint="eastAsia"/>
              </w:rPr>
              <w:t>A厂房占地778m</w:t>
            </w:r>
            <w:r>
              <w:rPr>
                <w:rFonts w:hint="eastAsia"/>
                <w:vertAlign w:val="superscript"/>
              </w:rPr>
              <w:t>2</w:t>
            </w:r>
            <w:r>
              <w:rPr>
                <w:rFonts w:hint="eastAsia"/>
              </w:rPr>
              <w:t>，B厂房</w:t>
            </w:r>
            <w:r>
              <w:t>占地面积</w:t>
            </w:r>
            <w:r>
              <w:rPr>
                <w:rFonts w:hint="eastAsia"/>
              </w:rPr>
              <w:t>798</w:t>
            </w:r>
            <w:r>
              <w:t>m</w:t>
            </w:r>
            <w:r>
              <w:rPr>
                <w:vertAlign w:val="superscript"/>
              </w:rPr>
              <w:t>2</w:t>
            </w:r>
            <w:r>
              <w:t>，经计算得出</w:t>
            </w:r>
            <w:r>
              <w:rPr>
                <w:rFonts w:hint="eastAsia"/>
              </w:rPr>
              <w:t>A</w:t>
            </w:r>
            <w:r>
              <w:t>厂房等效半径（r）为</w:t>
            </w:r>
            <w:r>
              <w:rPr>
                <w:rFonts w:hint="eastAsia"/>
              </w:rPr>
              <w:t>15.74</w:t>
            </w:r>
            <w:r>
              <w:t>m</w:t>
            </w:r>
            <w:r>
              <w:rPr>
                <w:rStyle w:val="112"/>
                <w:rFonts w:hint="eastAsia"/>
                <w:vertAlign w:val="superscript"/>
              </w:rPr>
              <w:t>2</w:t>
            </w:r>
            <w:r>
              <w:rPr>
                <w:rStyle w:val="112"/>
                <w:rFonts w:hint="eastAsia"/>
              </w:rPr>
              <w:t>、B厂房等效半径（r）为15.94m</w:t>
            </w:r>
            <w:r>
              <w:rPr>
                <w:rStyle w:val="112"/>
                <w:rFonts w:hint="eastAsia"/>
                <w:vertAlign w:val="superscript"/>
              </w:rPr>
              <w:t>2</w:t>
            </w:r>
            <w:r>
              <w:t>，所在地区近5年平均风速为2.2m/s，卫生防护距离L≦1000m，且大气污染源构成类型为Ⅱ类，按上述卫生防护距离初值公式对本项目TSP无组织排放的卫生防护距离初值进行计算，项目卫生防护距离初值计算参数取值及具体计算结果见下表。</w:t>
            </w:r>
          </w:p>
          <w:p>
            <w:pPr>
              <w:adjustRightInd w:val="0"/>
              <w:snapToGrid w:val="0"/>
              <w:spacing w:line="360" w:lineRule="auto"/>
              <w:jc w:val="center"/>
              <w:rPr>
                <w:b/>
              </w:rPr>
            </w:pPr>
            <w:r>
              <w:rPr>
                <w:b/>
              </w:rPr>
              <w:t>表4-11 本项目卫生防护距离计算参数表</w:t>
            </w:r>
          </w:p>
          <w:tbl>
            <w:tblPr>
              <w:tblStyle w:val="10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27"/>
              <w:gridCol w:w="1831"/>
              <w:gridCol w:w="1918"/>
              <w:gridCol w:w="991"/>
              <w:gridCol w:w="1160"/>
              <w:gridCol w:w="991"/>
              <w:gridCol w:w="10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trPr>
              <w:tc>
                <w:tcPr>
                  <w:tcW w:w="714" w:type="pct"/>
                  <w:vMerge w:val="restart"/>
                  <w:vAlign w:val="center"/>
                </w:tcPr>
                <w:p>
                  <w:pPr>
                    <w:tabs>
                      <w:tab w:val="left" w:pos="0"/>
                    </w:tabs>
                    <w:jc w:val="center"/>
                    <w:rPr>
                      <w:b/>
                      <w:bCs/>
                    </w:rPr>
                  </w:pPr>
                  <w:r>
                    <w:rPr>
                      <w:b/>
                      <w:bCs/>
                    </w:rPr>
                    <w:t>计算系数</w:t>
                  </w:r>
                </w:p>
              </w:tc>
              <w:tc>
                <w:tcPr>
                  <w:tcW w:w="985" w:type="pct"/>
                  <w:vAlign w:val="center"/>
                </w:tcPr>
                <w:p>
                  <w:pPr>
                    <w:jc w:val="center"/>
                    <w:rPr>
                      <w:b/>
                    </w:rPr>
                  </w:pPr>
                  <w:r>
                    <w:rPr>
                      <w:b/>
                    </w:rPr>
                    <w:t>近5年平均风速</w:t>
                  </w:r>
                </w:p>
                <w:p>
                  <w:pPr>
                    <w:tabs>
                      <w:tab w:val="left" w:pos="0"/>
                    </w:tabs>
                    <w:jc w:val="center"/>
                    <w:rPr>
                      <w:b/>
                      <w:bCs/>
                    </w:rPr>
                  </w:pPr>
                  <w:r>
                    <w:rPr>
                      <w:b/>
                    </w:rPr>
                    <w:t>（m/s）</w:t>
                  </w:r>
                </w:p>
              </w:tc>
              <w:tc>
                <w:tcPr>
                  <w:tcW w:w="1032" w:type="pct"/>
                  <w:vAlign w:val="center"/>
                </w:tcPr>
                <w:p>
                  <w:pPr>
                    <w:tabs>
                      <w:tab w:val="left" w:pos="0"/>
                    </w:tabs>
                    <w:jc w:val="center"/>
                    <w:rPr>
                      <w:b/>
                      <w:bCs/>
                    </w:rPr>
                  </w:pPr>
                  <w:r>
                    <w:rPr>
                      <w:b/>
                    </w:rPr>
                    <w:t>工业企业大气污染源构成类别</w:t>
                  </w:r>
                </w:p>
              </w:tc>
              <w:tc>
                <w:tcPr>
                  <w:tcW w:w="533" w:type="pct"/>
                  <w:vAlign w:val="center"/>
                </w:tcPr>
                <w:p>
                  <w:pPr>
                    <w:tabs>
                      <w:tab w:val="left" w:pos="0"/>
                    </w:tabs>
                    <w:jc w:val="center"/>
                    <w:rPr>
                      <w:b/>
                      <w:bCs/>
                    </w:rPr>
                  </w:pPr>
                  <w:r>
                    <w:rPr>
                      <w:b/>
                    </w:rPr>
                    <w:t>A</w:t>
                  </w:r>
                </w:p>
              </w:tc>
              <w:tc>
                <w:tcPr>
                  <w:tcW w:w="624" w:type="pct"/>
                  <w:vAlign w:val="center"/>
                </w:tcPr>
                <w:p>
                  <w:pPr>
                    <w:tabs>
                      <w:tab w:val="left" w:pos="0"/>
                    </w:tabs>
                    <w:jc w:val="center"/>
                    <w:rPr>
                      <w:b/>
                      <w:bCs/>
                    </w:rPr>
                  </w:pPr>
                  <w:r>
                    <w:rPr>
                      <w:b/>
                    </w:rPr>
                    <w:t>B</w:t>
                  </w:r>
                </w:p>
              </w:tc>
              <w:tc>
                <w:tcPr>
                  <w:tcW w:w="533" w:type="pct"/>
                  <w:vAlign w:val="center"/>
                </w:tcPr>
                <w:p>
                  <w:pPr>
                    <w:tabs>
                      <w:tab w:val="left" w:pos="0"/>
                    </w:tabs>
                    <w:jc w:val="center"/>
                    <w:rPr>
                      <w:b/>
                      <w:bCs/>
                    </w:rPr>
                  </w:pPr>
                  <w:r>
                    <w:rPr>
                      <w:b/>
                    </w:rPr>
                    <w:t>C</w:t>
                  </w:r>
                </w:p>
              </w:tc>
              <w:tc>
                <w:tcPr>
                  <w:tcW w:w="575" w:type="pct"/>
                  <w:vAlign w:val="center"/>
                </w:tcPr>
                <w:p>
                  <w:pPr>
                    <w:tabs>
                      <w:tab w:val="left" w:pos="0"/>
                    </w:tabs>
                    <w:jc w:val="center"/>
                    <w:rPr>
                      <w:b/>
                      <w:bCs/>
                    </w:rPr>
                  </w:pPr>
                  <w:r>
                    <w:rPr>
                      <w:b/>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trPr>
              <w:tc>
                <w:tcPr>
                  <w:tcW w:w="714" w:type="pct"/>
                  <w:vMerge w:val="continue"/>
                  <w:vAlign w:val="center"/>
                </w:tcPr>
                <w:p>
                  <w:pPr>
                    <w:tabs>
                      <w:tab w:val="left" w:pos="0"/>
                    </w:tabs>
                    <w:jc w:val="center"/>
                    <w:rPr>
                      <w:b/>
                      <w:bCs/>
                    </w:rPr>
                  </w:pPr>
                </w:p>
              </w:tc>
              <w:tc>
                <w:tcPr>
                  <w:tcW w:w="985" w:type="pct"/>
                  <w:vAlign w:val="center"/>
                </w:tcPr>
                <w:p>
                  <w:pPr>
                    <w:tabs>
                      <w:tab w:val="left" w:pos="0"/>
                    </w:tabs>
                    <w:jc w:val="center"/>
                    <w:rPr>
                      <w:b/>
                      <w:bCs/>
                    </w:rPr>
                  </w:pPr>
                  <w:r>
                    <w:t>2.2</w:t>
                  </w:r>
                </w:p>
              </w:tc>
              <w:tc>
                <w:tcPr>
                  <w:tcW w:w="1032" w:type="pct"/>
                  <w:vAlign w:val="center"/>
                </w:tcPr>
                <w:p>
                  <w:pPr>
                    <w:tabs>
                      <w:tab w:val="left" w:pos="0"/>
                    </w:tabs>
                    <w:jc w:val="center"/>
                    <w:rPr>
                      <w:b/>
                      <w:bCs/>
                    </w:rPr>
                  </w:pPr>
                  <w:r>
                    <w:t>Ⅱ</w:t>
                  </w:r>
                </w:p>
              </w:tc>
              <w:tc>
                <w:tcPr>
                  <w:tcW w:w="533" w:type="pct"/>
                  <w:vAlign w:val="center"/>
                </w:tcPr>
                <w:p>
                  <w:pPr>
                    <w:tabs>
                      <w:tab w:val="left" w:pos="0"/>
                    </w:tabs>
                    <w:jc w:val="center"/>
                    <w:rPr>
                      <w:b/>
                      <w:bCs/>
                    </w:rPr>
                  </w:pPr>
                  <w:r>
                    <w:t>470</w:t>
                  </w:r>
                </w:p>
              </w:tc>
              <w:tc>
                <w:tcPr>
                  <w:tcW w:w="624" w:type="pct"/>
                  <w:vAlign w:val="center"/>
                </w:tcPr>
                <w:p>
                  <w:pPr>
                    <w:tabs>
                      <w:tab w:val="left" w:pos="0"/>
                    </w:tabs>
                    <w:jc w:val="center"/>
                    <w:rPr>
                      <w:b/>
                      <w:bCs/>
                    </w:rPr>
                  </w:pPr>
                  <w:r>
                    <w:t>0.021</w:t>
                  </w:r>
                </w:p>
              </w:tc>
              <w:tc>
                <w:tcPr>
                  <w:tcW w:w="533" w:type="pct"/>
                  <w:vAlign w:val="center"/>
                </w:tcPr>
                <w:p>
                  <w:pPr>
                    <w:tabs>
                      <w:tab w:val="left" w:pos="0"/>
                    </w:tabs>
                    <w:jc w:val="center"/>
                    <w:rPr>
                      <w:b/>
                      <w:bCs/>
                    </w:rPr>
                  </w:pPr>
                  <w:r>
                    <w:t>1.85</w:t>
                  </w:r>
                </w:p>
              </w:tc>
              <w:tc>
                <w:tcPr>
                  <w:tcW w:w="575" w:type="pct"/>
                  <w:vAlign w:val="center"/>
                </w:tcPr>
                <w:p>
                  <w:pPr>
                    <w:tabs>
                      <w:tab w:val="left" w:pos="0"/>
                    </w:tabs>
                    <w:jc w:val="center"/>
                    <w:rPr>
                      <w:b/>
                      <w:bCs/>
                    </w:rPr>
                  </w:pPr>
                  <w:r>
                    <w:t>0.84</w:t>
                  </w:r>
                </w:p>
              </w:tc>
            </w:tr>
          </w:tbl>
          <w:p>
            <w:pPr>
              <w:adjustRightInd w:val="0"/>
              <w:snapToGrid w:val="0"/>
              <w:spacing w:before="120" w:beforeLines="50" w:line="360" w:lineRule="auto"/>
              <w:jc w:val="center"/>
              <w:rPr>
                <w:b/>
              </w:rPr>
            </w:pPr>
            <w:r>
              <w:rPr>
                <w:b/>
              </w:rPr>
              <w:t>表4-12 本项目卫生防护距离计算初值</w:t>
            </w:r>
          </w:p>
          <w:tbl>
            <w:tblPr>
              <w:tblStyle w:val="10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73"/>
              <w:gridCol w:w="1158"/>
              <w:gridCol w:w="1654"/>
              <w:gridCol w:w="1491"/>
              <w:gridCol w:w="1823"/>
              <w:gridCol w:w="188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685" w:type="pct"/>
                  <w:vAlign w:val="center"/>
                </w:tcPr>
                <w:p>
                  <w:pPr>
                    <w:jc w:val="center"/>
                    <w:rPr>
                      <w:b/>
                    </w:rPr>
                  </w:pPr>
                  <w:r>
                    <w:rPr>
                      <w:b/>
                    </w:rPr>
                    <w:t>污染源</w:t>
                  </w:r>
                </w:p>
              </w:tc>
              <w:tc>
                <w:tcPr>
                  <w:tcW w:w="623" w:type="pct"/>
                  <w:vAlign w:val="center"/>
                </w:tcPr>
                <w:p>
                  <w:pPr>
                    <w:jc w:val="center"/>
                    <w:rPr>
                      <w:b/>
                    </w:rPr>
                  </w:pPr>
                  <w:r>
                    <w:rPr>
                      <w:b/>
                    </w:rPr>
                    <w:t>污染物</w:t>
                  </w:r>
                </w:p>
              </w:tc>
              <w:tc>
                <w:tcPr>
                  <w:tcW w:w="890" w:type="pct"/>
                  <w:vAlign w:val="center"/>
                </w:tcPr>
                <w:p>
                  <w:pPr>
                    <w:jc w:val="center"/>
                    <w:rPr>
                      <w:b/>
                    </w:rPr>
                  </w:pPr>
                  <w:r>
                    <w:rPr>
                      <w:b/>
                    </w:rPr>
                    <w:t>污染物源强（kg/h）</w:t>
                  </w:r>
                </w:p>
              </w:tc>
              <w:tc>
                <w:tcPr>
                  <w:tcW w:w="802" w:type="pct"/>
                  <w:vAlign w:val="center"/>
                </w:tcPr>
                <w:p>
                  <w:pPr>
                    <w:jc w:val="center"/>
                    <w:rPr>
                      <w:b/>
                    </w:rPr>
                  </w:pPr>
                  <w:r>
                    <w:rPr>
                      <w:b/>
                    </w:rPr>
                    <w:t>评价标准（mg/m</w:t>
                  </w:r>
                  <w:r>
                    <w:rPr>
                      <w:b/>
                      <w:vertAlign w:val="superscript"/>
                    </w:rPr>
                    <w:t>3</w:t>
                  </w:r>
                  <w:r>
                    <w:rPr>
                      <w:b/>
                    </w:rPr>
                    <w:t>）</w:t>
                  </w:r>
                </w:p>
              </w:tc>
              <w:tc>
                <w:tcPr>
                  <w:tcW w:w="981" w:type="pct"/>
                  <w:vAlign w:val="center"/>
                </w:tcPr>
                <w:p>
                  <w:pPr>
                    <w:jc w:val="center"/>
                    <w:rPr>
                      <w:b/>
                    </w:rPr>
                  </w:pPr>
                  <w:r>
                    <w:rPr>
                      <w:b/>
                    </w:rPr>
                    <w:t>等效半径（m）</w:t>
                  </w:r>
                </w:p>
              </w:tc>
              <w:tc>
                <w:tcPr>
                  <w:tcW w:w="1016" w:type="pct"/>
                  <w:vAlign w:val="center"/>
                </w:tcPr>
                <w:p>
                  <w:pPr>
                    <w:jc w:val="center"/>
                    <w:rPr>
                      <w:b/>
                    </w:rPr>
                  </w:pPr>
                  <w:r>
                    <w:rPr>
                      <w:b/>
                    </w:rPr>
                    <w:t>计算结果（m）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85" w:type="pct"/>
                  <w:vAlign w:val="center"/>
                </w:tcPr>
                <w:p>
                  <w:pPr>
                    <w:jc w:val="center"/>
                  </w:pPr>
                  <w:r>
                    <w:t>A</w:t>
                  </w:r>
                  <w:r>
                    <w:rPr>
                      <w:rFonts w:hint="eastAsia"/>
                    </w:rPr>
                    <w:t>厂房</w:t>
                  </w:r>
                </w:p>
              </w:tc>
              <w:tc>
                <w:tcPr>
                  <w:tcW w:w="623" w:type="pct"/>
                  <w:vAlign w:val="center"/>
                </w:tcPr>
                <w:p>
                  <w:pPr>
                    <w:jc w:val="center"/>
                  </w:pPr>
                  <w:r>
                    <w:t>TSP</w:t>
                  </w:r>
                </w:p>
              </w:tc>
              <w:tc>
                <w:tcPr>
                  <w:tcW w:w="890" w:type="pct"/>
                  <w:vAlign w:val="center"/>
                </w:tcPr>
                <w:p>
                  <w:pPr>
                    <w:jc w:val="center"/>
                  </w:pPr>
                  <w:r>
                    <w:rPr>
                      <w:rFonts w:hint="eastAsia"/>
                    </w:rPr>
                    <w:t>0.2068</w:t>
                  </w:r>
                </w:p>
              </w:tc>
              <w:tc>
                <w:tcPr>
                  <w:tcW w:w="802" w:type="pct"/>
                  <w:vAlign w:val="center"/>
                </w:tcPr>
                <w:p>
                  <w:pPr>
                    <w:jc w:val="center"/>
                  </w:pPr>
                  <w:r>
                    <w:t>0.9</w:t>
                  </w:r>
                </w:p>
              </w:tc>
              <w:tc>
                <w:tcPr>
                  <w:tcW w:w="981" w:type="pct"/>
                  <w:vAlign w:val="center"/>
                </w:tcPr>
                <w:p>
                  <w:pPr>
                    <w:jc w:val="center"/>
                  </w:pPr>
                  <w:r>
                    <w:rPr>
                      <w:rFonts w:hint="eastAsia"/>
                    </w:rPr>
                    <w:t>15.74</w:t>
                  </w:r>
                </w:p>
              </w:tc>
              <w:tc>
                <w:tcPr>
                  <w:tcW w:w="1016" w:type="pct"/>
                  <w:vAlign w:val="center"/>
                </w:tcPr>
                <w:p>
                  <w:pPr>
                    <w:jc w:val="center"/>
                  </w:pPr>
                  <w:r>
                    <w:rPr>
                      <w:rFonts w:hint="eastAsia"/>
                    </w:rPr>
                    <w:t>20.87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7" w:hRule="atLeast"/>
              </w:trPr>
              <w:tc>
                <w:tcPr>
                  <w:tcW w:w="685" w:type="pct"/>
                  <w:vAlign w:val="center"/>
                </w:tcPr>
                <w:p>
                  <w:pPr>
                    <w:jc w:val="center"/>
                  </w:pPr>
                  <w:r>
                    <w:rPr>
                      <w:rFonts w:hint="eastAsia"/>
                    </w:rPr>
                    <w:t>B厂房</w:t>
                  </w:r>
                </w:p>
              </w:tc>
              <w:tc>
                <w:tcPr>
                  <w:tcW w:w="623" w:type="pct"/>
                  <w:vAlign w:val="center"/>
                </w:tcPr>
                <w:p>
                  <w:pPr>
                    <w:jc w:val="center"/>
                  </w:pPr>
                  <w:r>
                    <w:rPr>
                      <w:rFonts w:hint="eastAsia"/>
                    </w:rPr>
                    <w:t>TSP</w:t>
                  </w:r>
                </w:p>
              </w:tc>
              <w:tc>
                <w:tcPr>
                  <w:tcW w:w="890" w:type="pct"/>
                  <w:vAlign w:val="center"/>
                </w:tcPr>
                <w:p>
                  <w:pPr>
                    <w:jc w:val="center"/>
                  </w:pPr>
                  <w:r>
                    <w:t>0.</w:t>
                  </w:r>
                  <w:r>
                    <w:rPr>
                      <w:rFonts w:hint="eastAsia"/>
                    </w:rPr>
                    <w:t>0676</w:t>
                  </w:r>
                </w:p>
              </w:tc>
              <w:tc>
                <w:tcPr>
                  <w:tcW w:w="802" w:type="pct"/>
                  <w:vAlign w:val="center"/>
                </w:tcPr>
                <w:p>
                  <w:pPr>
                    <w:jc w:val="center"/>
                  </w:pPr>
                  <w:r>
                    <w:rPr>
                      <w:rFonts w:hint="eastAsia"/>
                    </w:rPr>
                    <w:t>0.9</w:t>
                  </w:r>
                </w:p>
              </w:tc>
              <w:tc>
                <w:tcPr>
                  <w:tcW w:w="981" w:type="pct"/>
                  <w:vAlign w:val="center"/>
                </w:tcPr>
                <w:p>
                  <w:pPr>
                    <w:jc w:val="center"/>
                  </w:pPr>
                  <w:r>
                    <w:rPr>
                      <w:rFonts w:hint="eastAsia"/>
                    </w:rPr>
                    <w:t>15.94</w:t>
                  </w:r>
                </w:p>
              </w:tc>
              <w:tc>
                <w:tcPr>
                  <w:tcW w:w="1016" w:type="pct"/>
                  <w:vAlign w:val="center"/>
                </w:tcPr>
                <w:p>
                  <w:pPr>
                    <w:jc w:val="center"/>
                  </w:pPr>
                  <w:r>
                    <w:rPr>
                      <w:rFonts w:hint="eastAsia"/>
                    </w:rPr>
                    <w:t>5.85</w:t>
                  </w:r>
                </w:p>
              </w:tc>
            </w:tr>
          </w:tbl>
          <w:p>
            <w:pPr>
              <w:adjustRightInd w:val="0"/>
              <w:snapToGrid w:val="0"/>
              <w:spacing w:before="120" w:beforeLines="50" w:line="360" w:lineRule="auto"/>
              <w:ind w:firstLine="422" w:firstLineChars="200"/>
              <w:rPr>
                <w:b/>
                <w:bCs/>
              </w:rPr>
            </w:pPr>
            <w:r>
              <w:rPr>
                <w:b/>
                <w:bCs/>
              </w:rPr>
              <w:t>（3）卫生防护距离终值的确定</w:t>
            </w:r>
          </w:p>
          <w:p>
            <w:pPr>
              <w:spacing w:line="360" w:lineRule="auto"/>
              <w:ind w:firstLine="420" w:firstLineChars="200"/>
              <w:rPr>
                <w:bCs/>
              </w:rPr>
            </w:pPr>
            <w:r>
              <w:t>根据《大气有害物质无组织排放卫生防护距离推导技术导则》（GB/T39499-2020），如计算初值小于50m时，级差为50m。如计算初值小于50m，卫生防护距离终值取50m，因此项目</w:t>
            </w:r>
            <w:r>
              <w:rPr>
                <w:rFonts w:hint="eastAsia"/>
              </w:rPr>
              <w:t>A栋</w:t>
            </w:r>
            <w:r>
              <w:t>厂房</w:t>
            </w:r>
            <w:r>
              <w:rPr>
                <w:bCs/>
              </w:rPr>
              <w:t>卫生防护距离为50米</w:t>
            </w:r>
            <w:r>
              <w:rPr>
                <w:rFonts w:hint="eastAsia"/>
                <w:bCs/>
              </w:rPr>
              <w:t>，B栋厂房卫生防护距离为50米。</w:t>
            </w:r>
          </w:p>
          <w:p>
            <w:pPr>
              <w:spacing w:line="360" w:lineRule="auto"/>
              <w:ind w:firstLine="420" w:firstLineChars="200"/>
              <w:rPr>
                <w:bCs/>
              </w:rPr>
            </w:pPr>
            <w:r>
              <w:t>根据现场踏勘，本项目生产车间与最近的敏感点北面的九潭村居民点2，与项目车间边界距离约245米，符合卫生防护距离要求</w:t>
            </w:r>
            <w:r>
              <w:rPr>
                <w:bCs/>
              </w:rPr>
              <w:t>。本项目卫生防护距离示意图见</w:t>
            </w:r>
            <w:r>
              <w:t>附图8</w:t>
            </w:r>
            <w:r>
              <w:rPr>
                <w:bCs/>
              </w:rPr>
              <w:t>。</w:t>
            </w:r>
          </w:p>
          <w:p>
            <w:pPr>
              <w:widowControl/>
              <w:adjustRightInd w:val="0"/>
              <w:snapToGrid w:val="0"/>
              <w:spacing w:before="120" w:beforeLines="50" w:line="360" w:lineRule="auto"/>
              <w:jc w:val="left"/>
              <w:rPr>
                <w:b/>
              </w:rPr>
            </w:pPr>
            <w:r>
              <w:rPr>
                <w:b/>
              </w:rPr>
              <w:t>二、</w:t>
            </w:r>
            <w:bookmarkEnd w:id="6"/>
            <w:bookmarkEnd w:id="7"/>
            <w:r>
              <w:rPr>
                <w:b/>
              </w:rPr>
              <w:t>水污染源及环保措施分析</w:t>
            </w:r>
          </w:p>
          <w:p>
            <w:pPr>
              <w:widowControl/>
              <w:spacing w:line="360" w:lineRule="auto"/>
              <w:ind w:firstLine="422" w:firstLineChars="200"/>
              <w:rPr>
                <w:b/>
                <w:bCs/>
              </w:rPr>
            </w:pPr>
            <w:r>
              <w:rPr>
                <w:b/>
                <w:bCs/>
              </w:rPr>
              <w:t>1.废水源强核算</w:t>
            </w:r>
          </w:p>
          <w:p>
            <w:pPr>
              <w:widowControl/>
              <w:spacing w:line="360" w:lineRule="auto"/>
              <w:ind w:left="420" w:leftChars="200"/>
              <w:rPr>
                <w:b/>
                <w:bCs/>
              </w:rPr>
            </w:pPr>
            <w:r>
              <w:rPr>
                <w:rFonts w:hint="eastAsia"/>
                <w:b/>
                <w:bCs/>
              </w:rPr>
              <w:t>（1）研磨废水</w:t>
            </w:r>
          </w:p>
          <w:p>
            <w:pPr>
              <w:pStyle w:val="26"/>
              <w:spacing w:line="360" w:lineRule="auto"/>
              <w:ind w:left="0" w:leftChars="0" w:firstLine="420" w:firstLineChars="200"/>
              <w:rPr>
                <w:rFonts w:ascii="Times New Roman" w:hAnsi="Times New Roman"/>
                <w:b/>
                <w:bCs/>
                <w:lang w:eastAsia="zh-CN"/>
              </w:rPr>
            </w:pPr>
            <w:r>
              <w:rPr>
                <w:rFonts w:ascii="Times New Roman" w:hAnsi="Times New Roman"/>
                <w:lang w:eastAsia="zh-CN"/>
              </w:rPr>
              <w:t>项目部分工件按照要求需要进行表面打磨加工至光滑面，</w:t>
            </w:r>
            <w:r>
              <w:rPr>
                <w:rFonts w:hint="eastAsia" w:ascii="Times New Roman" w:hAnsi="Times New Roman"/>
                <w:lang w:eastAsia="zh-CN"/>
              </w:rPr>
              <w:t>在研磨抛光过程中需要用到研磨石和自来水，研磨用水经配套的过滤设施过滤后循环使用，研磨用水循环量为0.6m</w:t>
            </w:r>
            <w:r>
              <w:rPr>
                <w:rFonts w:hint="eastAsia" w:ascii="Times New Roman" w:hAnsi="Times New Roman"/>
                <w:vertAlign w:val="superscript"/>
                <w:lang w:eastAsia="zh-CN"/>
              </w:rPr>
              <w:t>3</w:t>
            </w:r>
            <w:r>
              <w:rPr>
                <w:rFonts w:hint="eastAsia" w:ascii="Times New Roman" w:hAnsi="Times New Roman"/>
                <w:lang w:eastAsia="zh-CN"/>
              </w:rPr>
              <w:t>/d，由于使用过程中研磨水会蒸发损耗，蒸发损耗量占循环水量的5%，为0.03m</w:t>
            </w:r>
            <w:r>
              <w:rPr>
                <w:rFonts w:hint="eastAsia" w:ascii="Times New Roman" w:hAnsi="Times New Roman"/>
                <w:vertAlign w:val="superscript"/>
                <w:lang w:eastAsia="zh-CN"/>
              </w:rPr>
              <w:t>3</w:t>
            </w:r>
            <w:r>
              <w:rPr>
                <w:rFonts w:hint="eastAsia" w:ascii="Times New Roman" w:hAnsi="Times New Roman"/>
                <w:lang w:eastAsia="zh-CN"/>
              </w:rPr>
              <w:t>/d，定期加注自来水，研磨用水补充量约0.03m</w:t>
            </w:r>
            <w:r>
              <w:rPr>
                <w:rFonts w:hint="eastAsia" w:ascii="Times New Roman" w:hAnsi="Times New Roman"/>
                <w:vertAlign w:val="superscript"/>
                <w:lang w:eastAsia="zh-CN"/>
              </w:rPr>
              <w:t>3</w:t>
            </w:r>
            <w:r>
              <w:rPr>
                <w:rFonts w:hint="eastAsia" w:ascii="Times New Roman" w:hAnsi="Times New Roman"/>
                <w:lang w:eastAsia="zh-CN"/>
              </w:rPr>
              <w:t>/d（9m</w:t>
            </w:r>
            <w:r>
              <w:rPr>
                <w:rFonts w:hint="eastAsia" w:ascii="Times New Roman" w:hAnsi="Times New Roman"/>
                <w:vertAlign w:val="superscript"/>
                <w:lang w:eastAsia="zh-CN"/>
              </w:rPr>
              <w:t>3</w:t>
            </w:r>
            <w:r>
              <w:rPr>
                <w:rFonts w:hint="eastAsia" w:ascii="Times New Roman" w:hAnsi="Times New Roman"/>
                <w:lang w:eastAsia="zh-CN"/>
              </w:rPr>
              <w:t>/a）左右</w:t>
            </w:r>
            <w:r>
              <w:rPr>
                <w:rFonts w:ascii="Times New Roman" w:hAnsi="Times New Roman"/>
                <w:lang w:eastAsia="zh-CN"/>
              </w:rPr>
              <w:t>，研磨</w:t>
            </w:r>
            <w:r>
              <w:rPr>
                <w:rFonts w:hint="eastAsia" w:ascii="Times New Roman" w:hAnsi="Times New Roman"/>
                <w:lang w:eastAsia="zh-CN"/>
              </w:rPr>
              <w:t>废水经配套得过滤设施过滤后循环使用，不外排</w:t>
            </w:r>
            <w:r>
              <w:rPr>
                <w:rFonts w:ascii="Times New Roman" w:hAnsi="Times New Roman"/>
                <w:lang w:eastAsia="zh-CN"/>
              </w:rPr>
              <w:t>。</w:t>
            </w:r>
          </w:p>
          <w:p>
            <w:pPr>
              <w:widowControl/>
              <w:spacing w:line="360" w:lineRule="auto"/>
              <w:ind w:left="420" w:leftChars="200"/>
              <w:rPr>
                <w:b/>
                <w:bCs/>
              </w:rPr>
            </w:pPr>
            <w:r>
              <w:rPr>
                <w:rFonts w:hint="eastAsia"/>
                <w:b/>
                <w:bCs/>
              </w:rPr>
              <w:t>（2）喷淋废水</w:t>
            </w:r>
          </w:p>
          <w:p>
            <w:pPr>
              <w:pStyle w:val="26"/>
              <w:spacing w:line="360" w:lineRule="auto"/>
              <w:ind w:left="0" w:leftChars="0" w:firstLine="420" w:firstLineChars="200"/>
              <w:rPr>
                <w:rFonts w:ascii="Times New Roman" w:hAnsi="Times New Roman"/>
                <w:lang w:eastAsia="zh-CN"/>
              </w:rPr>
            </w:pPr>
            <w:r>
              <w:rPr>
                <w:rFonts w:ascii="Times New Roman" w:hAnsi="Times New Roman"/>
                <w:lang w:eastAsia="zh-CN"/>
              </w:rPr>
              <w:t>本项目拟设置</w:t>
            </w:r>
            <w:r>
              <w:rPr>
                <w:rFonts w:hint="eastAsia" w:ascii="Times New Roman" w:hAnsi="Times New Roman"/>
                <w:lang w:eastAsia="zh-CN"/>
              </w:rPr>
              <w:t>2</w:t>
            </w:r>
            <w:r>
              <w:rPr>
                <w:rFonts w:ascii="Times New Roman" w:hAnsi="Times New Roman"/>
                <w:lang w:eastAsia="zh-CN"/>
              </w:rPr>
              <w:t>台水喷淋塔作为废气处理设施</w:t>
            </w:r>
            <w:r>
              <w:rPr>
                <w:rFonts w:hint="eastAsia" w:ascii="Times New Roman" w:hAnsi="Times New Roman"/>
                <w:lang w:eastAsia="zh-CN"/>
              </w:rPr>
              <w:t>，喷淋用水配套水箱1.2m</w:t>
            </w:r>
            <w:r>
              <w:rPr>
                <w:rFonts w:hint="eastAsia" w:ascii="Times New Roman" w:hAnsi="Times New Roman"/>
                <w:vertAlign w:val="superscript"/>
                <w:lang w:eastAsia="zh-CN"/>
              </w:rPr>
              <w:t>3</w:t>
            </w:r>
            <w:r>
              <w:rPr>
                <w:rFonts w:hint="eastAsia" w:ascii="Times New Roman" w:hAnsi="Times New Roman"/>
                <w:lang w:eastAsia="zh-CN"/>
              </w:rPr>
              <w:t>，每季度更换一次，更换废水总量为9.6m</w:t>
            </w:r>
            <w:r>
              <w:rPr>
                <w:rFonts w:hint="eastAsia" w:ascii="Times New Roman" w:hAnsi="Times New Roman"/>
                <w:vertAlign w:val="superscript"/>
                <w:lang w:eastAsia="zh-CN"/>
              </w:rPr>
              <w:t>3</w:t>
            </w:r>
            <w:r>
              <w:rPr>
                <w:rFonts w:hint="eastAsia" w:ascii="Times New Roman" w:hAnsi="Times New Roman"/>
                <w:lang w:eastAsia="zh-CN"/>
              </w:rPr>
              <w:t>/a，产生的喷淋废水委托有资质单位处置，不外排</w:t>
            </w:r>
            <w:r>
              <w:rPr>
                <w:rFonts w:ascii="Times New Roman" w:hAnsi="Times New Roman"/>
                <w:lang w:eastAsia="zh-CN"/>
              </w:rPr>
              <w:t>。</w:t>
            </w:r>
          </w:p>
          <w:p>
            <w:pPr>
              <w:widowControl/>
              <w:spacing w:line="360" w:lineRule="auto"/>
              <w:ind w:left="420" w:leftChars="200"/>
              <w:rPr>
                <w:b/>
                <w:bCs/>
              </w:rPr>
            </w:pPr>
            <w:r>
              <w:rPr>
                <w:rFonts w:hint="eastAsia"/>
                <w:b/>
                <w:bCs/>
              </w:rPr>
              <w:t>（3）</w:t>
            </w:r>
            <w:r>
              <w:rPr>
                <w:b/>
                <w:bCs/>
              </w:rPr>
              <w:t>员工生活用水</w:t>
            </w:r>
          </w:p>
          <w:p>
            <w:pPr>
              <w:pStyle w:val="26"/>
              <w:spacing w:line="360" w:lineRule="auto"/>
              <w:ind w:left="0" w:leftChars="0" w:firstLine="420" w:firstLineChars="200"/>
              <w:rPr>
                <w:lang w:eastAsia="zh-CN"/>
              </w:rPr>
            </w:pPr>
            <w:r>
              <w:rPr>
                <w:rFonts w:ascii="Times New Roman" w:hAnsi="Times New Roman"/>
                <w:lang w:eastAsia="zh-CN"/>
              </w:rPr>
              <w:t>员工20人，</w:t>
            </w:r>
            <w:r>
              <w:rPr>
                <w:rStyle w:val="112"/>
                <w:rFonts w:hint="eastAsia" w:ascii="Times New Roman" w:hAnsi="Times New Roman"/>
                <w:lang w:eastAsia="zh-CN"/>
              </w:rPr>
              <w:t>均在厂内食宿</w:t>
            </w:r>
            <w:r>
              <w:rPr>
                <w:rFonts w:ascii="Times New Roman" w:hAnsi="Times New Roman"/>
                <w:lang w:eastAsia="zh-CN"/>
              </w:rPr>
              <w:t>，项目</w:t>
            </w:r>
            <w:r>
              <w:rPr>
                <w:rFonts w:hint="eastAsia" w:ascii="Times New Roman" w:hAnsi="Times New Roman"/>
                <w:lang w:eastAsia="zh-CN"/>
              </w:rPr>
              <w:t>产生</w:t>
            </w:r>
            <w:r>
              <w:rPr>
                <w:rFonts w:ascii="Times New Roman" w:hAnsi="Times New Roman"/>
                <w:lang w:eastAsia="zh-CN"/>
              </w:rPr>
              <w:t>生活</w:t>
            </w:r>
            <w:r>
              <w:rPr>
                <w:rFonts w:hint="eastAsia" w:ascii="Times New Roman" w:hAnsi="Times New Roman"/>
                <w:lang w:eastAsia="zh-CN"/>
              </w:rPr>
              <w:t>污水</w:t>
            </w:r>
            <w:r>
              <w:rPr>
                <w:rFonts w:ascii="Times New Roman" w:hAnsi="Times New Roman"/>
                <w:lang w:eastAsia="zh-CN"/>
              </w:rPr>
              <w:t>为</w:t>
            </w:r>
            <w:r>
              <w:rPr>
                <w:rFonts w:hint="eastAsia" w:ascii="Times New Roman" w:hAnsi="Times New Roman"/>
                <w:lang w:eastAsia="zh-CN"/>
              </w:rPr>
              <w:t>270</w:t>
            </w:r>
            <w:r>
              <w:rPr>
                <w:rFonts w:ascii="Times New Roman" w:hAnsi="Times New Roman"/>
                <w:lang w:eastAsia="zh-CN"/>
              </w:rPr>
              <w:t>m</w:t>
            </w:r>
            <w:r>
              <w:rPr>
                <w:rFonts w:ascii="Times New Roman" w:hAnsi="Times New Roman"/>
                <w:vertAlign w:val="superscript"/>
                <w:lang w:eastAsia="zh-CN"/>
              </w:rPr>
              <w:t>3</w:t>
            </w:r>
            <w:r>
              <w:rPr>
                <w:rFonts w:ascii="Times New Roman" w:hAnsi="Times New Roman"/>
                <w:lang w:eastAsia="zh-CN"/>
              </w:rPr>
              <w:t>/a，</w:t>
            </w:r>
            <w:r>
              <w:rPr>
                <w:rFonts w:hint="eastAsia" w:ascii="Times New Roman" w:hAnsi="Times New Roman"/>
                <w:lang w:eastAsia="zh-CN"/>
              </w:rPr>
              <w:t>1</w:t>
            </w:r>
            <w:r>
              <w:rPr>
                <w:rFonts w:ascii="Times New Roman" w:hAnsi="Times New Roman"/>
                <w:lang w:eastAsia="zh-CN"/>
              </w:rPr>
              <w:t>m</w:t>
            </w:r>
            <w:r>
              <w:rPr>
                <w:rFonts w:ascii="Times New Roman" w:hAnsi="Times New Roman"/>
                <w:vertAlign w:val="superscript"/>
                <w:lang w:eastAsia="zh-CN"/>
              </w:rPr>
              <w:t>3</w:t>
            </w:r>
            <w:r>
              <w:rPr>
                <w:rFonts w:ascii="Times New Roman" w:hAnsi="Times New Roman"/>
                <w:lang w:eastAsia="zh-CN"/>
              </w:rPr>
              <w:t>/d（以300天计算）</w:t>
            </w:r>
            <w:r>
              <w:rPr>
                <w:rFonts w:hint="eastAsia" w:ascii="Times New Roman" w:hAnsi="Times New Roman"/>
                <w:lang w:eastAsia="zh-CN"/>
              </w:rPr>
              <w:t>，生活污水主要污染物为</w:t>
            </w:r>
            <w:r>
              <w:rPr>
                <w:rFonts w:ascii="Times New Roman" w:hAnsi="Times New Roman"/>
              </w:rPr>
              <w:t>COD</w:t>
            </w:r>
            <w:r>
              <w:rPr>
                <w:rFonts w:ascii="Times New Roman" w:hAnsi="Times New Roman"/>
                <w:vertAlign w:val="subscript"/>
              </w:rPr>
              <w:t>Cr</w:t>
            </w:r>
            <w:r>
              <w:rPr>
                <w:rFonts w:hint="eastAsia" w:ascii="Times New Roman" w:hAnsi="Times New Roman"/>
                <w:lang w:eastAsia="zh-CN"/>
              </w:rPr>
              <w:t>、</w:t>
            </w:r>
            <w:r>
              <w:rPr>
                <w:rFonts w:ascii="Times New Roman" w:hAnsi="Times New Roman"/>
              </w:rPr>
              <w:t>BOD</w:t>
            </w:r>
            <w:r>
              <w:rPr>
                <w:rFonts w:ascii="Times New Roman" w:hAnsi="Times New Roman"/>
                <w:vertAlign w:val="subscript"/>
              </w:rPr>
              <w:t>5</w:t>
            </w:r>
            <w:r>
              <w:rPr>
                <w:rFonts w:hint="eastAsia" w:ascii="Times New Roman" w:hAnsi="Times New Roman"/>
                <w:lang w:eastAsia="zh-CN"/>
              </w:rPr>
              <w:t>、</w:t>
            </w:r>
            <w:r>
              <w:rPr>
                <w:rFonts w:ascii="Times New Roman" w:hAnsi="Times New Roman"/>
              </w:rPr>
              <w:t>NH</w:t>
            </w:r>
            <w:r>
              <w:rPr>
                <w:rFonts w:ascii="Times New Roman" w:hAnsi="Times New Roman"/>
                <w:vertAlign w:val="subscript"/>
              </w:rPr>
              <w:t>3</w:t>
            </w:r>
            <w:r>
              <w:rPr>
                <w:rFonts w:ascii="Times New Roman" w:hAnsi="Times New Roman"/>
              </w:rPr>
              <w:t>-N</w:t>
            </w:r>
            <w:r>
              <w:rPr>
                <w:rFonts w:hint="eastAsia" w:ascii="Times New Roman" w:hAnsi="Times New Roman"/>
                <w:lang w:eastAsia="zh-CN"/>
              </w:rPr>
              <w:t>、</w:t>
            </w:r>
            <w:r>
              <w:rPr>
                <w:rFonts w:ascii="Times New Roman" w:hAnsi="Times New Roman"/>
              </w:rPr>
              <w:t>TP</w:t>
            </w:r>
            <w:r>
              <w:rPr>
                <w:rFonts w:hint="eastAsia" w:ascii="Times New Roman" w:hAnsi="Times New Roman"/>
                <w:lang w:eastAsia="zh-CN"/>
              </w:rPr>
              <w:t>，具体产生排放情况见下表所示。</w:t>
            </w:r>
          </w:p>
          <w:p>
            <w:pPr>
              <w:adjustRightInd w:val="0"/>
              <w:snapToGrid w:val="0"/>
              <w:spacing w:line="360" w:lineRule="auto"/>
              <w:jc w:val="center"/>
              <w:rPr>
                <w:b/>
              </w:rPr>
            </w:pPr>
            <w:r>
              <w:rPr>
                <w:b/>
              </w:rPr>
              <w:t>表4-13 废水污染物源强核算结果表</w:t>
            </w:r>
          </w:p>
          <w:tbl>
            <w:tblPr>
              <w:tblStyle w:val="101"/>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840"/>
              <w:gridCol w:w="899"/>
              <w:gridCol w:w="1116"/>
              <w:gridCol w:w="427"/>
              <w:gridCol w:w="485"/>
              <w:gridCol w:w="581"/>
              <w:gridCol w:w="871"/>
              <w:gridCol w:w="1004"/>
              <w:gridCol w:w="1116"/>
              <w:gridCol w:w="427"/>
              <w:gridCol w:w="455"/>
              <w:gridCol w:w="6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vMerge w:val="restar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产排污环节</w:t>
                  </w:r>
                </w:p>
              </w:tc>
              <w:tc>
                <w:tcPr>
                  <w:tcW w:w="455" w:type="pct"/>
                  <w:vMerge w:val="restar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污染物种类</w:t>
                  </w:r>
                </w:p>
              </w:tc>
              <w:tc>
                <w:tcPr>
                  <w:tcW w:w="1070" w:type="pct"/>
                  <w:gridSpan w:val="2"/>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污染物产生情况</w:t>
                  </w:r>
                </w:p>
              </w:tc>
              <w:tc>
                <w:tcPr>
                  <w:tcW w:w="229" w:type="pct"/>
                  <w:vMerge w:val="restar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治理工艺</w:t>
                  </w:r>
                </w:p>
              </w:tc>
              <w:tc>
                <w:tcPr>
                  <w:tcW w:w="2191" w:type="pct"/>
                  <w:gridSpan w:val="5"/>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污染物排放情况</w:t>
                  </w:r>
                </w:p>
              </w:tc>
              <w:tc>
                <w:tcPr>
                  <w:tcW w:w="229" w:type="pct"/>
                  <w:vMerge w:val="restar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排放方式</w:t>
                  </w:r>
                </w:p>
              </w:tc>
              <w:tc>
                <w:tcPr>
                  <w:tcW w:w="248" w:type="pct"/>
                  <w:vMerge w:val="restar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排放去向</w:t>
                  </w:r>
                </w:p>
              </w:tc>
              <w:tc>
                <w:tcPr>
                  <w:tcW w:w="343" w:type="pct"/>
                  <w:vMerge w:val="restar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排放规律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29" w:type="pct"/>
                  <w:vMerge w:val="continue"/>
                  <w:vAlign w:val="center"/>
                </w:tcPr>
                <w:p>
                  <w:pPr>
                    <w:pStyle w:val="2"/>
                    <w:jc w:val="center"/>
                    <w:rPr>
                      <w:rFonts w:ascii="Times New Roman" w:hAnsi="Times New Roman" w:cs="Times New Roman"/>
                      <w:b/>
                      <w:bCs/>
                      <w:color w:val="auto"/>
                      <w:sz w:val="21"/>
                      <w:szCs w:val="21"/>
                    </w:rPr>
                  </w:pPr>
                </w:p>
              </w:tc>
              <w:tc>
                <w:tcPr>
                  <w:tcW w:w="455" w:type="pct"/>
                  <w:vMerge w:val="continue"/>
                  <w:vAlign w:val="center"/>
                </w:tcPr>
                <w:p>
                  <w:pPr>
                    <w:pStyle w:val="2"/>
                    <w:jc w:val="center"/>
                    <w:rPr>
                      <w:rFonts w:ascii="Times New Roman" w:hAnsi="Times New Roman" w:cs="Times New Roman"/>
                      <w:b/>
                      <w:bCs/>
                      <w:color w:val="auto"/>
                      <w:sz w:val="21"/>
                      <w:szCs w:val="21"/>
                    </w:rPr>
                  </w:pPr>
                </w:p>
              </w:tc>
              <w:tc>
                <w:tcPr>
                  <w:tcW w:w="469"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产生量（t/a）</w:t>
                  </w:r>
                </w:p>
              </w:tc>
              <w:tc>
                <w:tcPr>
                  <w:tcW w:w="601"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产生浓度（mg/L）</w:t>
                  </w:r>
                </w:p>
              </w:tc>
              <w:tc>
                <w:tcPr>
                  <w:tcW w:w="229" w:type="pct"/>
                  <w:vMerge w:val="continue"/>
                  <w:vAlign w:val="center"/>
                </w:tcPr>
                <w:p>
                  <w:pPr>
                    <w:pStyle w:val="2"/>
                    <w:jc w:val="center"/>
                    <w:rPr>
                      <w:rFonts w:ascii="Times New Roman" w:hAnsi="Times New Roman" w:cs="Times New Roman"/>
                      <w:b/>
                      <w:bCs/>
                      <w:color w:val="auto"/>
                      <w:sz w:val="21"/>
                      <w:szCs w:val="21"/>
                    </w:rPr>
                  </w:pPr>
                </w:p>
              </w:tc>
              <w:tc>
                <w:tcPr>
                  <w:tcW w:w="261"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治理效率/%</w:t>
                  </w:r>
                </w:p>
              </w:tc>
              <w:tc>
                <w:tcPr>
                  <w:tcW w:w="317"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是否为可行技术</w:t>
                  </w:r>
                </w:p>
              </w:tc>
              <w:tc>
                <w:tcPr>
                  <w:tcW w:w="469"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废水排放量（t/a）</w:t>
                  </w:r>
                </w:p>
              </w:tc>
              <w:tc>
                <w:tcPr>
                  <w:tcW w:w="540"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排放量（t/a）</w:t>
                  </w:r>
                </w:p>
              </w:tc>
              <w:tc>
                <w:tcPr>
                  <w:tcW w:w="602" w:type="pct"/>
                  <w:vAlign w:val="center"/>
                </w:tcPr>
                <w:p>
                  <w:pPr>
                    <w:pStyle w:val="2"/>
                    <w:jc w:val="center"/>
                    <w:rPr>
                      <w:rFonts w:ascii="Times New Roman" w:hAnsi="Times New Roman" w:cs="Times New Roman"/>
                      <w:b/>
                      <w:bCs/>
                      <w:color w:val="auto"/>
                      <w:sz w:val="21"/>
                      <w:szCs w:val="21"/>
                    </w:rPr>
                  </w:pPr>
                  <w:r>
                    <w:rPr>
                      <w:rFonts w:ascii="Times New Roman" w:hAnsi="Times New Roman" w:cs="Times New Roman"/>
                      <w:b/>
                      <w:bCs/>
                      <w:color w:val="auto"/>
                      <w:sz w:val="21"/>
                      <w:szCs w:val="21"/>
                    </w:rPr>
                    <w:t>排放浓度（mg/L）</w:t>
                  </w:r>
                </w:p>
              </w:tc>
              <w:tc>
                <w:tcPr>
                  <w:tcW w:w="229" w:type="pct"/>
                  <w:vMerge w:val="continue"/>
                  <w:vAlign w:val="center"/>
                </w:tcPr>
                <w:p>
                  <w:pPr>
                    <w:pStyle w:val="2"/>
                    <w:jc w:val="center"/>
                    <w:rPr>
                      <w:rFonts w:ascii="Times New Roman" w:hAnsi="Times New Roman" w:cs="Times New Roman"/>
                      <w:b/>
                      <w:bCs/>
                      <w:color w:val="auto"/>
                      <w:sz w:val="21"/>
                      <w:szCs w:val="21"/>
                    </w:rPr>
                  </w:pPr>
                </w:p>
              </w:tc>
              <w:tc>
                <w:tcPr>
                  <w:tcW w:w="248" w:type="pct"/>
                  <w:vMerge w:val="continue"/>
                  <w:vAlign w:val="center"/>
                </w:tcPr>
                <w:p>
                  <w:pPr>
                    <w:pStyle w:val="2"/>
                    <w:jc w:val="center"/>
                    <w:rPr>
                      <w:rFonts w:ascii="Times New Roman" w:hAnsi="Times New Roman" w:cs="Times New Roman"/>
                      <w:b/>
                      <w:bCs/>
                      <w:color w:val="auto"/>
                      <w:sz w:val="21"/>
                      <w:szCs w:val="21"/>
                    </w:rPr>
                  </w:pPr>
                </w:p>
              </w:tc>
              <w:tc>
                <w:tcPr>
                  <w:tcW w:w="343" w:type="pct"/>
                  <w:vMerge w:val="continue"/>
                  <w:vAlign w:val="center"/>
                </w:tcPr>
                <w:p>
                  <w:pPr>
                    <w:pStyle w:val="2"/>
                    <w:jc w:val="center"/>
                    <w:rPr>
                      <w:rFonts w:ascii="Times New Roman" w:hAnsi="Times New Roman" w:cs="Times New Roman"/>
                      <w:b/>
                      <w:bCs/>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生活污水</w:t>
                  </w:r>
                </w:p>
              </w:tc>
              <w:tc>
                <w:tcPr>
                  <w:tcW w:w="455"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COD</w:t>
                  </w:r>
                  <w:r>
                    <w:rPr>
                      <w:rFonts w:ascii="Times New Roman" w:hAnsi="Times New Roman" w:cs="Times New Roman"/>
                      <w:color w:val="auto"/>
                      <w:sz w:val="21"/>
                      <w:szCs w:val="21"/>
                      <w:vertAlign w:val="subscript"/>
                    </w:rPr>
                    <w:t>Cr</w:t>
                  </w:r>
                </w:p>
              </w:tc>
              <w:tc>
                <w:tcPr>
                  <w:tcW w:w="469" w:type="pct"/>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0.0756</w:t>
                  </w:r>
                </w:p>
              </w:tc>
              <w:tc>
                <w:tcPr>
                  <w:tcW w:w="601"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280</w:t>
                  </w:r>
                </w:p>
              </w:tc>
              <w:tc>
                <w:tcPr>
                  <w:tcW w:w="229" w:type="pct"/>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三级化粪池</w:t>
                  </w:r>
                </w:p>
              </w:tc>
              <w:tc>
                <w:tcPr>
                  <w:tcW w:w="261" w:type="pct"/>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w:t>
                  </w:r>
                </w:p>
              </w:tc>
              <w:tc>
                <w:tcPr>
                  <w:tcW w:w="317" w:type="pct"/>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是</w:t>
                  </w:r>
                </w:p>
              </w:tc>
              <w:tc>
                <w:tcPr>
                  <w:tcW w:w="469" w:type="pct"/>
                  <w:vMerge w:val="restart"/>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270</w:t>
                  </w:r>
                </w:p>
              </w:tc>
              <w:tc>
                <w:tcPr>
                  <w:tcW w:w="540" w:type="pct"/>
                  <w:vAlign w:val="center"/>
                </w:tcPr>
                <w:p>
                  <w:pPr>
                    <w:jc w:val="center"/>
                  </w:pPr>
                  <w:r>
                    <w:rPr>
                      <w:rFonts w:hint="eastAsia"/>
                    </w:rPr>
                    <w:t>0.0108</w:t>
                  </w:r>
                </w:p>
              </w:tc>
              <w:tc>
                <w:tcPr>
                  <w:tcW w:w="602"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40</w:t>
                  </w:r>
                </w:p>
              </w:tc>
              <w:tc>
                <w:tcPr>
                  <w:tcW w:w="229" w:type="pct"/>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间接排放</w:t>
                  </w:r>
                </w:p>
              </w:tc>
              <w:tc>
                <w:tcPr>
                  <w:tcW w:w="248" w:type="pct"/>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园洲镇第三生活污水处理厂</w:t>
                  </w:r>
                </w:p>
              </w:tc>
              <w:tc>
                <w:tcPr>
                  <w:tcW w:w="343" w:type="pct"/>
                  <w:vMerge w:val="restar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间段排放、排放期间流量稳定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vAlign w:val="center"/>
                </w:tcPr>
                <w:p>
                  <w:pPr>
                    <w:pStyle w:val="2"/>
                    <w:jc w:val="center"/>
                    <w:rPr>
                      <w:rFonts w:ascii="Times New Roman" w:hAnsi="Times New Roman" w:cs="Times New Roman"/>
                      <w:color w:val="auto"/>
                      <w:sz w:val="21"/>
                      <w:szCs w:val="21"/>
                    </w:rPr>
                  </w:pPr>
                </w:p>
              </w:tc>
              <w:tc>
                <w:tcPr>
                  <w:tcW w:w="455"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BOD</w:t>
                  </w:r>
                  <w:r>
                    <w:rPr>
                      <w:rFonts w:ascii="Times New Roman" w:hAnsi="Times New Roman" w:cs="Times New Roman"/>
                      <w:color w:val="auto"/>
                      <w:sz w:val="21"/>
                      <w:szCs w:val="21"/>
                      <w:vertAlign w:val="subscript"/>
                    </w:rPr>
                    <w:t>5</w:t>
                  </w:r>
                </w:p>
              </w:tc>
              <w:tc>
                <w:tcPr>
                  <w:tcW w:w="469" w:type="pct"/>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0.054</w:t>
                  </w:r>
                </w:p>
              </w:tc>
              <w:tc>
                <w:tcPr>
                  <w:tcW w:w="601"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200</w:t>
                  </w:r>
                </w:p>
              </w:tc>
              <w:tc>
                <w:tcPr>
                  <w:tcW w:w="229" w:type="pct"/>
                  <w:vMerge w:val="continue"/>
                  <w:vAlign w:val="center"/>
                </w:tcPr>
                <w:p>
                  <w:pPr>
                    <w:pStyle w:val="2"/>
                    <w:jc w:val="center"/>
                    <w:rPr>
                      <w:rFonts w:ascii="Times New Roman" w:hAnsi="Times New Roman" w:cs="Times New Roman"/>
                      <w:color w:val="auto"/>
                      <w:sz w:val="21"/>
                      <w:szCs w:val="21"/>
                    </w:rPr>
                  </w:pPr>
                </w:p>
              </w:tc>
              <w:tc>
                <w:tcPr>
                  <w:tcW w:w="261" w:type="pct"/>
                  <w:vMerge w:val="continue"/>
                  <w:vAlign w:val="center"/>
                </w:tcPr>
                <w:p>
                  <w:pPr>
                    <w:pStyle w:val="2"/>
                    <w:jc w:val="center"/>
                    <w:rPr>
                      <w:rFonts w:ascii="Times New Roman" w:hAnsi="Times New Roman" w:cs="Times New Roman"/>
                      <w:color w:val="auto"/>
                      <w:sz w:val="21"/>
                      <w:szCs w:val="21"/>
                    </w:rPr>
                  </w:pPr>
                </w:p>
              </w:tc>
              <w:tc>
                <w:tcPr>
                  <w:tcW w:w="317" w:type="pct"/>
                  <w:vMerge w:val="continue"/>
                  <w:vAlign w:val="center"/>
                </w:tcPr>
                <w:p>
                  <w:pPr>
                    <w:pStyle w:val="2"/>
                    <w:jc w:val="center"/>
                    <w:rPr>
                      <w:rFonts w:ascii="Times New Roman" w:hAnsi="Times New Roman" w:cs="Times New Roman"/>
                      <w:color w:val="auto"/>
                      <w:sz w:val="21"/>
                      <w:szCs w:val="21"/>
                    </w:rPr>
                  </w:pPr>
                </w:p>
              </w:tc>
              <w:tc>
                <w:tcPr>
                  <w:tcW w:w="469" w:type="pct"/>
                  <w:vMerge w:val="continue"/>
                  <w:vAlign w:val="center"/>
                </w:tcPr>
                <w:p>
                  <w:pPr>
                    <w:pStyle w:val="2"/>
                    <w:jc w:val="center"/>
                    <w:rPr>
                      <w:rFonts w:ascii="Times New Roman" w:hAnsi="Times New Roman" w:cs="Times New Roman"/>
                      <w:color w:val="auto"/>
                      <w:sz w:val="21"/>
                      <w:szCs w:val="21"/>
                    </w:rPr>
                  </w:pPr>
                </w:p>
              </w:tc>
              <w:tc>
                <w:tcPr>
                  <w:tcW w:w="540" w:type="pct"/>
                  <w:vAlign w:val="center"/>
                </w:tcPr>
                <w:p>
                  <w:pPr>
                    <w:jc w:val="center"/>
                  </w:pPr>
                  <w:r>
                    <w:rPr>
                      <w:rFonts w:hint="eastAsia"/>
                    </w:rPr>
                    <w:t>0.0027</w:t>
                  </w:r>
                </w:p>
              </w:tc>
              <w:tc>
                <w:tcPr>
                  <w:tcW w:w="602"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10</w:t>
                  </w:r>
                </w:p>
              </w:tc>
              <w:tc>
                <w:tcPr>
                  <w:tcW w:w="229" w:type="pct"/>
                  <w:vMerge w:val="continue"/>
                  <w:vAlign w:val="center"/>
                </w:tcPr>
                <w:p>
                  <w:pPr>
                    <w:pStyle w:val="2"/>
                    <w:jc w:val="center"/>
                    <w:rPr>
                      <w:rFonts w:ascii="Times New Roman" w:hAnsi="Times New Roman" w:cs="Times New Roman"/>
                      <w:color w:val="auto"/>
                      <w:sz w:val="21"/>
                      <w:szCs w:val="21"/>
                    </w:rPr>
                  </w:pPr>
                </w:p>
              </w:tc>
              <w:tc>
                <w:tcPr>
                  <w:tcW w:w="248" w:type="pct"/>
                  <w:vMerge w:val="continue"/>
                  <w:vAlign w:val="center"/>
                </w:tcPr>
                <w:p>
                  <w:pPr>
                    <w:pStyle w:val="2"/>
                    <w:jc w:val="center"/>
                    <w:rPr>
                      <w:rFonts w:ascii="Times New Roman" w:hAnsi="Times New Roman" w:cs="Times New Roman"/>
                      <w:color w:val="auto"/>
                      <w:sz w:val="21"/>
                      <w:szCs w:val="21"/>
                    </w:rPr>
                  </w:pPr>
                </w:p>
              </w:tc>
              <w:tc>
                <w:tcPr>
                  <w:tcW w:w="343" w:type="pct"/>
                  <w:vMerge w:val="continue"/>
                  <w:vAlign w:val="center"/>
                </w:tcPr>
                <w:p>
                  <w:pPr>
                    <w:pStyle w:val="2"/>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vAlign w:val="center"/>
                </w:tcPr>
                <w:p>
                  <w:pPr>
                    <w:pStyle w:val="2"/>
                    <w:jc w:val="center"/>
                    <w:rPr>
                      <w:rFonts w:ascii="Times New Roman" w:hAnsi="Times New Roman" w:cs="Times New Roman"/>
                      <w:color w:val="auto"/>
                      <w:sz w:val="21"/>
                      <w:szCs w:val="21"/>
                    </w:rPr>
                  </w:pPr>
                </w:p>
              </w:tc>
              <w:tc>
                <w:tcPr>
                  <w:tcW w:w="455"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SS</w:t>
                  </w:r>
                </w:p>
              </w:tc>
              <w:tc>
                <w:tcPr>
                  <w:tcW w:w="469" w:type="pct"/>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0.054</w:t>
                  </w:r>
                </w:p>
              </w:tc>
              <w:tc>
                <w:tcPr>
                  <w:tcW w:w="601"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200</w:t>
                  </w:r>
                </w:p>
              </w:tc>
              <w:tc>
                <w:tcPr>
                  <w:tcW w:w="229" w:type="pct"/>
                  <w:vMerge w:val="continue"/>
                  <w:vAlign w:val="center"/>
                </w:tcPr>
                <w:p>
                  <w:pPr>
                    <w:pStyle w:val="2"/>
                    <w:jc w:val="center"/>
                    <w:rPr>
                      <w:rFonts w:ascii="Times New Roman" w:hAnsi="Times New Roman" w:cs="Times New Roman"/>
                      <w:color w:val="auto"/>
                      <w:sz w:val="21"/>
                      <w:szCs w:val="21"/>
                    </w:rPr>
                  </w:pPr>
                </w:p>
              </w:tc>
              <w:tc>
                <w:tcPr>
                  <w:tcW w:w="261" w:type="pct"/>
                  <w:vMerge w:val="continue"/>
                  <w:vAlign w:val="center"/>
                </w:tcPr>
                <w:p>
                  <w:pPr>
                    <w:pStyle w:val="2"/>
                    <w:jc w:val="center"/>
                    <w:rPr>
                      <w:rFonts w:ascii="Times New Roman" w:hAnsi="Times New Roman" w:cs="Times New Roman"/>
                      <w:color w:val="auto"/>
                      <w:sz w:val="21"/>
                      <w:szCs w:val="21"/>
                    </w:rPr>
                  </w:pPr>
                </w:p>
              </w:tc>
              <w:tc>
                <w:tcPr>
                  <w:tcW w:w="317" w:type="pct"/>
                  <w:vMerge w:val="continue"/>
                  <w:vAlign w:val="center"/>
                </w:tcPr>
                <w:p>
                  <w:pPr>
                    <w:pStyle w:val="2"/>
                    <w:jc w:val="center"/>
                    <w:rPr>
                      <w:rFonts w:ascii="Times New Roman" w:hAnsi="Times New Roman" w:cs="Times New Roman"/>
                      <w:color w:val="auto"/>
                      <w:sz w:val="21"/>
                      <w:szCs w:val="21"/>
                    </w:rPr>
                  </w:pPr>
                </w:p>
              </w:tc>
              <w:tc>
                <w:tcPr>
                  <w:tcW w:w="469" w:type="pct"/>
                  <w:vMerge w:val="continue"/>
                  <w:vAlign w:val="center"/>
                </w:tcPr>
                <w:p>
                  <w:pPr>
                    <w:pStyle w:val="2"/>
                    <w:jc w:val="center"/>
                    <w:rPr>
                      <w:rFonts w:ascii="Times New Roman" w:hAnsi="Times New Roman" w:cs="Times New Roman"/>
                      <w:color w:val="auto"/>
                      <w:sz w:val="21"/>
                      <w:szCs w:val="21"/>
                    </w:rPr>
                  </w:pPr>
                </w:p>
              </w:tc>
              <w:tc>
                <w:tcPr>
                  <w:tcW w:w="540" w:type="pct"/>
                  <w:vAlign w:val="center"/>
                </w:tcPr>
                <w:p>
                  <w:pPr>
                    <w:jc w:val="center"/>
                  </w:pPr>
                  <w:r>
                    <w:rPr>
                      <w:rFonts w:hint="eastAsia"/>
                    </w:rPr>
                    <w:t>0.0027</w:t>
                  </w:r>
                </w:p>
              </w:tc>
              <w:tc>
                <w:tcPr>
                  <w:tcW w:w="602"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10</w:t>
                  </w:r>
                </w:p>
              </w:tc>
              <w:tc>
                <w:tcPr>
                  <w:tcW w:w="229" w:type="pct"/>
                  <w:vMerge w:val="continue"/>
                  <w:vAlign w:val="center"/>
                </w:tcPr>
                <w:p>
                  <w:pPr>
                    <w:pStyle w:val="2"/>
                    <w:jc w:val="center"/>
                    <w:rPr>
                      <w:rFonts w:ascii="Times New Roman" w:hAnsi="Times New Roman" w:cs="Times New Roman"/>
                      <w:color w:val="auto"/>
                      <w:sz w:val="21"/>
                      <w:szCs w:val="21"/>
                    </w:rPr>
                  </w:pPr>
                </w:p>
              </w:tc>
              <w:tc>
                <w:tcPr>
                  <w:tcW w:w="248" w:type="pct"/>
                  <w:vMerge w:val="continue"/>
                  <w:vAlign w:val="center"/>
                </w:tcPr>
                <w:p>
                  <w:pPr>
                    <w:pStyle w:val="2"/>
                    <w:jc w:val="center"/>
                    <w:rPr>
                      <w:rFonts w:ascii="Times New Roman" w:hAnsi="Times New Roman" w:cs="Times New Roman"/>
                      <w:color w:val="auto"/>
                      <w:sz w:val="21"/>
                      <w:szCs w:val="21"/>
                    </w:rPr>
                  </w:pPr>
                </w:p>
              </w:tc>
              <w:tc>
                <w:tcPr>
                  <w:tcW w:w="343" w:type="pct"/>
                  <w:vMerge w:val="continue"/>
                  <w:vAlign w:val="center"/>
                </w:tcPr>
                <w:p>
                  <w:pPr>
                    <w:pStyle w:val="2"/>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vAlign w:val="center"/>
                </w:tcPr>
                <w:p>
                  <w:pPr>
                    <w:pStyle w:val="2"/>
                    <w:jc w:val="center"/>
                    <w:rPr>
                      <w:rFonts w:ascii="Times New Roman" w:hAnsi="Times New Roman" w:cs="Times New Roman"/>
                      <w:color w:val="auto"/>
                      <w:sz w:val="21"/>
                      <w:szCs w:val="21"/>
                    </w:rPr>
                  </w:pPr>
                </w:p>
              </w:tc>
              <w:tc>
                <w:tcPr>
                  <w:tcW w:w="455"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NH</w:t>
                  </w:r>
                  <w:r>
                    <w:rPr>
                      <w:rFonts w:ascii="Times New Roman" w:hAnsi="Times New Roman" w:cs="Times New Roman"/>
                      <w:color w:val="auto"/>
                      <w:sz w:val="21"/>
                      <w:szCs w:val="21"/>
                      <w:vertAlign w:val="subscript"/>
                    </w:rPr>
                    <w:t>3</w:t>
                  </w:r>
                  <w:r>
                    <w:rPr>
                      <w:rFonts w:ascii="Times New Roman" w:hAnsi="Times New Roman" w:cs="Times New Roman"/>
                      <w:color w:val="auto"/>
                      <w:sz w:val="21"/>
                      <w:szCs w:val="21"/>
                    </w:rPr>
                    <w:t>-N</w:t>
                  </w:r>
                </w:p>
              </w:tc>
              <w:tc>
                <w:tcPr>
                  <w:tcW w:w="469" w:type="pct"/>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0.0081</w:t>
                  </w:r>
                </w:p>
              </w:tc>
              <w:tc>
                <w:tcPr>
                  <w:tcW w:w="601"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30</w:t>
                  </w:r>
                </w:p>
              </w:tc>
              <w:tc>
                <w:tcPr>
                  <w:tcW w:w="229" w:type="pct"/>
                  <w:vMerge w:val="continue"/>
                  <w:vAlign w:val="center"/>
                </w:tcPr>
                <w:p>
                  <w:pPr>
                    <w:pStyle w:val="2"/>
                    <w:jc w:val="center"/>
                    <w:rPr>
                      <w:rFonts w:ascii="Times New Roman" w:hAnsi="Times New Roman" w:cs="Times New Roman"/>
                      <w:color w:val="auto"/>
                      <w:sz w:val="21"/>
                      <w:szCs w:val="21"/>
                    </w:rPr>
                  </w:pPr>
                </w:p>
              </w:tc>
              <w:tc>
                <w:tcPr>
                  <w:tcW w:w="261" w:type="pct"/>
                  <w:vMerge w:val="continue"/>
                  <w:vAlign w:val="center"/>
                </w:tcPr>
                <w:p>
                  <w:pPr>
                    <w:pStyle w:val="2"/>
                    <w:jc w:val="center"/>
                    <w:rPr>
                      <w:rFonts w:ascii="Times New Roman" w:hAnsi="Times New Roman" w:cs="Times New Roman"/>
                      <w:color w:val="auto"/>
                      <w:sz w:val="21"/>
                      <w:szCs w:val="21"/>
                    </w:rPr>
                  </w:pPr>
                </w:p>
              </w:tc>
              <w:tc>
                <w:tcPr>
                  <w:tcW w:w="317" w:type="pct"/>
                  <w:vMerge w:val="continue"/>
                  <w:vAlign w:val="center"/>
                </w:tcPr>
                <w:p>
                  <w:pPr>
                    <w:pStyle w:val="2"/>
                    <w:jc w:val="center"/>
                    <w:rPr>
                      <w:rFonts w:ascii="Times New Roman" w:hAnsi="Times New Roman" w:cs="Times New Roman"/>
                      <w:color w:val="auto"/>
                      <w:sz w:val="21"/>
                      <w:szCs w:val="21"/>
                    </w:rPr>
                  </w:pPr>
                </w:p>
              </w:tc>
              <w:tc>
                <w:tcPr>
                  <w:tcW w:w="469" w:type="pct"/>
                  <w:vMerge w:val="continue"/>
                  <w:vAlign w:val="center"/>
                </w:tcPr>
                <w:p>
                  <w:pPr>
                    <w:pStyle w:val="2"/>
                    <w:jc w:val="center"/>
                    <w:rPr>
                      <w:rFonts w:ascii="Times New Roman" w:hAnsi="Times New Roman" w:cs="Times New Roman"/>
                      <w:color w:val="auto"/>
                      <w:sz w:val="21"/>
                      <w:szCs w:val="21"/>
                    </w:rPr>
                  </w:pPr>
                </w:p>
              </w:tc>
              <w:tc>
                <w:tcPr>
                  <w:tcW w:w="540" w:type="pct"/>
                  <w:vAlign w:val="center"/>
                </w:tcPr>
                <w:p>
                  <w:pPr>
                    <w:jc w:val="center"/>
                  </w:pPr>
                  <w:r>
                    <w:rPr>
                      <w:rFonts w:hint="eastAsia"/>
                    </w:rPr>
                    <w:t>0.00054</w:t>
                  </w:r>
                </w:p>
              </w:tc>
              <w:tc>
                <w:tcPr>
                  <w:tcW w:w="602"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2</w:t>
                  </w:r>
                </w:p>
              </w:tc>
              <w:tc>
                <w:tcPr>
                  <w:tcW w:w="229" w:type="pct"/>
                  <w:vMerge w:val="continue"/>
                  <w:vAlign w:val="center"/>
                </w:tcPr>
                <w:p>
                  <w:pPr>
                    <w:pStyle w:val="2"/>
                    <w:jc w:val="center"/>
                    <w:rPr>
                      <w:rFonts w:ascii="Times New Roman" w:hAnsi="Times New Roman" w:cs="Times New Roman"/>
                      <w:color w:val="auto"/>
                      <w:sz w:val="21"/>
                      <w:szCs w:val="21"/>
                    </w:rPr>
                  </w:pPr>
                </w:p>
              </w:tc>
              <w:tc>
                <w:tcPr>
                  <w:tcW w:w="248" w:type="pct"/>
                  <w:vMerge w:val="continue"/>
                  <w:vAlign w:val="center"/>
                </w:tcPr>
                <w:p>
                  <w:pPr>
                    <w:pStyle w:val="2"/>
                    <w:jc w:val="center"/>
                    <w:rPr>
                      <w:rFonts w:ascii="Times New Roman" w:hAnsi="Times New Roman" w:cs="Times New Roman"/>
                      <w:color w:val="auto"/>
                      <w:sz w:val="21"/>
                      <w:szCs w:val="21"/>
                    </w:rPr>
                  </w:pPr>
                </w:p>
              </w:tc>
              <w:tc>
                <w:tcPr>
                  <w:tcW w:w="343" w:type="pct"/>
                  <w:vMerge w:val="continue"/>
                  <w:vAlign w:val="center"/>
                </w:tcPr>
                <w:p>
                  <w:pPr>
                    <w:pStyle w:val="2"/>
                    <w:jc w:val="center"/>
                    <w:rPr>
                      <w:rFonts w:ascii="Times New Roman" w:hAnsi="Times New Roman"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229" w:type="pct"/>
                  <w:vMerge w:val="continue"/>
                  <w:vAlign w:val="center"/>
                </w:tcPr>
                <w:p>
                  <w:pPr>
                    <w:pStyle w:val="2"/>
                    <w:jc w:val="center"/>
                    <w:rPr>
                      <w:rFonts w:ascii="Times New Roman" w:hAnsi="Times New Roman" w:cs="Times New Roman"/>
                      <w:color w:val="auto"/>
                      <w:sz w:val="21"/>
                      <w:szCs w:val="21"/>
                    </w:rPr>
                  </w:pPr>
                </w:p>
              </w:tc>
              <w:tc>
                <w:tcPr>
                  <w:tcW w:w="455"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TP</w:t>
                  </w:r>
                </w:p>
              </w:tc>
              <w:tc>
                <w:tcPr>
                  <w:tcW w:w="469" w:type="pct"/>
                  <w:vAlign w:val="center"/>
                </w:tcPr>
                <w:p>
                  <w:pPr>
                    <w:pStyle w:val="2"/>
                    <w:jc w:val="center"/>
                    <w:rPr>
                      <w:rFonts w:ascii="Times New Roman" w:hAnsi="Times New Roman" w:cs="Times New Roman"/>
                      <w:color w:val="auto"/>
                      <w:sz w:val="21"/>
                      <w:szCs w:val="21"/>
                    </w:rPr>
                  </w:pPr>
                  <w:r>
                    <w:rPr>
                      <w:rFonts w:hint="eastAsia" w:ascii="Times New Roman" w:hAnsi="Times New Roman" w:cs="Times New Roman"/>
                      <w:color w:val="auto"/>
                      <w:sz w:val="21"/>
                      <w:szCs w:val="21"/>
                    </w:rPr>
                    <w:t>0.00135</w:t>
                  </w:r>
                </w:p>
              </w:tc>
              <w:tc>
                <w:tcPr>
                  <w:tcW w:w="601"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5</w:t>
                  </w:r>
                </w:p>
              </w:tc>
              <w:tc>
                <w:tcPr>
                  <w:tcW w:w="229" w:type="pct"/>
                  <w:vMerge w:val="continue"/>
                  <w:vAlign w:val="center"/>
                </w:tcPr>
                <w:p>
                  <w:pPr>
                    <w:pStyle w:val="2"/>
                    <w:jc w:val="center"/>
                    <w:rPr>
                      <w:rFonts w:ascii="Times New Roman" w:hAnsi="Times New Roman" w:cs="Times New Roman"/>
                      <w:color w:val="auto"/>
                      <w:sz w:val="21"/>
                      <w:szCs w:val="21"/>
                    </w:rPr>
                  </w:pPr>
                </w:p>
              </w:tc>
              <w:tc>
                <w:tcPr>
                  <w:tcW w:w="261" w:type="pct"/>
                  <w:vMerge w:val="continue"/>
                  <w:vAlign w:val="center"/>
                </w:tcPr>
                <w:p>
                  <w:pPr>
                    <w:pStyle w:val="2"/>
                    <w:jc w:val="center"/>
                    <w:rPr>
                      <w:rFonts w:ascii="Times New Roman" w:hAnsi="Times New Roman" w:cs="Times New Roman"/>
                      <w:color w:val="auto"/>
                      <w:sz w:val="21"/>
                      <w:szCs w:val="21"/>
                    </w:rPr>
                  </w:pPr>
                </w:p>
              </w:tc>
              <w:tc>
                <w:tcPr>
                  <w:tcW w:w="317" w:type="pct"/>
                  <w:vMerge w:val="continue"/>
                  <w:vAlign w:val="center"/>
                </w:tcPr>
                <w:p>
                  <w:pPr>
                    <w:pStyle w:val="2"/>
                    <w:jc w:val="center"/>
                    <w:rPr>
                      <w:rFonts w:ascii="Times New Roman" w:hAnsi="Times New Roman" w:cs="Times New Roman"/>
                      <w:color w:val="auto"/>
                      <w:sz w:val="21"/>
                      <w:szCs w:val="21"/>
                    </w:rPr>
                  </w:pPr>
                </w:p>
              </w:tc>
              <w:tc>
                <w:tcPr>
                  <w:tcW w:w="469" w:type="pct"/>
                  <w:vMerge w:val="continue"/>
                  <w:vAlign w:val="center"/>
                </w:tcPr>
                <w:p>
                  <w:pPr>
                    <w:pStyle w:val="2"/>
                    <w:jc w:val="center"/>
                    <w:rPr>
                      <w:rFonts w:ascii="Times New Roman" w:hAnsi="Times New Roman" w:cs="Times New Roman"/>
                      <w:color w:val="auto"/>
                      <w:sz w:val="21"/>
                      <w:szCs w:val="21"/>
                    </w:rPr>
                  </w:pPr>
                </w:p>
              </w:tc>
              <w:tc>
                <w:tcPr>
                  <w:tcW w:w="540" w:type="pct"/>
                  <w:vAlign w:val="center"/>
                </w:tcPr>
                <w:p>
                  <w:pPr>
                    <w:jc w:val="center"/>
                  </w:pPr>
                  <w:r>
                    <w:rPr>
                      <w:rFonts w:hint="eastAsia"/>
                    </w:rPr>
                    <w:t>0.000108</w:t>
                  </w:r>
                </w:p>
              </w:tc>
              <w:tc>
                <w:tcPr>
                  <w:tcW w:w="602" w:type="pct"/>
                  <w:vAlign w:val="center"/>
                </w:tcPr>
                <w:p>
                  <w:pPr>
                    <w:pStyle w:val="2"/>
                    <w:jc w:val="center"/>
                    <w:rPr>
                      <w:rFonts w:ascii="Times New Roman" w:hAnsi="Times New Roman" w:cs="Times New Roman"/>
                      <w:color w:val="auto"/>
                      <w:sz w:val="21"/>
                      <w:szCs w:val="21"/>
                    </w:rPr>
                  </w:pPr>
                  <w:r>
                    <w:rPr>
                      <w:rFonts w:ascii="Times New Roman" w:hAnsi="Times New Roman" w:cs="Times New Roman"/>
                      <w:color w:val="auto"/>
                      <w:sz w:val="21"/>
                      <w:szCs w:val="21"/>
                    </w:rPr>
                    <w:t>0.4</w:t>
                  </w:r>
                </w:p>
              </w:tc>
              <w:tc>
                <w:tcPr>
                  <w:tcW w:w="229" w:type="pct"/>
                  <w:vMerge w:val="continue"/>
                  <w:vAlign w:val="center"/>
                </w:tcPr>
                <w:p>
                  <w:pPr>
                    <w:pStyle w:val="2"/>
                    <w:jc w:val="center"/>
                    <w:rPr>
                      <w:rFonts w:ascii="Times New Roman" w:hAnsi="Times New Roman" w:cs="Times New Roman"/>
                      <w:color w:val="auto"/>
                      <w:sz w:val="21"/>
                      <w:szCs w:val="21"/>
                    </w:rPr>
                  </w:pPr>
                </w:p>
              </w:tc>
              <w:tc>
                <w:tcPr>
                  <w:tcW w:w="248" w:type="pct"/>
                  <w:vMerge w:val="continue"/>
                  <w:vAlign w:val="center"/>
                </w:tcPr>
                <w:p>
                  <w:pPr>
                    <w:pStyle w:val="2"/>
                    <w:jc w:val="center"/>
                    <w:rPr>
                      <w:rFonts w:ascii="Times New Roman" w:hAnsi="Times New Roman" w:cs="Times New Roman"/>
                      <w:color w:val="auto"/>
                      <w:sz w:val="21"/>
                      <w:szCs w:val="21"/>
                    </w:rPr>
                  </w:pPr>
                </w:p>
              </w:tc>
              <w:tc>
                <w:tcPr>
                  <w:tcW w:w="343" w:type="pct"/>
                  <w:vMerge w:val="continue"/>
                  <w:vAlign w:val="center"/>
                </w:tcPr>
                <w:p>
                  <w:pPr>
                    <w:pStyle w:val="2"/>
                    <w:jc w:val="center"/>
                    <w:rPr>
                      <w:rFonts w:ascii="Times New Roman" w:hAnsi="Times New Roman" w:cs="Times New Roman"/>
                      <w:color w:val="auto"/>
                      <w:sz w:val="21"/>
                      <w:szCs w:val="21"/>
                    </w:rPr>
                  </w:pPr>
                </w:p>
              </w:tc>
            </w:tr>
          </w:tbl>
          <w:p>
            <w:pPr>
              <w:adjustRightInd w:val="0"/>
              <w:snapToGrid w:val="0"/>
              <w:spacing w:before="120" w:beforeLines="50" w:line="360" w:lineRule="auto"/>
              <w:ind w:firstLine="420" w:firstLineChars="200"/>
              <w:rPr>
                <w:bCs/>
              </w:rPr>
            </w:pPr>
            <w:r>
              <w:rPr>
                <w:bCs/>
              </w:rPr>
              <w:t>根据前文工程分析，项目生活污水产生量为</w:t>
            </w:r>
            <w:r>
              <w:rPr>
                <w:rFonts w:hint="eastAsia"/>
                <w:bCs/>
              </w:rPr>
              <w:t>270</w:t>
            </w:r>
            <w:r>
              <w:rPr>
                <w:bCs/>
              </w:rPr>
              <w:t>m</w:t>
            </w:r>
            <w:r>
              <w:rPr>
                <w:bCs/>
                <w:vertAlign w:val="superscript"/>
              </w:rPr>
              <w:t>3</w:t>
            </w:r>
            <w:r>
              <w:rPr>
                <w:bCs/>
              </w:rPr>
              <w:t>/a，生活污水经三级化粪池预处理后，经市政集污管网排入园洲镇第三污水处理厂处理，然后排入新村排渠，再汇入沙河，最终注入东江。</w:t>
            </w:r>
          </w:p>
          <w:p>
            <w:pPr>
              <w:widowControl/>
              <w:adjustRightInd w:val="0"/>
              <w:snapToGrid w:val="0"/>
              <w:spacing w:before="120" w:beforeLines="50" w:line="360" w:lineRule="auto"/>
              <w:ind w:firstLine="422" w:firstLineChars="200"/>
              <w:rPr>
                <w:b/>
                <w:bCs/>
              </w:rPr>
            </w:pPr>
            <w:r>
              <w:rPr>
                <w:b/>
                <w:bCs/>
              </w:rPr>
              <w:t>2.废水排放口信息及监测要求</w:t>
            </w:r>
          </w:p>
          <w:p>
            <w:pPr>
              <w:widowControl/>
              <w:adjustRightInd w:val="0"/>
              <w:snapToGrid w:val="0"/>
              <w:spacing w:line="360" w:lineRule="auto"/>
              <w:ind w:firstLine="420" w:firstLineChars="200"/>
            </w:pPr>
            <w:r>
              <w:t>根据《排污单位自行监测技术指南 总则》（HJ 819-2017）自行监测管理要求中对单独排入城镇污水集中处理设施的生活污水不作监测要求。</w:t>
            </w:r>
          </w:p>
          <w:p>
            <w:pPr>
              <w:widowControl/>
              <w:spacing w:line="360" w:lineRule="auto"/>
              <w:jc w:val="center"/>
              <w:rPr>
                <w:b/>
              </w:rPr>
            </w:pPr>
            <w:r>
              <w:rPr>
                <w:b/>
              </w:rPr>
              <w:t>表4-14 废水间接排放口基本情况表</w:t>
            </w:r>
          </w:p>
          <w:tbl>
            <w:tblPr>
              <w:tblStyle w:val="100"/>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72"/>
              <w:gridCol w:w="963"/>
              <w:gridCol w:w="1321"/>
              <w:gridCol w:w="783"/>
              <w:gridCol w:w="782"/>
              <w:gridCol w:w="1124"/>
              <w:gridCol w:w="650"/>
              <w:gridCol w:w="826"/>
              <w:gridCol w:w="1098"/>
              <w:gridCol w:w="12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1" w:hRule="atLeast"/>
                <w:jc w:val="center"/>
              </w:trPr>
              <w:tc>
                <w:tcPr>
                  <w:tcW w:w="0" w:type="auto"/>
                  <w:vMerge w:val="restart"/>
                  <w:vAlign w:val="center"/>
                </w:tcPr>
                <w:p>
                  <w:pPr>
                    <w:widowControl/>
                    <w:adjustRightInd w:val="0"/>
                    <w:snapToGrid w:val="0"/>
                    <w:jc w:val="center"/>
                    <w:rPr>
                      <w:b/>
                    </w:rPr>
                  </w:pPr>
                  <w:r>
                    <w:rPr>
                      <w:b/>
                    </w:rPr>
                    <w:t>序号</w:t>
                  </w:r>
                </w:p>
              </w:tc>
              <w:tc>
                <w:tcPr>
                  <w:tcW w:w="0" w:type="auto"/>
                  <w:vMerge w:val="restart"/>
                  <w:vAlign w:val="center"/>
                </w:tcPr>
                <w:p>
                  <w:pPr>
                    <w:widowControl/>
                    <w:adjustRightInd w:val="0"/>
                    <w:snapToGrid w:val="0"/>
                    <w:jc w:val="center"/>
                    <w:rPr>
                      <w:b/>
                    </w:rPr>
                  </w:pPr>
                  <w:r>
                    <w:rPr>
                      <w:b/>
                    </w:rPr>
                    <w:t>排放口编号</w:t>
                  </w:r>
                </w:p>
              </w:tc>
              <w:tc>
                <w:tcPr>
                  <w:tcW w:w="0" w:type="auto"/>
                  <w:vMerge w:val="restart"/>
                  <w:vAlign w:val="center"/>
                </w:tcPr>
                <w:p>
                  <w:pPr>
                    <w:widowControl/>
                    <w:adjustRightInd w:val="0"/>
                    <w:snapToGrid w:val="0"/>
                    <w:jc w:val="center"/>
                    <w:rPr>
                      <w:b/>
                    </w:rPr>
                  </w:pPr>
                  <w:r>
                    <w:rPr>
                      <w:b/>
                    </w:rPr>
                    <w:t>排放口</w:t>
                  </w:r>
                </w:p>
                <w:p>
                  <w:pPr>
                    <w:widowControl/>
                    <w:adjustRightInd w:val="0"/>
                    <w:snapToGrid w:val="0"/>
                    <w:jc w:val="center"/>
                    <w:rPr>
                      <w:b/>
                    </w:rPr>
                  </w:pPr>
                  <w:r>
                    <w:rPr>
                      <w:b/>
                    </w:rPr>
                    <w:t>地理坐标</w:t>
                  </w:r>
                </w:p>
              </w:tc>
              <w:tc>
                <w:tcPr>
                  <w:tcW w:w="0" w:type="auto"/>
                  <w:vMerge w:val="restart"/>
                  <w:vAlign w:val="center"/>
                </w:tcPr>
                <w:p>
                  <w:pPr>
                    <w:widowControl/>
                    <w:adjustRightInd w:val="0"/>
                    <w:snapToGrid w:val="0"/>
                    <w:jc w:val="center"/>
                    <w:rPr>
                      <w:b/>
                    </w:rPr>
                  </w:pPr>
                  <w:r>
                    <w:rPr>
                      <w:b/>
                    </w:rPr>
                    <w:t>废水</w:t>
                  </w:r>
                </w:p>
                <w:p>
                  <w:pPr>
                    <w:widowControl/>
                    <w:adjustRightInd w:val="0"/>
                    <w:snapToGrid w:val="0"/>
                    <w:jc w:val="center"/>
                    <w:rPr>
                      <w:b/>
                    </w:rPr>
                  </w:pPr>
                  <w:r>
                    <w:rPr>
                      <w:b/>
                    </w:rPr>
                    <w:t>排放量</w:t>
                  </w:r>
                </w:p>
                <w:p>
                  <w:pPr>
                    <w:widowControl/>
                    <w:adjustRightInd w:val="0"/>
                    <w:snapToGrid w:val="0"/>
                    <w:jc w:val="center"/>
                    <w:rPr>
                      <w:b/>
                    </w:rPr>
                  </w:pPr>
                  <w:r>
                    <w:rPr>
                      <w:b/>
                    </w:rPr>
                    <w:t>（万t/a）</w:t>
                  </w:r>
                </w:p>
              </w:tc>
              <w:tc>
                <w:tcPr>
                  <w:tcW w:w="0" w:type="auto"/>
                  <w:vMerge w:val="restart"/>
                  <w:vAlign w:val="center"/>
                </w:tcPr>
                <w:p>
                  <w:pPr>
                    <w:widowControl/>
                    <w:adjustRightInd w:val="0"/>
                    <w:snapToGrid w:val="0"/>
                    <w:jc w:val="center"/>
                    <w:rPr>
                      <w:b/>
                    </w:rPr>
                  </w:pPr>
                  <w:r>
                    <w:rPr>
                      <w:b/>
                    </w:rPr>
                    <w:t>排放去向</w:t>
                  </w:r>
                </w:p>
              </w:tc>
              <w:tc>
                <w:tcPr>
                  <w:tcW w:w="0" w:type="auto"/>
                  <w:vMerge w:val="restart"/>
                  <w:vAlign w:val="center"/>
                </w:tcPr>
                <w:p>
                  <w:pPr>
                    <w:widowControl/>
                    <w:adjustRightInd w:val="0"/>
                    <w:snapToGrid w:val="0"/>
                    <w:jc w:val="center"/>
                    <w:rPr>
                      <w:b/>
                    </w:rPr>
                  </w:pPr>
                  <w:r>
                    <w:rPr>
                      <w:b/>
                    </w:rPr>
                    <w:t>排放规律</w:t>
                  </w:r>
                </w:p>
              </w:tc>
              <w:tc>
                <w:tcPr>
                  <w:tcW w:w="0" w:type="auto"/>
                  <w:vMerge w:val="restart"/>
                  <w:vAlign w:val="center"/>
                </w:tcPr>
                <w:p>
                  <w:pPr>
                    <w:widowControl/>
                    <w:adjustRightInd w:val="0"/>
                    <w:snapToGrid w:val="0"/>
                    <w:jc w:val="center"/>
                    <w:rPr>
                      <w:b/>
                    </w:rPr>
                  </w:pPr>
                  <w:r>
                    <w:rPr>
                      <w:b/>
                    </w:rPr>
                    <w:t>间歇排放时段</w:t>
                  </w:r>
                </w:p>
              </w:tc>
              <w:tc>
                <w:tcPr>
                  <w:tcW w:w="0" w:type="auto"/>
                  <w:gridSpan w:val="3"/>
                  <w:vAlign w:val="center"/>
                </w:tcPr>
                <w:p>
                  <w:pPr>
                    <w:widowControl/>
                    <w:adjustRightInd w:val="0"/>
                    <w:snapToGrid w:val="0"/>
                    <w:jc w:val="center"/>
                    <w:rPr>
                      <w:b/>
                    </w:rPr>
                  </w:pPr>
                  <w:r>
                    <w:rPr>
                      <w:b/>
                    </w:rPr>
                    <w:t>受纳污水处理厂信息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43" w:hRule="atLeast"/>
                <w:jc w:val="center"/>
              </w:trPr>
              <w:tc>
                <w:tcPr>
                  <w:tcW w:w="0" w:type="auto"/>
                  <w:vMerge w:val="continue"/>
                  <w:vAlign w:val="center"/>
                </w:tcPr>
                <w:p>
                  <w:pPr>
                    <w:widowControl/>
                    <w:adjustRightInd w:val="0"/>
                    <w:snapToGrid w:val="0"/>
                    <w:jc w:val="center"/>
                    <w:rPr>
                      <w:b/>
                    </w:rPr>
                  </w:pPr>
                </w:p>
              </w:tc>
              <w:tc>
                <w:tcPr>
                  <w:tcW w:w="0" w:type="auto"/>
                  <w:vMerge w:val="continue"/>
                  <w:vAlign w:val="center"/>
                </w:tcPr>
                <w:p>
                  <w:pPr>
                    <w:widowControl/>
                    <w:adjustRightInd w:val="0"/>
                    <w:snapToGrid w:val="0"/>
                    <w:jc w:val="center"/>
                    <w:rPr>
                      <w:b/>
                    </w:rPr>
                  </w:pPr>
                </w:p>
              </w:tc>
              <w:tc>
                <w:tcPr>
                  <w:tcW w:w="0" w:type="auto"/>
                  <w:vMerge w:val="continue"/>
                  <w:vAlign w:val="center"/>
                </w:tcPr>
                <w:p>
                  <w:pPr>
                    <w:widowControl/>
                    <w:adjustRightInd w:val="0"/>
                    <w:snapToGrid w:val="0"/>
                    <w:jc w:val="center"/>
                    <w:rPr>
                      <w:b/>
                    </w:rPr>
                  </w:pPr>
                </w:p>
              </w:tc>
              <w:tc>
                <w:tcPr>
                  <w:tcW w:w="0" w:type="auto"/>
                  <w:vMerge w:val="continue"/>
                  <w:vAlign w:val="center"/>
                </w:tcPr>
                <w:p>
                  <w:pPr>
                    <w:widowControl/>
                    <w:adjustRightInd w:val="0"/>
                    <w:snapToGrid w:val="0"/>
                    <w:jc w:val="center"/>
                    <w:rPr>
                      <w:b/>
                    </w:rPr>
                  </w:pPr>
                </w:p>
              </w:tc>
              <w:tc>
                <w:tcPr>
                  <w:tcW w:w="0" w:type="auto"/>
                  <w:vMerge w:val="continue"/>
                  <w:vAlign w:val="center"/>
                </w:tcPr>
                <w:p>
                  <w:pPr>
                    <w:widowControl/>
                    <w:adjustRightInd w:val="0"/>
                    <w:snapToGrid w:val="0"/>
                    <w:jc w:val="center"/>
                    <w:rPr>
                      <w:b/>
                    </w:rPr>
                  </w:pPr>
                </w:p>
              </w:tc>
              <w:tc>
                <w:tcPr>
                  <w:tcW w:w="0" w:type="auto"/>
                  <w:vMerge w:val="continue"/>
                  <w:vAlign w:val="center"/>
                </w:tcPr>
                <w:p>
                  <w:pPr>
                    <w:widowControl/>
                    <w:adjustRightInd w:val="0"/>
                    <w:snapToGrid w:val="0"/>
                    <w:jc w:val="center"/>
                    <w:rPr>
                      <w:b/>
                    </w:rPr>
                  </w:pPr>
                </w:p>
              </w:tc>
              <w:tc>
                <w:tcPr>
                  <w:tcW w:w="0" w:type="auto"/>
                  <w:vMerge w:val="continue"/>
                  <w:vAlign w:val="center"/>
                </w:tcPr>
                <w:p>
                  <w:pPr>
                    <w:widowControl/>
                    <w:adjustRightInd w:val="0"/>
                    <w:snapToGrid w:val="0"/>
                    <w:jc w:val="center"/>
                    <w:rPr>
                      <w:b/>
                    </w:rPr>
                  </w:pPr>
                </w:p>
              </w:tc>
              <w:tc>
                <w:tcPr>
                  <w:tcW w:w="0" w:type="auto"/>
                  <w:vAlign w:val="center"/>
                </w:tcPr>
                <w:p>
                  <w:pPr>
                    <w:widowControl/>
                    <w:adjustRightInd w:val="0"/>
                    <w:snapToGrid w:val="0"/>
                    <w:jc w:val="center"/>
                    <w:rPr>
                      <w:b/>
                    </w:rPr>
                  </w:pPr>
                  <w:r>
                    <w:rPr>
                      <w:b/>
                    </w:rPr>
                    <w:t>名称</w:t>
                  </w:r>
                </w:p>
              </w:tc>
              <w:tc>
                <w:tcPr>
                  <w:tcW w:w="1098" w:type="dxa"/>
                  <w:vAlign w:val="center"/>
                </w:tcPr>
                <w:p>
                  <w:pPr>
                    <w:widowControl/>
                    <w:adjustRightInd w:val="0"/>
                    <w:snapToGrid w:val="0"/>
                    <w:jc w:val="center"/>
                    <w:rPr>
                      <w:b/>
                    </w:rPr>
                  </w:pPr>
                  <w:r>
                    <w:rPr>
                      <w:b/>
                    </w:rPr>
                    <w:t>污染物种类</w:t>
                  </w:r>
                </w:p>
              </w:tc>
              <w:tc>
                <w:tcPr>
                  <w:tcW w:w="1269" w:type="dxa"/>
                  <w:vAlign w:val="center"/>
                </w:tcPr>
                <w:p>
                  <w:pPr>
                    <w:widowControl/>
                    <w:adjustRightInd w:val="0"/>
                    <w:snapToGrid w:val="0"/>
                    <w:jc w:val="center"/>
                    <w:rPr>
                      <w:b/>
                    </w:rPr>
                  </w:pPr>
                  <w:r>
                    <w:rPr>
                      <w:b/>
                    </w:rPr>
                    <w:t>排放标准浓度限值（mg/L）</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0" w:type="auto"/>
                  <w:vMerge w:val="restart"/>
                  <w:vAlign w:val="center"/>
                </w:tcPr>
                <w:p>
                  <w:pPr>
                    <w:widowControl/>
                    <w:adjustRightInd w:val="0"/>
                    <w:snapToGrid w:val="0"/>
                    <w:jc w:val="center"/>
                  </w:pPr>
                  <w:r>
                    <w:t>1</w:t>
                  </w:r>
                </w:p>
              </w:tc>
              <w:tc>
                <w:tcPr>
                  <w:tcW w:w="0" w:type="auto"/>
                  <w:vMerge w:val="restart"/>
                  <w:vAlign w:val="center"/>
                </w:tcPr>
                <w:p>
                  <w:pPr>
                    <w:widowControl/>
                    <w:adjustRightInd w:val="0"/>
                    <w:snapToGrid w:val="0"/>
                    <w:jc w:val="center"/>
                  </w:pPr>
                  <w:r>
                    <w:t>DW001</w:t>
                  </w:r>
                </w:p>
              </w:tc>
              <w:tc>
                <w:tcPr>
                  <w:tcW w:w="0" w:type="auto"/>
                  <w:vMerge w:val="restart"/>
                  <w:vAlign w:val="center"/>
                </w:tcPr>
                <w:p>
                  <w:pPr>
                    <w:widowControl/>
                    <w:adjustRightInd w:val="0"/>
                    <w:snapToGrid w:val="0"/>
                    <w:jc w:val="center"/>
                  </w:pPr>
                  <w:r>
                    <w:t>E113.97445°</w:t>
                  </w:r>
                </w:p>
                <w:p>
                  <w:pPr>
                    <w:widowControl/>
                    <w:adjustRightInd w:val="0"/>
                    <w:snapToGrid w:val="0"/>
                    <w:jc w:val="center"/>
                  </w:pPr>
                  <w:r>
                    <w:t>N 23.15949°</w:t>
                  </w:r>
                </w:p>
              </w:tc>
              <w:tc>
                <w:tcPr>
                  <w:tcW w:w="0" w:type="auto"/>
                  <w:vMerge w:val="restart"/>
                  <w:vAlign w:val="center"/>
                </w:tcPr>
                <w:p>
                  <w:pPr>
                    <w:widowControl/>
                    <w:adjustRightInd w:val="0"/>
                    <w:snapToGrid w:val="0"/>
                    <w:jc w:val="center"/>
                  </w:pPr>
                  <w:r>
                    <w:t>0.0</w:t>
                  </w:r>
                  <w:r>
                    <w:rPr>
                      <w:rFonts w:hint="eastAsia"/>
                    </w:rPr>
                    <w:t>27</w:t>
                  </w:r>
                </w:p>
              </w:tc>
              <w:tc>
                <w:tcPr>
                  <w:tcW w:w="0" w:type="auto"/>
                  <w:vMerge w:val="restart"/>
                  <w:vAlign w:val="center"/>
                </w:tcPr>
                <w:p>
                  <w:pPr>
                    <w:widowControl/>
                    <w:adjustRightInd w:val="0"/>
                    <w:snapToGrid w:val="0"/>
                    <w:jc w:val="center"/>
                  </w:pPr>
                  <w:r>
                    <w:t>进入城市污水处理厂</w:t>
                  </w:r>
                </w:p>
              </w:tc>
              <w:tc>
                <w:tcPr>
                  <w:tcW w:w="0" w:type="auto"/>
                  <w:vMerge w:val="restart"/>
                  <w:vAlign w:val="center"/>
                </w:tcPr>
                <w:p>
                  <w:pPr>
                    <w:widowControl/>
                    <w:adjustRightInd w:val="0"/>
                    <w:snapToGrid w:val="0"/>
                    <w:jc w:val="center"/>
                  </w:pPr>
                  <w:r>
                    <w:t>间段排放、排放期间流量稳定</w:t>
                  </w:r>
                </w:p>
              </w:tc>
              <w:tc>
                <w:tcPr>
                  <w:tcW w:w="0" w:type="auto"/>
                  <w:vMerge w:val="restart"/>
                  <w:vAlign w:val="center"/>
                </w:tcPr>
                <w:p>
                  <w:pPr>
                    <w:widowControl/>
                    <w:adjustRightInd w:val="0"/>
                    <w:snapToGrid w:val="0"/>
                    <w:jc w:val="center"/>
                  </w:pPr>
                  <w:r>
                    <w:t>无固定时段</w:t>
                  </w:r>
                </w:p>
              </w:tc>
              <w:tc>
                <w:tcPr>
                  <w:tcW w:w="0" w:type="auto"/>
                  <w:vMerge w:val="restart"/>
                  <w:vAlign w:val="center"/>
                </w:tcPr>
                <w:p>
                  <w:pPr>
                    <w:widowControl/>
                    <w:adjustRightInd w:val="0"/>
                    <w:snapToGrid w:val="0"/>
                    <w:jc w:val="center"/>
                  </w:pPr>
                  <w:r>
                    <w:t>园洲镇第三污水处理厂</w:t>
                  </w:r>
                </w:p>
              </w:tc>
              <w:tc>
                <w:tcPr>
                  <w:tcW w:w="1098" w:type="dxa"/>
                  <w:vAlign w:val="center"/>
                </w:tcPr>
                <w:p>
                  <w:pPr>
                    <w:widowControl/>
                    <w:adjustRightInd w:val="0"/>
                    <w:snapToGrid w:val="0"/>
                    <w:jc w:val="center"/>
                  </w:pPr>
                  <w:r>
                    <w:t>SS</w:t>
                  </w:r>
                </w:p>
              </w:tc>
              <w:tc>
                <w:tcPr>
                  <w:tcW w:w="1269" w:type="dxa"/>
                  <w:vAlign w:val="center"/>
                </w:tcPr>
                <w:p>
                  <w:pPr>
                    <w:widowControl/>
                    <w:adjustRightInd w:val="0"/>
                    <w:snapToGrid w:val="0"/>
                    <w:jc w:val="center"/>
                  </w:pPr>
                  <w: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1098" w:type="dxa"/>
                  <w:vAlign w:val="center"/>
                </w:tcPr>
                <w:p>
                  <w:pPr>
                    <w:widowControl/>
                    <w:adjustRightInd w:val="0"/>
                    <w:snapToGrid w:val="0"/>
                    <w:jc w:val="center"/>
                  </w:pPr>
                  <w:r>
                    <w:t>BOD</w:t>
                  </w:r>
                  <w:r>
                    <w:rPr>
                      <w:vertAlign w:val="subscript"/>
                    </w:rPr>
                    <w:t>5</w:t>
                  </w:r>
                </w:p>
              </w:tc>
              <w:tc>
                <w:tcPr>
                  <w:tcW w:w="1269" w:type="dxa"/>
                  <w:vAlign w:val="center"/>
                </w:tcPr>
                <w:p>
                  <w:pPr>
                    <w:widowControl/>
                    <w:adjustRightInd w:val="0"/>
                    <w:snapToGrid w:val="0"/>
                    <w:jc w:val="center"/>
                  </w:pPr>
                  <w: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1098" w:type="dxa"/>
                  <w:vAlign w:val="center"/>
                </w:tcPr>
                <w:p>
                  <w:pPr>
                    <w:widowControl/>
                    <w:adjustRightInd w:val="0"/>
                    <w:snapToGrid w:val="0"/>
                    <w:jc w:val="center"/>
                  </w:pPr>
                  <w:r>
                    <w:t>COD</w:t>
                  </w:r>
                  <w:r>
                    <w:rPr>
                      <w:vertAlign w:val="subscript"/>
                    </w:rPr>
                    <w:t>Cr</w:t>
                  </w:r>
                </w:p>
              </w:tc>
              <w:tc>
                <w:tcPr>
                  <w:tcW w:w="1269" w:type="dxa"/>
                  <w:vAlign w:val="center"/>
                </w:tcPr>
                <w:p>
                  <w:pPr>
                    <w:widowControl/>
                    <w:adjustRightInd w:val="0"/>
                    <w:snapToGrid w:val="0"/>
                    <w:jc w:val="center"/>
                  </w:pPr>
                  <w:r>
                    <w:t>40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1098" w:type="dxa"/>
                  <w:vAlign w:val="center"/>
                </w:tcPr>
                <w:p>
                  <w:pPr>
                    <w:widowControl/>
                    <w:adjustRightInd w:val="0"/>
                    <w:snapToGrid w:val="0"/>
                    <w:jc w:val="center"/>
                  </w:pPr>
                  <w:r>
                    <w:t>TP</w:t>
                  </w:r>
                </w:p>
              </w:tc>
              <w:tc>
                <w:tcPr>
                  <w:tcW w:w="1269" w:type="dxa"/>
                  <w:vAlign w:val="center"/>
                </w:tcPr>
                <w:p>
                  <w:pPr>
                    <w:widowControl/>
                    <w:adjustRightInd w:val="0"/>
                    <w:snapToGrid w:val="0"/>
                    <w:jc w:val="center"/>
                  </w:pPr>
                  <w:r>
                    <w:t>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1098" w:type="dxa"/>
                  <w:vAlign w:val="center"/>
                </w:tcPr>
                <w:p>
                  <w:pPr>
                    <w:widowControl/>
                    <w:adjustRightInd w:val="0"/>
                    <w:snapToGrid w:val="0"/>
                    <w:jc w:val="center"/>
                  </w:pPr>
                  <w:r>
                    <w:t>动植物油</w:t>
                  </w:r>
                </w:p>
              </w:tc>
              <w:tc>
                <w:tcPr>
                  <w:tcW w:w="1269" w:type="dxa"/>
                  <w:vAlign w:val="center"/>
                </w:tcPr>
                <w:p>
                  <w:pPr>
                    <w:widowControl/>
                    <w:adjustRightInd w:val="0"/>
                    <w:snapToGrid w:val="0"/>
                    <w:jc w:val="center"/>
                  </w:pPr>
                  <w:r>
                    <w:t>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97" w:hRule="exact"/>
                <w:jc w:val="center"/>
              </w:trPr>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0" w:type="auto"/>
                  <w:vMerge w:val="continue"/>
                  <w:vAlign w:val="center"/>
                </w:tcPr>
                <w:p>
                  <w:pPr>
                    <w:widowControl/>
                    <w:adjustRightInd w:val="0"/>
                    <w:snapToGrid w:val="0"/>
                    <w:jc w:val="center"/>
                  </w:pPr>
                </w:p>
              </w:tc>
              <w:tc>
                <w:tcPr>
                  <w:tcW w:w="1098" w:type="dxa"/>
                  <w:vAlign w:val="center"/>
                </w:tcPr>
                <w:p>
                  <w:pPr>
                    <w:widowControl/>
                    <w:adjustRightInd w:val="0"/>
                    <w:snapToGrid w:val="0"/>
                    <w:jc w:val="center"/>
                  </w:pPr>
                  <w:r>
                    <w:t>氨氮</w:t>
                  </w:r>
                </w:p>
              </w:tc>
              <w:tc>
                <w:tcPr>
                  <w:tcW w:w="1269" w:type="dxa"/>
                  <w:vAlign w:val="center"/>
                </w:tcPr>
                <w:p>
                  <w:pPr>
                    <w:widowControl/>
                    <w:adjustRightInd w:val="0"/>
                    <w:snapToGrid w:val="0"/>
                    <w:jc w:val="center"/>
                  </w:pPr>
                  <w:r>
                    <w:t>2</w:t>
                  </w:r>
                </w:p>
              </w:tc>
            </w:tr>
          </w:tbl>
          <w:p>
            <w:pPr>
              <w:autoSpaceDE w:val="0"/>
              <w:autoSpaceDN w:val="0"/>
              <w:adjustRightInd w:val="0"/>
              <w:spacing w:before="120" w:beforeLines="50" w:line="360" w:lineRule="auto"/>
              <w:ind w:firstLine="422" w:firstLineChars="200"/>
              <w:jc w:val="left"/>
              <w:textAlignment w:val="baseline"/>
              <w:rPr>
                <w:b/>
              </w:rPr>
            </w:pPr>
            <w:r>
              <w:rPr>
                <w:b/>
              </w:rPr>
              <w:t>3.废水污染防治技术可行性分析</w:t>
            </w:r>
          </w:p>
          <w:p>
            <w:pPr>
              <w:widowControl/>
              <w:adjustRightInd w:val="0"/>
              <w:snapToGrid w:val="0"/>
              <w:spacing w:line="360" w:lineRule="auto"/>
              <w:ind w:firstLine="420" w:firstLineChars="200"/>
            </w:pPr>
            <w:r>
              <w:t>根据《排污单位自行监测技术指南 总则》（HJ819-2017）和《排污许可证申请与核发技术规范 金属铸造业》（HJ1115-2020）等相关规定，本项目生活污水污染防治工艺为可行技术。</w:t>
            </w:r>
          </w:p>
          <w:p>
            <w:pPr>
              <w:autoSpaceDE w:val="0"/>
              <w:autoSpaceDN w:val="0"/>
              <w:adjustRightInd w:val="0"/>
              <w:spacing w:line="360" w:lineRule="auto"/>
              <w:ind w:firstLine="422" w:firstLineChars="200"/>
              <w:jc w:val="left"/>
              <w:textAlignment w:val="baseline"/>
              <w:rPr>
                <w:b/>
              </w:rPr>
            </w:pPr>
            <w:r>
              <w:rPr>
                <w:b/>
              </w:rPr>
              <w:t>4.依托可行性分析</w:t>
            </w:r>
          </w:p>
          <w:p>
            <w:pPr>
              <w:widowControl/>
              <w:spacing w:line="360" w:lineRule="auto"/>
              <w:ind w:firstLine="420" w:firstLineChars="200"/>
            </w:pPr>
            <w:r>
              <w:t>本项目所在区域属于园洲镇第三生活污水处理厂纳污范围，项目生活污水经三级化粪池预处理可达到广东省《水污染物排放限值》（DB44/26-2001）第二时段三级标准，经预处理后排入市政污水管网，汇入博罗县园洲镇第三污水处理厂进一步处理达到《城镇污水处理厂污染物排放标准》(GB18918-2002)中的一级A标准以及广东省《水污染物排放限值》(DB44/26-2001)第二时段一级标准中的较严值后（其中氨氮和总磷浓度执行《地表水环境质量标准》（GB3838-2002）Ⅴ类标准），排入园洲新村排渠汇入沙河，最终注入东江。项目生活污水的排放量为0.</w:t>
            </w:r>
            <w:r>
              <w:rPr>
                <w:rFonts w:hint="eastAsia"/>
              </w:rPr>
              <w:t>9</w:t>
            </w:r>
            <w:r>
              <w:t>m</w:t>
            </w:r>
            <w:r>
              <w:rPr>
                <w:vertAlign w:val="superscript"/>
              </w:rPr>
              <w:t>3</w:t>
            </w:r>
            <w:r>
              <w:t>/d，博罗县园洲镇第三污水处理厂设计处理能力为日处理污水1.0万立方米，现日平均处理污水量为0.88万立方米，剩余污水处理量约为0.12万立方米，则项目污水排放量仅占其剩余处理量的0.0</w:t>
            </w:r>
            <w:r>
              <w:rPr>
                <w:rFonts w:hint="eastAsia"/>
              </w:rPr>
              <w:t>75</w:t>
            </w:r>
            <w:r>
              <w:t>%，说明项目生活污水经预处理后通过市政污水管网排入博罗县园洲镇第三污水处理厂的方案是可行的。</w:t>
            </w:r>
          </w:p>
          <w:p>
            <w:pPr>
              <w:adjustRightInd w:val="0"/>
              <w:snapToGrid w:val="0"/>
              <w:spacing w:line="360" w:lineRule="auto"/>
              <w:ind w:firstLine="420" w:firstLineChars="200"/>
            </w:pPr>
            <w:r>
              <w:t>综上所述，生活污水经隔油隔渣池、化粪池预处理后进入博罗县园洲镇第三污水处理厂，尾水处理达标后排入园洲新村排渠汇入沙河，最终注入东江，项目废水的排放满足相应的废水排放要求，对地表水体造成的环境影响不大，其地表水环境影响是可接受的。</w:t>
            </w:r>
          </w:p>
          <w:p>
            <w:pPr>
              <w:autoSpaceDE w:val="0"/>
              <w:autoSpaceDN w:val="0"/>
              <w:adjustRightInd w:val="0"/>
              <w:spacing w:line="360" w:lineRule="auto"/>
              <w:ind w:firstLine="422" w:firstLineChars="200"/>
              <w:jc w:val="left"/>
              <w:textAlignment w:val="baseline"/>
              <w:rPr>
                <w:b/>
              </w:rPr>
            </w:pPr>
            <w:r>
              <w:rPr>
                <w:b/>
              </w:rPr>
              <w:t>5.环境影响分析</w:t>
            </w:r>
          </w:p>
          <w:p>
            <w:pPr>
              <w:adjustRightInd w:val="0"/>
              <w:snapToGrid w:val="0"/>
              <w:spacing w:line="360" w:lineRule="auto"/>
              <w:ind w:firstLine="420" w:firstLineChars="200"/>
            </w:pPr>
            <w:r>
              <w:t>项目没有生产废水排放，生活污水排放量为0.</w:t>
            </w:r>
            <w:r>
              <w:rPr>
                <w:rFonts w:hint="eastAsia"/>
              </w:rPr>
              <w:t>9</w:t>
            </w:r>
            <w:r>
              <w:t>t/d。本项目生活污水在三级化粪池预处理后可达到广东省地方标准《水污染物排放限值》（DB44/26-2001）第二时段三级标准。通过市政污水管网进入博罗县园洲镇第</w:t>
            </w:r>
            <w:r>
              <w:rPr>
                <w:rFonts w:hint="eastAsia"/>
              </w:rPr>
              <w:t>三</w:t>
            </w:r>
            <w:r>
              <w:t>生活污水处理厂，处理达标后排入新村排渠，流经沙河最后汇入东江，对受纳水体影响很小。</w:t>
            </w:r>
          </w:p>
          <w:p>
            <w:pPr>
              <w:pStyle w:val="20"/>
              <w:spacing w:before="120" w:beforeLines="50" w:line="360" w:lineRule="auto"/>
              <w:rPr>
                <w:sz w:val="21"/>
                <w:szCs w:val="21"/>
              </w:rPr>
            </w:pPr>
            <w:r>
              <w:rPr>
                <w:sz w:val="21"/>
                <w:szCs w:val="21"/>
                <w:lang w:eastAsia="zh-CN"/>
              </w:rPr>
              <w:t>三、</w:t>
            </w:r>
            <w:r>
              <w:rPr>
                <w:sz w:val="21"/>
                <w:szCs w:val="21"/>
              </w:rPr>
              <w:t>噪声</w:t>
            </w:r>
          </w:p>
          <w:p>
            <w:pPr>
              <w:adjustRightInd w:val="0"/>
              <w:snapToGrid w:val="0"/>
              <w:spacing w:line="360" w:lineRule="auto"/>
              <w:ind w:firstLine="414" w:firstLineChars="200"/>
              <w:rPr>
                <w:b/>
                <w:spacing w:val="-2"/>
              </w:rPr>
            </w:pPr>
            <w:r>
              <w:rPr>
                <w:b/>
                <w:spacing w:val="-2"/>
              </w:rPr>
              <w:t>1.噪声源强分析</w:t>
            </w:r>
          </w:p>
          <w:p>
            <w:pPr>
              <w:adjustRightInd w:val="0"/>
              <w:snapToGrid w:val="0"/>
              <w:spacing w:line="360" w:lineRule="auto"/>
              <w:ind w:firstLine="412" w:firstLineChars="200"/>
              <w:rPr>
                <w:spacing w:val="-2"/>
              </w:rPr>
            </w:pPr>
            <w:r>
              <w:rPr>
                <w:spacing w:val="-2"/>
              </w:rPr>
              <w:t>项目噪声源主要为各种生产设备和辅助设备，噪声声级一般为70~80dB(A)。项目主要噪声源特性及源强见下表。</w:t>
            </w:r>
          </w:p>
          <w:p>
            <w:pPr>
              <w:widowControl/>
              <w:spacing w:line="360" w:lineRule="auto"/>
              <w:jc w:val="center"/>
              <w:rPr>
                <w:b/>
                <w:spacing w:val="-2"/>
              </w:rPr>
            </w:pPr>
            <w:r>
              <w:rPr>
                <w:b/>
                <w:spacing w:val="-2"/>
              </w:rPr>
              <w:t>表4-15 项目主要噪声源特性及源强一览表</w:t>
            </w:r>
          </w:p>
          <w:tbl>
            <w:tblPr>
              <w:tblStyle w:val="10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1"/>
              <w:gridCol w:w="1744"/>
              <w:gridCol w:w="781"/>
              <w:gridCol w:w="1294"/>
              <w:gridCol w:w="1130"/>
              <w:gridCol w:w="1130"/>
              <w:gridCol w:w="1132"/>
              <w:gridCol w:w="14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4" w:hRule="atLeast"/>
                <w:tblHeader/>
                <w:jc w:val="center"/>
              </w:trPr>
              <w:tc>
                <w:tcPr>
                  <w:tcW w:w="361" w:type="pct"/>
                  <w:vAlign w:val="center"/>
                </w:tcPr>
                <w:p>
                  <w:pPr>
                    <w:adjustRightInd w:val="0"/>
                    <w:snapToGrid w:val="0"/>
                    <w:jc w:val="center"/>
                    <w:rPr>
                      <w:b/>
                    </w:rPr>
                  </w:pPr>
                  <w:r>
                    <w:rPr>
                      <w:b/>
                    </w:rPr>
                    <w:t>序号</w:t>
                  </w:r>
                </w:p>
              </w:tc>
              <w:tc>
                <w:tcPr>
                  <w:tcW w:w="938" w:type="pct"/>
                  <w:vAlign w:val="center"/>
                </w:tcPr>
                <w:p>
                  <w:pPr>
                    <w:adjustRightInd w:val="0"/>
                    <w:snapToGrid w:val="0"/>
                    <w:jc w:val="center"/>
                    <w:rPr>
                      <w:b/>
                    </w:rPr>
                  </w:pPr>
                  <w:r>
                    <w:rPr>
                      <w:b/>
                    </w:rPr>
                    <w:t>设备名称</w:t>
                  </w:r>
                </w:p>
              </w:tc>
              <w:tc>
                <w:tcPr>
                  <w:tcW w:w="420" w:type="pct"/>
                  <w:vAlign w:val="center"/>
                </w:tcPr>
                <w:p>
                  <w:pPr>
                    <w:adjustRightInd w:val="0"/>
                    <w:snapToGrid w:val="0"/>
                    <w:jc w:val="center"/>
                    <w:rPr>
                      <w:b/>
                    </w:rPr>
                  </w:pPr>
                  <w:r>
                    <w:rPr>
                      <w:b/>
                    </w:rPr>
                    <w:t>数量</w:t>
                  </w:r>
                </w:p>
              </w:tc>
              <w:tc>
                <w:tcPr>
                  <w:tcW w:w="696" w:type="pct"/>
                  <w:vAlign w:val="center"/>
                </w:tcPr>
                <w:p>
                  <w:pPr>
                    <w:adjustRightInd w:val="0"/>
                    <w:snapToGrid w:val="0"/>
                    <w:jc w:val="center"/>
                    <w:rPr>
                      <w:b/>
                    </w:rPr>
                  </w:pPr>
                  <w:r>
                    <w:rPr>
                      <w:b/>
                    </w:rPr>
                    <w:t>声级范围（1m处）</w:t>
                  </w:r>
                </w:p>
              </w:tc>
              <w:tc>
                <w:tcPr>
                  <w:tcW w:w="608" w:type="pct"/>
                  <w:vAlign w:val="center"/>
                </w:tcPr>
                <w:p>
                  <w:pPr>
                    <w:adjustRightInd w:val="0"/>
                    <w:snapToGrid w:val="0"/>
                    <w:jc w:val="center"/>
                    <w:rPr>
                      <w:b/>
                    </w:rPr>
                  </w:pPr>
                  <w:r>
                    <w:rPr>
                      <w:b/>
                    </w:rPr>
                    <w:t>叠加设备噪声级dB（A）</w:t>
                  </w:r>
                </w:p>
              </w:tc>
              <w:tc>
                <w:tcPr>
                  <w:tcW w:w="608" w:type="pct"/>
                  <w:vAlign w:val="center"/>
                </w:tcPr>
                <w:p>
                  <w:pPr>
                    <w:adjustRightInd w:val="0"/>
                    <w:snapToGrid w:val="0"/>
                    <w:jc w:val="center"/>
                    <w:rPr>
                      <w:b/>
                    </w:rPr>
                  </w:pPr>
                  <w:r>
                    <w:rPr>
                      <w:b/>
                    </w:rPr>
                    <w:t>降噪措施</w:t>
                  </w:r>
                </w:p>
              </w:tc>
              <w:tc>
                <w:tcPr>
                  <w:tcW w:w="609" w:type="pct"/>
                  <w:vAlign w:val="center"/>
                </w:tcPr>
                <w:p>
                  <w:pPr>
                    <w:adjustRightInd w:val="0"/>
                    <w:snapToGrid w:val="0"/>
                    <w:jc w:val="center"/>
                    <w:rPr>
                      <w:b/>
                    </w:rPr>
                  </w:pPr>
                  <w:r>
                    <w:rPr>
                      <w:b/>
                    </w:rPr>
                    <w:t>降噪后叠加声压值dB（A）</w:t>
                  </w:r>
                </w:p>
              </w:tc>
              <w:tc>
                <w:tcPr>
                  <w:tcW w:w="756" w:type="pct"/>
                  <w:vAlign w:val="center"/>
                </w:tcPr>
                <w:p>
                  <w:pPr>
                    <w:adjustRightInd w:val="0"/>
                    <w:snapToGrid w:val="0"/>
                    <w:jc w:val="center"/>
                    <w:rPr>
                      <w:b/>
                    </w:rPr>
                  </w:pPr>
                  <w:r>
                    <w:rPr>
                      <w:b/>
                      <w:bCs/>
                    </w:rPr>
                    <w:t>工作时段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1</w:t>
                  </w:r>
                </w:p>
              </w:tc>
              <w:tc>
                <w:tcPr>
                  <w:tcW w:w="938" w:type="pct"/>
                  <w:vAlign w:val="center"/>
                </w:tcPr>
                <w:p>
                  <w:pPr>
                    <w:adjustRightInd w:val="0"/>
                    <w:snapToGrid w:val="0"/>
                    <w:spacing w:before="120" w:beforeLines="50" w:line="360" w:lineRule="auto"/>
                    <w:jc w:val="center"/>
                  </w:pPr>
                  <w:r>
                    <w:t>压铸机</w:t>
                  </w:r>
                </w:p>
              </w:tc>
              <w:tc>
                <w:tcPr>
                  <w:tcW w:w="420" w:type="pct"/>
                  <w:vAlign w:val="center"/>
                </w:tcPr>
                <w:p>
                  <w:pPr>
                    <w:widowControl/>
                    <w:adjustRightInd w:val="0"/>
                    <w:snapToGrid w:val="0"/>
                    <w:jc w:val="center"/>
                  </w:pPr>
                  <w:r>
                    <w:t>9台</w:t>
                  </w:r>
                </w:p>
              </w:tc>
              <w:tc>
                <w:tcPr>
                  <w:tcW w:w="696" w:type="pct"/>
                  <w:vAlign w:val="center"/>
                </w:tcPr>
                <w:p>
                  <w:pPr>
                    <w:adjustRightInd w:val="0"/>
                    <w:snapToGrid w:val="0"/>
                    <w:jc w:val="center"/>
                  </w:pPr>
                  <w:r>
                    <w:t>75</w:t>
                  </w:r>
                </w:p>
              </w:tc>
              <w:tc>
                <w:tcPr>
                  <w:tcW w:w="608" w:type="pct"/>
                  <w:vAlign w:val="center"/>
                </w:tcPr>
                <w:p>
                  <w:pPr>
                    <w:adjustRightInd w:val="0"/>
                    <w:snapToGrid w:val="0"/>
                    <w:jc w:val="center"/>
                  </w:pPr>
                  <w:r>
                    <w:rPr>
                      <w:rFonts w:hint="eastAsia"/>
                    </w:rPr>
                    <w:t>84</w:t>
                  </w:r>
                </w:p>
              </w:tc>
              <w:tc>
                <w:tcPr>
                  <w:tcW w:w="608" w:type="pct"/>
                  <w:vMerge w:val="restart"/>
                  <w:vAlign w:val="center"/>
                </w:tcPr>
                <w:p>
                  <w:pPr>
                    <w:adjustRightInd w:val="0"/>
                    <w:snapToGrid w:val="0"/>
                    <w:jc w:val="center"/>
                  </w:pPr>
                  <w:r>
                    <w:t>选用低噪声设备、隔声减振，削减量</w:t>
                  </w:r>
                  <w:r>
                    <w:rPr>
                      <w:rFonts w:hint="eastAsia"/>
                    </w:rPr>
                    <w:t>30</w:t>
                  </w:r>
                  <w:r>
                    <w:t>dB（A）</w:t>
                  </w:r>
                </w:p>
              </w:tc>
              <w:tc>
                <w:tcPr>
                  <w:tcW w:w="609" w:type="pct"/>
                  <w:vAlign w:val="center"/>
                </w:tcPr>
                <w:p>
                  <w:pPr>
                    <w:adjustRightInd w:val="0"/>
                    <w:snapToGrid w:val="0"/>
                    <w:jc w:val="center"/>
                  </w:pPr>
                  <w:r>
                    <w:rPr>
                      <w:rFonts w:hint="eastAsia"/>
                    </w:rPr>
                    <w:t>54</w:t>
                  </w:r>
                </w:p>
              </w:tc>
              <w:tc>
                <w:tcPr>
                  <w:tcW w:w="756" w:type="pct"/>
                  <w:vMerge w:val="restart"/>
                  <w:vAlign w:val="center"/>
                </w:tcPr>
                <w:p>
                  <w:pPr>
                    <w:adjustRightInd w:val="0"/>
                    <w:snapToGrid w:val="0"/>
                    <w:jc w:val="center"/>
                  </w:pPr>
                  <w:r>
                    <w:t>昼间8时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rPr>
                      <w:rFonts w:hint="eastAsia"/>
                    </w:rPr>
                    <w:t>2</w:t>
                  </w:r>
                </w:p>
              </w:tc>
              <w:tc>
                <w:tcPr>
                  <w:tcW w:w="938" w:type="pct"/>
                  <w:vAlign w:val="center"/>
                </w:tcPr>
                <w:p>
                  <w:pPr>
                    <w:adjustRightInd w:val="0"/>
                    <w:snapToGrid w:val="0"/>
                    <w:spacing w:before="120" w:beforeLines="50" w:line="360" w:lineRule="auto"/>
                    <w:jc w:val="center"/>
                    <w:rPr>
                      <w:bCs/>
                    </w:rPr>
                  </w:pPr>
                  <w:r>
                    <w:rPr>
                      <w:rFonts w:hint="eastAsia"/>
                      <w:bCs/>
                    </w:rPr>
                    <w:t>感应电炉</w:t>
                  </w:r>
                </w:p>
              </w:tc>
              <w:tc>
                <w:tcPr>
                  <w:tcW w:w="420" w:type="pct"/>
                  <w:vAlign w:val="center"/>
                </w:tcPr>
                <w:p>
                  <w:pPr>
                    <w:widowControl/>
                    <w:adjustRightInd w:val="0"/>
                    <w:snapToGrid w:val="0"/>
                    <w:jc w:val="center"/>
                  </w:pPr>
                  <w:r>
                    <w:rPr>
                      <w:rFonts w:hint="eastAsia"/>
                    </w:rPr>
                    <w:t>9台</w:t>
                  </w:r>
                </w:p>
              </w:tc>
              <w:tc>
                <w:tcPr>
                  <w:tcW w:w="696" w:type="pct"/>
                  <w:vAlign w:val="center"/>
                </w:tcPr>
                <w:p>
                  <w:pPr>
                    <w:adjustRightInd w:val="0"/>
                    <w:snapToGrid w:val="0"/>
                    <w:jc w:val="center"/>
                  </w:pPr>
                  <w:r>
                    <w:rPr>
                      <w:rFonts w:hint="eastAsia"/>
                    </w:rPr>
                    <w:t>75</w:t>
                  </w:r>
                </w:p>
              </w:tc>
              <w:tc>
                <w:tcPr>
                  <w:tcW w:w="608" w:type="pct"/>
                  <w:vAlign w:val="center"/>
                </w:tcPr>
                <w:p>
                  <w:pPr>
                    <w:adjustRightInd w:val="0"/>
                    <w:snapToGrid w:val="0"/>
                    <w:jc w:val="center"/>
                  </w:pPr>
                  <w:r>
                    <w:rPr>
                      <w:rFonts w:hint="eastAsia"/>
                    </w:rPr>
                    <w:t>84</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54</w:t>
                  </w:r>
                </w:p>
              </w:tc>
              <w:tc>
                <w:tcPr>
                  <w:tcW w:w="75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2</w:t>
                  </w:r>
                </w:p>
              </w:tc>
              <w:tc>
                <w:tcPr>
                  <w:tcW w:w="938" w:type="pct"/>
                  <w:vAlign w:val="center"/>
                </w:tcPr>
                <w:p>
                  <w:pPr>
                    <w:adjustRightInd w:val="0"/>
                    <w:snapToGrid w:val="0"/>
                    <w:spacing w:before="120" w:beforeLines="50" w:line="360" w:lineRule="auto"/>
                    <w:jc w:val="center"/>
                    <w:rPr>
                      <w:bCs/>
                    </w:rPr>
                  </w:pPr>
                  <w:r>
                    <w:rPr>
                      <w:bCs/>
                    </w:rPr>
                    <w:t>打磨机</w:t>
                  </w:r>
                </w:p>
              </w:tc>
              <w:tc>
                <w:tcPr>
                  <w:tcW w:w="420" w:type="pct"/>
                  <w:vAlign w:val="center"/>
                </w:tcPr>
                <w:p>
                  <w:pPr>
                    <w:widowControl/>
                    <w:adjustRightInd w:val="0"/>
                    <w:snapToGrid w:val="0"/>
                    <w:jc w:val="center"/>
                  </w:pPr>
                  <w:r>
                    <w:t>2台</w:t>
                  </w:r>
                </w:p>
              </w:tc>
              <w:tc>
                <w:tcPr>
                  <w:tcW w:w="696" w:type="pct"/>
                  <w:vAlign w:val="center"/>
                </w:tcPr>
                <w:p>
                  <w:pPr>
                    <w:adjustRightInd w:val="0"/>
                    <w:snapToGrid w:val="0"/>
                    <w:jc w:val="center"/>
                  </w:pPr>
                  <w:r>
                    <w:t>80</w:t>
                  </w:r>
                </w:p>
              </w:tc>
              <w:tc>
                <w:tcPr>
                  <w:tcW w:w="608" w:type="pct"/>
                  <w:vAlign w:val="center"/>
                </w:tcPr>
                <w:p>
                  <w:pPr>
                    <w:adjustRightInd w:val="0"/>
                    <w:snapToGrid w:val="0"/>
                    <w:jc w:val="center"/>
                  </w:pPr>
                  <w:r>
                    <w:rPr>
                      <w:rFonts w:hint="eastAsia"/>
                    </w:rPr>
                    <w:t>86</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56</w:t>
                  </w:r>
                </w:p>
              </w:tc>
              <w:tc>
                <w:tcPr>
                  <w:tcW w:w="756" w:type="pct"/>
                  <w:vMerge w:val="continue"/>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3</w:t>
                  </w:r>
                </w:p>
              </w:tc>
              <w:tc>
                <w:tcPr>
                  <w:tcW w:w="938" w:type="pct"/>
                  <w:vAlign w:val="center"/>
                </w:tcPr>
                <w:p>
                  <w:pPr>
                    <w:adjustRightInd w:val="0"/>
                    <w:snapToGrid w:val="0"/>
                    <w:spacing w:before="120" w:beforeLines="50" w:line="360" w:lineRule="auto"/>
                    <w:jc w:val="center"/>
                    <w:rPr>
                      <w:bCs/>
                    </w:rPr>
                  </w:pPr>
                  <w:r>
                    <w:rPr>
                      <w:bCs/>
                    </w:rPr>
                    <w:t>气动锉刀</w:t>
                  </w:r>
                </w:p>
              </w:tc>
              <w:tc>
                <w:tcPr>
                  <w:tcW w:w="420" w:type="pct"/>
                  <w:vAlign w:val="center"/>
                </w:tcPr>
                <w:p>
                  <w:pPr>
                    <w:widowControl/>
                    <w:adjustRightInd w:val="0"/>
                    <w:snapToGrid w:val="0"/>
                    <w:jc w:val="center"/>
                  </w:pPr>
                  <w:r>
                    <w:t>5台</w:t>
                  </w:r>
                </w:p>
              </w:tc>
              <w:tc>
                <w:tcPr>
                  <w:tcW w:w="696" w:type="pct"/>
                  <w:vAlign w:val="center"/>
                </w:tcPr>
                <w:p>
                  <w:pPr>
                    <w:adjustRightInd w:val="0"/>
                    <w:snapToGrid w:val="0"/>
                    <w:jc w:val="center"/>
                  </w:pPr>
                  <w:r>
                    <w:t>80</w:t>
                  </w:r>
                </w:p>
              </w:tc>
              <w:tc>
                <w:tcPr>
                  <w:tcW w:w="608" w:type="pct"/>
                  <w:vAlign w:val="center"/>
                </w:tcPr>
                <w:p>
                  <w:pPr>
                    <w:adjustRightInd w:val="0"/>
                    <w:snapToGrid w:val="0"/>
                    <w:jc w:val="center"/>
                  </w:pPr>
                  <w:r>
                    <w:rPr>
                      <w:rFonts w:hint="eastAsia"/>
                    </w:rPr>
                    <w:t>87</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57</w:t>
                  </w:r>
                </w:p>
              </w:tc>
              <w:tc>
                <w:tcPr>
                  <w:tcW w:w="756"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4</w:t>
                  </w:r>
                </w:p>
              </w:tc>
              <w:tc>
                <w:tcPr>
                  <w:tcW w:w="938" w:type="pct"/>
                  <w:vAlign w:val="center"/>
                </w:tcPr>
                <w:p>
                  <w:pPr>
                    <w:adjustRightInd w:val="0"/>
                    <w:snapToGrid w:val="0"/>
                    <w:spacing w:before="120" w:beforeLines="50" w:line="360" w:lineRule="auto"/>
                    <w:jc w:val="center"/>
                    <w:rPr>
                      <w:bCs/>
                    </w:rPr>
                  </w:pPr>
                  <w:r>
                    <w:rPr>
                      <w:bCs/>
                    </w:rPr>
                    <w:t>冲床</w:t>
                  </w:r>
                </w:p>
              </w:tc>
              <w:tc>
                <w:tcPr>
                  <w:tcW w:w="420" w:type="pct"/>
                  <w:vAlign w:val="center"/>
                </w:tcPr>
                <w:p>
                  <w:pPr>
                    <w:widowControl/>
                    <w:adjustRightInd w:val="0"/>
                    <w:snapToGrid w:val="0"/>
                    <w:jc w:val="center"/>
                  </w:pPr>
                  <w:r>
                    <w:t>11台</w:t>
                  </w:r>
                </w:p>
              </w:tc>
              <w:tc>
                <w:tcPr>
                  <w:tcW w:w="696" w:type="pct"/>
                  <w:vAlign w:val="center"/>
                </w:tcPr>
                <w:p>
                  <w:pPr>
                    <w:adjustRightInd w:val="0"/>
                    <w:snapToGrid w:val="0"/>
                    <w:jc w:val="center"/>
                  </w:pPr>
                  <w:r>
                    <w:t>75</w:t>
                  </w:r>
                </w:p>
              </w:tc>
              <w:tc>
                <w:tcPr>
                  <w:tcW w:w="608" w:type="pct"/>
                  <w:vAlign w:val="center"/>
                </w:tcPr>
                <w:p>
                  <w:pPr>
                    <w:adjustRightInd w:val="0"/>
                    <w:snapToGrid w:val="0"/>
                    <w:jc w:val="center"/>
                  </w:pPr>
                  <w:r>
                    <w:rPr>
                      <w:rFonts w:hint="eastAsia"/>
                    </w:rPr>
                    <w:t>84.5</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54.5</w:t>
                  </w:r>
                </w:p>
              </w:tc>
              <w:tc>
                <w:tcPr>
                  <w:tcW w:w="756"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5</w:t>
                  </w:r>
                </w:p>
              </w:tc>
              <w:tc>
                <w:tcPr>
                  <w:tcW w:w="938" w:type="pct"/>
                  <w:vAlign w:val="center"/>
                </w:tcPr>
                <w:p>
                  <w:pPr>
                    <w:adjustRightInd w:val="0"/>
                    <w:snapToGrid w:val="0"/>
                    <w:spacing w:before="120" w:beforeLines="50" w:line="360" w:lineRule="auto"/>
                    <w:jc w:val="center"/>
                    <w:rPr>
                      <w:bCs/>
                    </w:rPr>
                  </w:pPr>
                  <w:r>
                    <w:rPr>
                      <w:bCs/>
                    </w:rPr>
                    <w:t>数控车床</w:t>
                  </w:r>
                </w:p>
              </w:tc>
              <w:tc>
                <w:tcPr>
                  <w:tcW w:w="420" w:type="pct"/>
                  <w:vAlign w:val="center"/>
                </w:tcPr>
                <w:p>
                  <w:pPr>
                    <w:widowControl/>
                    <w:adjustRightInd w:val="0"/>
                    <w:snapToGrid w:val="0"/>
                    <w:jc w:val="center"/>
                  </w:pPr>
                  <w:r>
                    <w:t>4台</w:t>
                  </w:r>
                </w:p>
              </w:tc>
              <w:tc>
                <w:tcPr>
                  <w:tcW w:w="696" w:type="pct"/>
                  <w:vAlign w:val="center"/>
                </w:tcPr>
                <w:p>
                  <w:pPr>
                    <w:adjustRightInd w:val="0"/>
                    <w:snapToGrid w:val="0"/>
                    <w:jc w:val="center"/>
                  </w:pPr>
                  <w:r>
                    <w:rPr>
                      <w:rFonts w:hint="eastAsia"/>
                    </w:rPr>
                    <w:t>70</w:t>
                  </w:r>
                </w:p>
              </w:tc>
              <w:tc>
                <w:tcPr>
                  <w:tcW w:w="608" w:type="pct"/>
                  <w:vAlign w:val="center"/>
                </w:tcPr>
                <w:p>
                  <w:pPr>
                    <w:adjustRightInd w:val="0"/>
                    <w:snapToGrid w:val="0"/>
                    <w:jc w:val="center"/>
                  </w:pPr>
                  <w:r>
                    <w:rPr>
                      <w:rFonts w:hint="eastAsia"/>
                    </w:rPr>
                    <w:t>77</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47</w:t>
                  </w:r>
                </w:p>
              </w:tc>
              <w:tc>
                <w:tcPr>
                  <w:tcW w:w="756"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6</w:t>
                  </w:r>
                </w:p>
              </w:tc>
              <w:tc>
                <w:tcPr>
                  <w:tcW w:w="938" w:type="pct"/>
                  <w:vAlign w:val="center"/>
                </w:tcPr>
                <w:p>
                  <w:pPr>
                    <w:adjustRightInd w:val="0"/>
                    <w:snapToGrid w:val="0"/>
                    <w:spacing w:before="120" w:beforeLines="50" w:line="360" w:lineRule="auto"/>
                    <w:jc w:val="center"/>
                    <w:rPr>
                      <w:bCs/>
                    </w:rPr>
                  </w:pPr>
                  <w:r>
                    <w:rPr>
                      <w:bCs/>
                    </w:rPr>
                    <w:t>钻孔机</w:t>
                  </w:r>
                </w:p>
              </w:tc>
              <w:tc>
                <w:tcPr>
                  <w:tcW w:w="420" w:type="pct"/>
                  <w:vAlign w:val="center"/>
                </w:tcPr>
                <w:p>
                  <w:pPr>
                    <w:widowControl/>
                    <w:adjustRightInd w:val="0"/>
                    <w:snapToGrid w:val="0"/>
                    <w:jc w:val="center"/>
                  </w:pPr>
                  <w:r>
                    <w:t>12台</w:t>
                  </w:r>
                </w:p>
              </w:tc>
              <w:tc>
                <w:tcPr>
                  <w:tcW w:w="696" w:type="pct"/>
                  <w:vAlign w:val="center"/>
                </w:tcPr>
                <w:p>
                  <w:pPr>
                    <w:adjustRightInd w:val="0"/>
                    <w:snapToGrid w:val="0"/>
                    <w:jc w:val="center"/>
                  </w:pPr>
                  <w:r>
                    <w:rPr>
                      <w:rFonts w:hint="eastAsia"/>
                    </w:rPr>
                    <w:t>75</w:t>
                  </w:r>
                </w:p>
              </w:tc>
              <w:tc>
                <w:tcPr>
                  <w:tcW w:w="608" w:type="pct"/>
                  <w:vAlign w:val="center"/>
                </w:tcPr>
                <w:p>
                  <w:pPr>
                    <w:adjustRightInd w:val="0"/>
                    <w:snapToGrid w:val="0"/>
                    <w:jc w:val="center"/>
                  </w:pPr>
                  <w:r>
                    <w:rPr>
                      <w:rFonts w:hint="eastAsia"/>
                    </w:rPr>
                    <w:t>84.5</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54.5</w:t>
                  </w:r>
                </w:p>
              </w:tc>
              <w:tc>
                <w:tcPr>
                  <w:tcW w:w="756"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7</w:t>
                  </w:r>
                </w:p>
              </w:tc>
              <w:tc>
                <w:tcPr>
                  <w:tcW w:w="938" w:type="pct"/>
                  <w:vAlign w:val="center"/>
                </w:tcPr>
                <w:p>
                  <w:pPr>
                    <w:adjustRightInd w:val="0"/>
                    <w:snapToGrid w:val="0"/>
                    <w:spacing w:before="120" w:beforeLines="50" w:line="360" w:lineRule="auto"/>
                    <w:jc w:val="center"/>
                    <w:rPr>
                      <w:bCs/>
                    </w:rPr>
                  </w:pPr>
                  <w:r>
                    <w:rPr>
                      <w:bCs/>
                    </w:rPr>
                    <w:t>攻牙机</w:t>
                  </w:r>
                </w:p>
              </w:tc>
              <w:tc>
                <w:tcPr>
                  <w:tcW w:w="420" w:type="pct"/>
                  <w:vAlign w:val="center"/>
                </w:tcPr>
                <w:p>
                  <w:pPr>
                    <w:widowControl/>
                    <w:adjustRightInd w:val="0"/>
                    <w:snapToGrid w:val="0"/>
                    <w:jc w:val="center"/>
                  </w:pPr>
                  <w:r>
                    <w:t>8台</w:t>
                  </w:r>
                </w:p>
              </w:tc>
              <w:tc>
                <w:tcPr>
                  <w:tcW w:w="696" w:type="pct"/>
                  <w:vAlign w:val="center"/>
                </w:tcPr>
                <w:p>
                  <w:pPr>
                    <w:adjustRightInd w:val="0"/>
                    <w:snapToGrid w:val="0"/>
                    <w:jc w:val="center"/>
                  </w:pPr>
                  <w:r>
                    <w:t>72</w:t>
                  </w:r>
                </w:p>
              </w:tc>
              <w:tc>
                <w:tcPr>
                  <w:tcW w:w="608" w:type="pct"/>
                  <w:vAlign w:val="center"/>
                </w:tcPr>
                <w:p>
                  <w:pPr>
                    <w:adjustRightInd w:val="0"/>
                    <w:snapToGrid w:val="0"/>
                    <w:jc w:val="center"/>
                  </w:pPr>
                  <w:r>
                    <w:rPr>
                      <w:rFonts w:hint="eastAsia"/>
                    </w:rPr>
                    <w:t>81</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51</w:t>
                  </w:r>
                </w:p>
              </w:tc>
              <w:tc>
                <w:tcPr>
                  <w:tcW w:w="756"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8</w:t>
                  </w:r>
                </w:p>
              </w:tc>
              <w:tc>
                <w:tcPr>
                  <w:tcW w:w="938" w:type="pct"/>
                  <w:vAlign w:val="center"/>
                </w:tcPr>
                <w:p>
                  <w:pPr>
                    <w:adjustRightInd w:val="0"/>
                    <w:snapToGrid w:val="0"/>
                    <w:spacing w:before="120" w:beforeLines="50" w:line="360" w:lineRule="auto"/>
                    <w:jc w:val="center"/>
                    <w:rPr>
                      <w:bCs/>
                    </w:rPr>
                  </w:pPr>
                  <w:r>
                    <w:rPr>
                      <w:bCs/>
                    </w:rPr>
                    <w:t>喷砂机</w:t>
                  </w:r>
                </w:p>
              </w:tc>
              <w:tc>
                <w:tcPr>
                  <w:tcW w:w="420" w:type="pct"/>
                  <w:vAlign w:val="center"/>
                </w:tcPr>
                <w:p>
                  <w:pPr>
                    <w:widowControl/>
                    <w:adjustRightInd w:val="0"/>
                    <w:snapToGrid w:val="0"/>
                    <w:jc w:val="center"/>
                  </w:pPr>
                  <w:r>
                    <w:t>2台</w:t>
                  </w:r>
                </w:p>
              </w:tc>
              <w:tc>
                <w:tcPr>
                  <w:tcW w:w="696" w:type="pct"/>
                  <w:vAlign w:val="center"/>
                </w:tcPr>
                <w:p>
                  <w:pPr>
                    <w:adjustRightInd w:val="0"/>
                    <w:snapToGrid w:val="0"/>
                    <w:jc w:val="center"/>
                  </w:pPr>
                  <w:r>
                    <w:t>75</w:t>
                  </w:r>
                </w:p>
              </w:tc>
              <w:tc>
                <w:tcPr>
                  <w:tcW w:w="608" w:type="pct"/>
                  <w:vAlign w:val="center"/>
                </w:tcPr>
                <w:p>
                  <w:pPr>
                    <w:adjustRightInd w:val="0"/>
                    <w:snapToGrid w:val="0"/>
                    <w:jc w:val="center"/>
                  </w:pPr>
                  <w:r>
                    <w:rPr>
                      <w:rFonts w:hint="eastAsia"/>
                    </w:rPr>
                    <w:t>79</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49</w:t>
                  </w:r>
                </w:p>
              </w:tc>
              <w:tc>
                <w:tcPr>
                  <w:tcW w:w="756"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9</w:t>
                  </w:r>
                </w:p>
              </w:tc>
              <w:tc>
                <w:tcPr>
                  <w:tcW w:w="938" w:type="pct"/>
                  <w:vAlign w:val="center"/>
                </w:tcPr>
                <w:p>
                  <w:pPr>
                    <w:adjustRightInd w:val="0"/>
                    <w:snapToGrid w:val="0"/>
                    <w:spacing w:before="120" w:beforeLines="50" w:line="360" w:lineRule="auto"/>
                    <w:jc w:val="center"/>
                    <w:rPr>
                      <w:bCs/>
                    </w:rPr>
                  </w:pPr>
                  <w:r>
                    <w:rPr>
                      <w:bCs/>
                    </w:rPr>
                    <w:t>研磨机</w:t>
                  </w:r>
                </w:p>
              </w:tc>
              <w:tc>
                <w:tcPr>
                  <w:tcW w:w="420" w:type="pct"/>
                  <w:vAlign w:val="center"/>
                </w:tcPr>
                <w:p>
                  <w:pPr>
                    <w:widowControl/>
                    <w:adjustRightInd w:val="0"/>
                    <w:snapToGrid w:val="0"/>
                    <w:jc w:val="center"/>
                  </w:pPr>
                  <w:r>
                    <w:t>2台</w:t>
                  </w:r>
                </w:p>
              </w:tc>
              <w:tc>
                <w:tcPr>
                  <w:tcW w:w="696" w:type="pct"/>
                  <w:vAlign w:val="center"/>
                </w:tcPr>
                <w:p>
                  <w:pPr>
                    <w:adjustRightInd w:val="0"/>
                    <w:snapToGrid w:val="0"/>
                    <w:jc w:val="center"/>
                  </w:pPr>
                  <w:r>
                    <w:t>75</w:t>
                  </w:r>
                </w:p>
              </w:tc>
              <w:tc>
                <w:tcPr>
                  <w:tcW w:w="608" w:type="pct"/>
                  <w:vAlign w:val="center"/>
                </w:tcPr>
                <w:p>
                  <w:pPr>
                    <w:adjustRightInd w:val="0"/>
                    <w:snapToGrid w:val="0"/>
                    <w:jc w:val="center"/>
                  </w:pPr>
                  <w:r>
                    <w:rPr>
                      <w:rFonts w:hint="eastAsia"/>
                    </w:rPr>
                    <w:t>79</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49</w:t>
                  </w:r>
                </w:p>
              </w:tc>
              <w:tc>
                <w:tcPr>
                  <w:tcW w:w="756"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10</w:t>
                  </w:r>
                </w:p>
              </w:tc>
              <w:tc>
                <w:tcPr>
                  <w:tcW w:w="938" w:type="pct"/>
                  <w:vAlign w:val="center"/>
                </w:tcPr>
                <w:p>
                  <w:pPr>
                    <w:adjustRightInd w:val="0"/>
                    <w:snapToGrid w:val="0"/>
                    <w:spacing w:before="120" w:beforeLines="50" w:line="360" w:lineRule="auto"/>
                    <w:jc w:val="center"/>
                    <w:rPr>
                      <w:bCs/>
                    </w:rPr>
                  </w:pPr>
                  <w:r>
                    <w:rPr>
                      <w:bCs/>
                    </w:rPr>
                    <w:t>抛光机</w:t>
                  </w:r>
                </w:p>
              </w:tc>
              <w:tc>
                <w:tcPr>
                  <w:tcW w:w="420" w:type="pct"/>
                  <w:vAlign w:val="center"/>
                </w:tcPr>
                <w:p>
                  <w:pPr>
                    <w:widowControl/>
                    <w:adjustRightInd w:val="0"/>
                    <w:snapToGrid w:val="0"/>
                    <w:jc w:val="center"/>
                  </w:pPr>
                  <w:r>
                    <w:t>4台</w:t>
                  </w:r>
                </w:p>
              </w:tc>
              <w:tc>
                <w:tcPr>
                  <w:tcW w:w="696" w:type="pct"/>
                  <w:vAlign w:val="center"/>
                </w:tcPr>
                <w:p>
                  <w:pPr>
                    <w:adjustRightInd w:val="0"/>
                    <w:snapToGrid w:val="0"/>
                    <w:jc w:val="center"/>
                  </w:pPr>
                  <w:r>
                    <w:t>75</w:t>
                  </w:r>
                </w:p>
              </w:tc>
              <w:tc>
                <w:tcPr>
                  <w:tcW w:w="608" w:type="pct"/>
                  <w:vAlign w:val="center"/>
                </w:tcPr>
                <w:p>
                  <w:pPr>
                    <w:adjustRightInd w:val="0"/>
                    <w:snapToGrid w:val="0"/>
                    <w:jc w:val="center"/>
                  </w:pPr>
                  <w:r>
                    <w:rPr>
                      <w:rFonts w:hint="eastAsia"/>
                    </w:rPr>
                    <w:t>81</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51</w:t>
                  </w:r>
                </w:p>
              </w:tc>
              <w:tc>
                <w:tcPr>
                  <w:tcW w:w="756" w:type="pct"/>
                  <w:vMerge w:val="continue"/>
                  <w:vAlign w:val="center"/>
                </w:tcPr>
                <w:p>
                  <w:pPr>
                    <w:spacing w:before="120" w:beforeLines="5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exact"/>
                <w:jc w:val="center"/>
              </w:trPr>
              <w:tc>
                <w:tcPr>
                  <w:tcW w:w="361" w:type="pct"/>
                  <w:vAlign w:val="center"/>
                </w:tcPr>
                <w:p>
                  <w:pPr>
                    <w:adjustRightInd w:val="0"/>
                    <w:snapToGrid w:val="0"/>
                    <w:jc w:val="center"/>
                  </w:pPr>
                  <w:r>
                    <w:t>11</w:t>
                  </w:r>
                </w:p>
              </w:tc>
              <w:tc>
                <w:tcPr>
                  <w:tcW w:w="938" w:type="pct"/>
                  <w:vAlign w:val="center"/>
                </w:tcPr>
                <w:p>
                  <w:pPr>
                    <w:adjustRightInd w:val="0"/>
                    <w:snapToGrid w:val="0"/>
                    <w:spacing w:before="120" w:beforeLines="50" w:line="360" w:lineRule="auto"/>
                    <w:jc w:val="center"/>
                    <w:rPr>
                      <w:bCs/>
                    </w:rPr>
                  </w:pPr>
                  <w:r>
                    <w:rPr>
                      <w:bCs/>
                    </w:rPr>
                    <w:t>空压机</w:t>
                  </w:r>
                </w:p>
              </w:tc>
              <w:tc>
                <w:tcPr>
                  <w:tcW w:w="420" w:type="pct"/>
                  <w:vAlign w:val="center"/>
                </w:tcPr>
                <w:p>
                  <w:pPr>
                    <w:widowControl/>
                    <w:adjustRightInd w:val="0"/>
                    <w:snapToGrid w:val="0"/>
                    <w:jc w:val="center"/>
                  </w:pPr>
                  <w:r>
                    <w:t>4台</w:t>
                  </w:r>
                </w:p>
              </w:tc>
              <w:tc>
                <w:tcPr>
                  <w:tcW w:w="696" w:type="pct"/>
                  <w:vAlign w:val="center"/>
                </w:tcPr>
                <w:p>
                  <w:pPr>
                    <w:adjustRightInd w:val="0"/>
                    <w:snapToGrid w:val="0"/>
                    <w:jc w:val="center"/>
                  </w:pPr>
                  <w:r>
                    <w:t>80</w:t>
                  </w:r>
                </w:p>
              </w:tc>
              <w:tc>
                <w:tcPr>
                  <w:tcW w:w="608" w:type="pct"/>
                  <w:vAlign w:val="center"/>
                </w:tcPr>
                <w:p>
                  <w:pPr>
                    <w:adjustRightInd w:val="0"/>
                    <w:snapToGrid w:val="0"/>
                    <w:jc w:val="center"/>
                  </w:pPr>
                  <w:r>
                    <w:rPr>
                      <w:rFonts w:hint="eastAsia"/>
                    </w:rPr>
                    <w:t>86</w:t>
                  </w:r>
                </w:p>
              </w:tc>
              <w:tc>
                <w:tcPr>
                  <w:tcW w:w="608" w:type="pct"/>
                  <w:vMerge w:val="continue"/>
                  <w:vAlign w:val="center"/>
                </w:tcPr>
                <w:p>
                  <w:pPr>
                    <w:adjustRightInd w:val="0"/>
                    <w:snapToGrid w:val="0"/>
                    <w:jc w:val="center"/>
                  </w:pPr>
                </w:p>
              </w:tc>
              <w:tc>
                <w:tcPr>
                  <w:tcW w:w="609" w:type="pct"/>
                  <w:vAlign w:val="center"/>
                </w:tcPr>
                <w:p>
                  <w:pPr>
                    <w:adjustRightInd w:val="0"/>
                    <w:snapToGrid w:val="0"/>
                    <w:jc w:val="center"/>
                  </w:pPr>
                  <w:r>
                    <w:rPr>
                      <w:rFonts w:hint="eastAsia"/>
                    </w:rPr>
                    <w:t>56</w:t>
                  </w:r>
                </w:p>
              </w:tc>
              <w:tc>
                <w:tcPr>
                  <w:tcW w:w="756" w:type="pct"/>
                  <w:vMerge w:val="continue"/>
                  <w:vAlign w:val="center"/>
                </w:tcPr>
                <w:p>
                  <w:pPr>
                    <w:spacing w:before="120" w:beforeLines="50"/>
                    <w:jc w:val="center"/>
                  </w:pPr>
                </w:p>
              </w:tc>
            </w:tr>
          </w:tbl>
          <w:p>
            <w:pPr>
              <w:autoSpaceDE w:val="0"/>
              <w:autoSpaceDN w:val="0"/>
              <w:adjustRightInd w:val="0"/>
              <w:spacing w:before="120" w:beforeLines="50" w:line="360" w:lineRule="auto"/>
              <w:ind w:firstLine="422" w:firstLineChars="200"/>
              <w:jc w:val="left"/>
              <w:textAlignment w:val="baseline"/>
              <w:rPr>
                <w:b/>
              </w:rPr>
            </w:pPr>
            <w:r>
              <w:rPr>
                <w:b/>
              </w:rPr>
              <w:t>2.噪声防治措施</w:t>
            </w:r>
          </w:p>
          <w:p>
            <w:pPr>
              <w:adjustRightInd w:val="0"/>
              <w:snapToGrid w:val="0"/>
              <w:spacing w:line="360" w:lineRule="auto"/>
              <w:ind w:firstLine="420" w:firstLineChars="200"/>
            </w:pPr>
            <w:r>
              <w:t xml:space="preserve">为减少机械噪声对周围环境的影响，确保项目噪声达标排放，建议建设单位对噪声源采取以下措施： </w:t>
            </w:r>
          </w:p>
          <w:p>
            <w:pPr>
              <w:adjustRightInd w:val="0"/>
              <w:snapToGrid w:val="0"/>
              <w:spacing w:line="360" w:lineRule="auto"/>
              <w:ind w:firstLine="420" w:firstLineChars="200"/>
            </w:pPr>
            <w:r>
              <w:t xml:space="preserve">（1）维持设备处于良好的运转状态，减少因零部件磨损产生的噪声； </w:t>
            </w:r>
          </w:p>
          <w:p>
            <w:pPr>
              <w:adjustRightInd w:val="0"/>
              <w:snapToGrid w:val="0"/>
              <w:spacing w:line="360" w:lineRule="auto"/>
              <w:ind w:firstLine="420" w:firstLineChars="200"/>
            </w:pPr>
            <w:r>
              <w:t xml:space="preserve">（2）合理布设生产车间，使强噪声设备远离车间边界，这样可通过车间阻挡噪声传播，尽量把车间的噪声影响限制在厂区范围内，降低噪声对外界的影响； </w:t>
            </w:r>
          </w:p>
          <w:p>
            <w:pPr>
              <w:adjustRightInd w:val="0"/>
              <w:snapToGrid w:val="0"/>
              <w:spacing w:line="360" w:lineRule="auto"/>
              <w:ind w:firstLine="420" w:firstLineChars="200"/>
            </w:pPr>
            <w:r>
              <w:t xml:space="preserve">（3）强噪声设备底座设置防振装置，并设置适当的隔声屏障； </w:t>
            </w:r>
          </w:p>
          <w:p>
            <w:pPr>
              <w:adjustRightInd w:val="0"/>
              <w:snapToGrid w:val="0"/>
              <w:spacing w:line="360" w:lineRule="auto"/>
              <w:ind w:firstLine="420" w:firstLineChars="200"/>
            </w:pPr>
            <w:r>
              <w:t>（4）加强作业管理，减少非正常噪声。生产时门窗紧闭，通过强制机械排风来加强车间通风换气，以减少噪声外传</w:t>
            </w:r>
          </w:p>
          <w:p>
            <w:pPr>
              <w:widowControl/>
              <w:adjustRightInd w:val="0"/>
              <w:snapToGrid w:val="0"/>
              <w:spacing w:before="120" w:beforeLines="50" w:line="360" w:lineRule="auto"/>
              <w:ind w:firstLine="422" w:firstLineChars="200"/>
              <w:rPr>
                <w:b/>
              </w:rPr>
            </w:pPr>
            <w:r>
              <w:rPr>
                <w:b/>
              </w:rPr>
              <w:t>3.达标性分析</w:t>
            </w:r>
          </w:p>
          <w:p>
            <w:pPr>
              <w:widowControl/>
              <w:adjustRightInd w:val="0"/>
              <w:snapToGrid w:val="0"/>
              <w:spacing w:line="360" w:lineRule="auto"/>
              <w:ind w:firstLine="420" w:firstLineChars="200"/>
            </w:pPr>
            <w:r>
              <w:t>固定声源的噪声向周围传播过程中，会发生反射、折射、衍射、吸收等现象。因此，随传播距离的增加而产生的衰减量并不按简单的几何规律计算。根据《环境影响评价技术导则-声环境》（HJ2.4-2021）对室内声源的预测方法，声源位于室内，室内声源可采用等效室外声源声功率级法进行计算。</w:t>
            </w:r>
          </w:p>
          <w:p>
            <w:pPr>
              <w:widowControl/>
              <w:adjustRightInd w:val="0"/>
              <w:snapToGrid w:val="0"/>
              <w:spacing w:line="360" w:lineRule="auto"/>
              <w:ind w:firstLine="525" w:firstLineChars="250"/>
            </w:pPr>
            <w:r>
              <w:t>（1）预测模型</w:t>
            </w:r>
          </w:p>
          <w:p>
            <w:pPr>
              <w:widowControl/>
              <w:adjustRightInd w:val="0"/>
              <w:snapToGrid w:val="0"/>
              <w:spacing w:line="360" w:lineRule="auto"/>
              <w:ind w:firstLine="525" w:firstLineChars="250"/>
            </w:pPr>
            <w:r>
              <w:t>①计算某一室内声源靠近围护结构处产生的倍频带声压级：</w:t>
            </w:r>
          </w:p>
          <w:p>
            <w:pPr>
              <w:widowControl/>
              <w:spacing w:line="360" w:lineRule="auto"/>
              <w:jc w:val="center"/>
              <w:rPr>
                <w:bCs/>
              </w:rPr>
            </w:pPr>
            <w:r>
              <w:rPr>
                <w:bCs/>
              </w:rPr>
              <w:object>
                <v:shape id="_x0000_i1026" o:spt="75" type="#_x0000_t75" style="height:28pt;width:120.5pt;" o:ole="t" filled="f" o:preferrelative="t" stroked="f" coordsize="21600,21600">
                  <v:path/>
                  <v:fill on="f" focussize="0,0"/>
                  <v:stroke on="f" joinstyle="miter"/>
                  <v:imagedata r:id="rId21" o:title=""/>
                  <o:lock v:ext="edit" aspectratio="t"/>
                  <w10:wrap type="none"/>
                  <w10:anchorlock/>
                </v:shape>
                <o:OLEObject Type="Embed" ProgID="Equation.3" ShapeID="_x0000_i1026" DrawAspect="Content" ObjectID="_1468075726" r:id="rId20">
                  <o:LockedField>false</o:LockedField>
                </o:OLEObject>
              </w:object>
            </w:r>
          </w:p>
          <w:p>
            <w:pPr>
              <w:widowControl/>
              <w:spacing w:line="360" w:lineRule="auto"/>
              <w:ind w:firstLine="525" w:firstLineChars="250"/>
            </w:pPr>
            <w:r>
              <w:t>式中：</w:t>
            </w:r>
          </w:p>
          <w:p>
            <w:pPr>
              <w:widowControl/>
              <w:spacing w:line="360" w:lineRule="auto"/>
              <w:ind w:firstLine="525" w:firstLineChars="250"/>
            </w:pPr>
            <w:r>
              <w:t>Q——指向性因数：通常对无指向性声源，当声源放在房间中心时，Q=1；当放在一面墙的中心时，Q=2；当放在两面墙夹角时，Q=4；当放在三面墙夹角处时，Q=8。</w:t>
            </w:r>
          </w:p>
          <w:p>
            <w:pPr>
              <w:widowControl/>
              <w:spacing w:line="360" w:lineRule="auto"/>
              <w:ind w:firstLine="525" w:firstLineChars="250"/>
            </w:pPr>
            <w:r>
              <w:t>R——房间常数：R=Sa/(1-a)，S为房间内表面面积，m</w:t>
            </w:r>
            <w:r>
              <w:rPr>
                <w:vertAlign w:val="superscript"/>
              </w:rPr>
              <w:t>2</w:t>
            </w:r>
            <w:r>
              <w:t>；a为平均吸声系数。</w:t>
            </w:r>
          </w:p>
          <w:p>
            <w:pPr>
              <w:widowControl/>
              <w:spacing w:line="360" w:lineRule="auto"/>
              <w:ind w:firstLine="525" w:firstLineChars="250"/>
            </w:pPr>
            <w:r>
              <w:t>r——声源到靠近围护结构某点处的距离，m。</w:t>
            </w:r>
          </w:p>
          <w:p>
            <w:pPr>
              <w:widowControl/>
              <w:spacing w:line="360" w:lineRule="auto"/>
              <w:ind w:firstLine="525" w:firstLineChars="250"/>
            </w:pPr>
            <w:r>
              <w:t>②计算出所有室内声源在围护结构处产生的i倍频带叠加声压级：</w:t>
            </w:r>
          </w:p>
          <w:p>
            <w:pPr>
              <w:widowControl/>
              <w:spacing w:line="360" w:lineRule="auto"/>
              <w:jc w:val="center"/>
              <w:rPr>
                <w:bCs/>
              </w:rPr>
            </w:pPr>
            <w:r>
              <w:rPr>
                <w:bCs/>
              </w:rPr>
              <w:drawing>
                <wp:inline distT="0" distB="0" distL="0" distR="0">
                  <wp:extent cx="1649095" cy="471170"/>
                  <wp:effectExtent l="0" t="0" r="8255" b="5080"/>
                  <wp:docPr id="28"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图片 28"/>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a:xfrm>
                            <a:off x="0" y="0"/>
                            <a:ext cx="1649095" cy="471170"/>
                          </a:xfrm>
                          <a:prstGeom prst="rect">
                            <a:avLst/>
                          </a:prstGeom>
                          <a:noFill/>
                          <a:ln>
                            <a:noFill/>
                          </a:ln>
                        </pic:spPr>
                      </pic:pic>
                    </a:graphicData>
                  </a:graphic>
                </wp:inline>
              </w:drawing>
            </w:r>
          </w:p>
          <w:p>
            <w:pPr>
              <w:widowControl/>
              <w:spacing w:line="360" w:lineRule="auto"/>
              <w:ind w:firstLine="525" w:firstLineChars="250"/>
            </w:pPr>
            <w:r>
              <w:t>式中：</w:t>
            </w:r>
          </w:p>
          <w:p>
            <w:pPr>
              <w:widowControl/>
              <w:spacing w:line="360" w:lineRule="auto"/>
              <w:ind w:firstLine="525" w:firstLineChars="250"/>
            </w:pPr>
            <w:r>
              <w:t>L</w:t>
            </w:r>
            <w:r>
              <w:rPr>
                <w:vertAlign w:val="subscript"/>
              </w:rPr>
              <w:t>P1i</w:t>
            </w:r>
            <w:r>
              <w:t>(T)——靠近围护结构处室内N个声源i倍频带的叠加声压级，dB；</w:t>
            </w:r>
          </w:p>
          <w:p>
            <w:pPr>
              <w:widowControl/>
              <w:spacing w:line="360" w:lineRule="auto"/>
              <w:ind w:firstLine="525" w:firstLineChars="250"/>
            </w:pPr>
            <w:r>
              <w:t>L</w:t>
            </w:r>
            <w:r>
              <w:rPr>
                <w:vertAlign w:val="subscript"/>
              </w:rPr>
              <w:t>P1ij</w:t>
            </w:r>
            <w:r>
              <w:t>——室内j声源i倍频带的声压级，dB；</w:t>
            </w:r>
          </w:p>
          <w:p>
            <w:pPr>
              <w:widowControl/>
              <w:spacing w:line="360" w:lineRule="auto"/>
              <w:ind w:firstLine="525" w:firstLineChars="250"/>
            </w:pPr>
            <w:r>
              <w:t>③在室内近似为扩散声场地，按下式计算出靠近室外围护结构处的声压级：</w:t>
            </w:r>
          </w:p>
          <w:p>
            <w:pPr>
              <w:widowControl/>
              <w:spacing w:line="360" w:lineRule="auto"/>
              <w:jc w:val="center"/>
              <w:rPr>
                <w:bCs/>
              </w:rPr>
            </w:pPr>
            <w:r>
              <w:rPr>
                <w:bCs/>
                <w:position w:val="-16"/>
              </w:rPr>
              <w:drawing>
                <wp:inline distT="0" distB="0" distL="0" distR="0">
                  <wp:extent cx="1761490" cy="263525"/>
                  <wp:effectExtent l="0" t="0" r="0" b="3175"/>
                  <wp:docPr id="27"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a:xfrm>
                            <a:off x="0" y="0"/>
                            <a:ext cx="1761490" cy="263525"/>
                          </a:xfrm>
                          <a:prstGeom prst="rect">
                            <a:avLst/>
                          </a:prstGeom>
                          <a:noFill/>
                          <a:ln>
                            <a:noFill/>
                          </a:ln>
                        </pic:spPr>
                      </pic:pic>
                    </a:graphicData>
                  </a:graphic>
                </wp:inline>
              </w:drawing>
            </w:r>
          </w:p>
          <w:p>
            <w:pPr>
              <w:widowControl/>
              <w:spacing w:line="360" w:lineRule="auto"/>
              <w:ind w:firstLine="525" w:firstLineChars="250"/>
            </w:pPr>
            <w:r>
              <w:t>式中：</w:t>
            </w:r>
          </w:p>
          <w:p>
            <w:pPr>
              <w:widowControl/>
              <w:spacing w:line="360" w:lineRule="auto"/>
              <w:ind w:firstLine="525" w:firstLineChars="250"/>
            </w:pPr>
            <w:r>
              <w:t>L</w:t>
            </w:r>
            <w:r>
              <w:rPr>
                <w:vertAlign w:val="subscript"/>
              </w:rPr>
              <w:t>P2i</w:t>
            </w:r>
            <w:r>
              <w:t>(T)——靠近围护结构处室外N个声源i倍频带的叠加声压级，dB；</w:t>
            </w:r>
          </w:p>
          <w:p>
            <w:pPr>
              <w:widowControl/>
              <w:spacing w:line="360" w:lineRule="auto"/>
              <w:ind w:firstLine="525" w:firstLineChars="250"/>
            </w:pPr>
            <w:r>
              <w:t>TL</w:t>
            </w:r>
            <w:r>
              <w:rPr>
                <w:vertAlign w:val="subscript"/>
              </w:rPr>
              <w:t>i</w:t>
            </w:r>
            <w:r>
              <w:t>——围护结构i倍频带的隔声量，dB；</w:t>
            </w:r>
          </w:p>
          <w:p>
            <w:pPr>
              <w:widowControl/>
              <w:spacing w:line="360" w:lineRule="auto"/>
              <w:ind w:firstLine="525" w:firstLineChars="250"/>
            </w:pPr>
            <w:r>
              <w:t>④将室外声源的声压级和透过面积换算成等效的室外声源，计算出中心位置位于透声面积（S）处的等效声源的倍频带声功率级。</w:t>
            </w:r>
          </w:p>
          <w:p>
            <w:pPr>
              <w:widowControl/>
              <w:spacing w:line="360" w:lineRule="auto"/>
              <w:jc w:val="center"/>
              <w:rPr>
                <w:bCs/>
              </w:rPr>
            </w:pPr>
            <w:r>
              <w:rPr>
                <w:bCs/>
                <w:position w:val="-12"/>
              </w:rPr>
              <w:drawing>
                <wp:inline distT="0" distB="0" distL="0" distR="0">
                  <wp:extent cx="1306830" cy="229870"/>
                  <wp:effectExtent l="0" t="0" r="7620" b="0"/>
                  <wp:docPr id="26"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a:xfrm>
                            <a:off x="0" y="0"/>
                            <a:ext cx="1306830" cy="229870"/>
                          </a:xfrm>
                          <a:prstGeom prst="rect">
                            <a:avLst/>
                          </a:prstGeom>
                          <a:noFill/>
                          <a:ln>
                            <a:noFill/>
                          </a:ln>
                        </pic:spPr>
                      </pic:pic>
                    </a:graphicData>
                  </a:graphic>
                </wp:inline>
              </w:drawing>
            </w:r>
          </w:p>
          <w:p>
            <w:pPr>
              <w:widowControl/>
              <w:spacing w:line="360" w:lineRule="auto"/>
              <w:ind w:firstLine="525" w:firstLineChars="250"/>
            </w:pPr>
            <w:r>
              <w:t>⑤按室外声源预测方法计算预测点处的A声级。</w:t>
            </w:r>
          </w:p>
          <w:p>
            <w:pPr>
              <w:widowControl/>
              <w:spacing w:line="360" w:lineRule="auto"/>
              <w:ind w:firstLine="525" w:firstLineChars="250"/>
            </w:pPr>
            <w:r>
              <w:t>设第i个室外声源在预测点产生的A声级为L</w:t>
            </w:r>
            <w:r>
              <w:rPr>
                <w:vertAlign w:val="subscript"/>
              </w:rPr>
              <w:t>Ai</w:t>
            </w:r>
            <w:r>
              <w:t>，在T时间内该声源工作时间为t</w:t>
            </w:r>
            <w:r>
              <w:rPr>
                <w:vertAlign w:val="subscript"/>
              </w:rPr>
              <w:t>i</w:t>
            </w:r>
            <w:r>
              <w:t>；第j个等效室外声源在预测点产生的A声级为L</w:t>
            </w:r>
            <w:r>
              <w:rPr>
                <w:vertAlign w:val="subscript"/>
              </w:rPr>
              <w:t>Aj</w:t>
            </w:r>
            <w:r>
              <w:t>，在T时间内该声源工作时间为t</w:t>
            </w:r>
            <w:r>
              <w:rPr>
                <w:vertAlign w:val="subscript"/>
              </w:rPr>
              <w:t>j</w:t>
            </w:r>
            <w:r>
              <w:t>，则拟建工程声源对预测点产生的贡献值（L</w:t>
            </w:r>
            <w:r>
              <w:rPr>
                <w:vertAlign w:val="subscript"/>
              </w:rPr>
              <w:t>eqg</w:t>
            </w:r>
            <w:r>
              <w:t>）为：</w:t>
            </w:r>
          </w:p>
          <w:p>
            <w:pPr>
              <w:widowControl/>
              <w:spacing w:line="360" w:lineRule="auto"/>
              <w:jc w:val="center"/>
              <w:rPr>
                <w:bCs/>
              </w:rPr>
            </w:pPr>
            <w:r>
              <w:rPr>
                <w:bCs/>
              </w:rPr>
              <w:drawing>
                <wp:inline distT="0" distB="0" distL="0" distR="0">
                  <wp:extent cx="2675890" cy="521970"/>
                  <wp:effectExtent l="0" t="0" r="0" b="0"/>
                  <wp:docPr id="25"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图片 25"/>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a:xfrm>
                            <a:off x="0" y="0"/>
                            <a:ext cx="2675890" cy="521970"/>
                          </a:xfrm>
                          <a:prstGeom prst="rect">
                            <a:avLst/>
                          </a:prstGeom>
                          <a:noFill/>
                          <a:ln>
                            <a:noFill/>
                          </a:ln>
                        </pic:spPr>
                      </pic:pic>
                    </a:graphicData>
                  </a:graphic>
                </wp:inline>
              </w:drawing>
            </w:r>
          </w:p>
          <w:p>
            <w:pPr>
              <w:widowControl/>
              <w:spacing w:line="360" w:lineRule="auto"/>
              <w:ind w:firstLine="525" w:firstLineChars="250"/>
            </w:pPr>
            <w:r>
              <w:t>式中：</w:t>
            </w:r>
          </w:p>
          <w:p>
            <w:pPr>
              <w:widowControl/>
              <w:spacing w:line="360" w:lineRule="auto"/>
              <w:ind w:firstLine="525" w:firstLineChars="250"/>
            </w:pPr>
            <w:r>
              <w:t>t</w:t>
            </w:r>
            <w:r>
              <w:rPr>
                <w:vertAlign w:val="subscript"/>
              </w:rPr>
              <w:t>j</w:t>
            </w:r>
            <w:r>
              <w:t>——在T时间内j声源工作时间，s；</w:t>
            </w:r>
          </w:p>
          <w:p>
            <w:pPr>
              <w:widowControl/>
              <w:spacing w:line="360" w:lineRule="auto"/>
              <w:ind w:firstLine="525" w:firstLineChars="250"/>
            </w:pPr>
            <w:r>
              <w:t>t</w:t>
            </w:r>
            <w:r>
              <w:rPr>
                <w:vertAlign w:val="subscript"/>
              </w:rPr>
              <w:t>i</w:t>
            </w:r>
            <w:r>
              <w:t>——在T时间内i声源工作时间，s；</w:t>
            </w:r>
          </w:p>
          <w:p>
            <w:pPr>
              <w:widowControl/>
              <w:spacing w:line="360" w:lineRule="auto"/>
              <w:ind w:firstLine="525" w:firstLineChars="250"/>
            </w:pPr>
            <w:r>
              <w:t>T——用于计算等效声级的时间，s；</w:t>
            </w:r>
          </w:p>
          <w:p>
            <w:pPr>
              <w:widowControl/>
              <w:spacing w:line="360" w:lineRule="auto"/>
              <w:ind w:firstLine="525" w:firstLineChars="250"/>
            </w:pPr>
            <w:r>
              <w:t>N——室外声源个数；</w:t>
            </w:r>
          </w:p>
          <w:p>
            <w:pPr>
              <w:widowControl/>
              <w:spacing w:line="360" w:lineRule="auto"/>
              <w:ind w:firstLine="525" w:firstLineChars="250"/>
            </w:pPr>
            <w:r>
              <w:t>M——等效室外声源个数；</w:t>
            </w:r>
          </w:p>
          <w:p>
            <w:pPr>
              <w:widowControl/>
              <w:spacing w:line="360" w:lineRule="auto"/>
              <w:ind w:firstLine="525" w:firstLineChars="250"/>
            </w:pPr>
            <w:r>
              <w:t>⑥预测点的预测等效声级（Leq）计算：</w:t>
            </w:r>
          </w:p>
          <w:p>
            <w:pPr>
              <w:widowControl/>
              <w:spacing w:line="360" w:lineRule="auto"/>
              <w:jc w:val="center"/>
              <w:rPr>
                <w:bCs/>
              </w:rPr>
            </w:pPr>
            <w:r>
              <w:rPr>
                <w:bCs/>
              </w:rPr>
              <w:drawing>
                <wp:inline distT="0" distB="0" distL="0" distR="0">
                  <wp:extent cx="1879600" cy="286385"/>
                  <wp:effectExtent l="0" t="0" r="6350" b="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noChangeArrowheads="1"/>
                          </pic:cNvPicPr>
                        </pic:nvPicPr>
                        <pic:blipFill>
                          <a:blip r:embed="rId26" cstate="print">
                            <a:extLst>
                              <a:ext uri="{28A0092B-C50C-407E-A947-70E740481C1C}">
                                <a14:useLocalDpi xmlns:a14="http://schemas.microsoft.com/office/drawing/2010/main" val="0"/>
                              </a:ext>
                            </a:extLst>
                          </a:blip>
                          <a:srcRect/>
                          <a:stretch>
                            <a:fillRect/>
                          </a:stretch>
                        </pic:blipFill>
                        <pic:spPr>
                          <a:xfrm>
                            <a:off x="0" y="0"/>
                            <a:ext cx="1879600" cy="286385"/>
                          </a:xfrm>
                          <a:prstGeom prst="rect">
                            <a:avLst/>
                          </a:prstGeom>
                          <a:noFill/>
                          <a:ln>
                            <a:noFill/>
                          </a:ln>
                        </pic:spPr>
                      </pic:pic>
                    </a:graphicData>
                  </a:graphic>
                </wp:inline>
              </w:drawing>
            </w:r>
          </w:p>
          <w:p>
            <w:pPr>
              <w:widowControl/>
              <w:spacing w:line="360" w:lineRule="auto"/>
              <w:ind w:firstLine="525" w:firstLineChars="250"/>
            </w:pPr>
            <w:r>
              <w:t>式中：L</w:t>
            </w:r>
            <w:r>
              <w:rPr>
                <w:vertAlign w:val="subscript"/>
              </w:rPr>
              <w:t>eq</w:t>
            </w:r>
            <w:r>
              <w:t>——建设项目声源在预测点的等效声级贡献量，dB(A)；</w:t>
            </w:r>
          </w:p>
          <w:p>
            <w:pPr>
              <w:widowControl/>
              <w:spacing w:line="360" w:lineRule="auto"/>
              <w:ind w:firstLine="525" w:firstLineChars="250"/>
            </w:pPr>
            <w:r>
              <w:t>L</w:t>
            </w:r>
            <w:r>
              <w:rPr>
                <w:vertAlign w:val="subscript"/>
              </w:rPr>
              <w:t>eqb</w:t>
            </w:r>
            <w:r>
              <w:t>——预测点背景值，dB(A)；</w:t>
            </w:r>
          </w:p>
          <w:p>
            <w:pPr>
              <w:widowControl/>
              <w:spacing w:line="360" w:lineRule="auto"/>
              <w:ind w:firstLine="525" w:firstLineChars="250"/>
            </w:pPr>
            <w:r>
              <w:fldChar w:fldCharType="begin"/>
            </w:r>
            <w:r>
              <w:instrText xml:space="preserve"> = 7 \* GB3 </w:instrText>
            </w:r>
            <w:r>
              <w:fldChar w:fldCharType="separate"/>
            </w:r>
            <w:r>
              <w:t>⑦</w:t>
            </w:r>
            <w:r>
              <w:fldChar w:fldCharType="end"/>
            </w:r>
            <w:r>
              <w:t>预测值计算采用点声源的半自由声场几何发散衰减公式：</w:t>
            </w:r>
          </w:p>
          <w:p>
            <w:pPr>
              <w:widowControl/>
              <w:spacing w:line="360" w:lineRule="auto"/>
              <w:ind w:firstLine="63" w:firstLineChars="30"/>
              <w:jc w:val="center"/>
            </w:pPr>
            <w:r>
              <w:rPr>
                <w:position w:val="-24"/>
              </w:rPr>
              <w:drawing>
                <wp:inline distT="0" distB="0" distL="0" distR="0">
                  <wp:extent cx="2008505" cy="364490"/>
                  <wp:effectExtent l="0" t="0" r="0" b="0"/>
                  <wp:docPr id="23"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pic:cNvPicPr>
                            <a:picLocks noChangeAspect="1" noChangeArrowheads="1"/>
                          </pic:cNvPicPr>
                        </pic:nvPicPr>
                        <pic:blipFill>
                          <a:blip r:embed="rId27" cstate="print">
                            <a:extLst>
                              <a:ext uri="{28A0092B-C50C-407E-A947-70E740481C1C}">
                                <a14:useLocalDpi xmlns:a14="http://schemas.microsoft.com/office/drawing/2010/main" val="0"/>
                              </a:ext>
                            </a:extLst>
                          </a:blip>
                          <a:srcRect/>
                          <a:stretch>
                            <a:fillRect/>
                          </a:stretch>
                        </pic:blipFill>
                        <pic:spPr>
                          <a:xfrm>
                            <a:off x="0" y="0"/>
                            <a:ext cx="2008505" cy="364490"/>
                          </a:xfrm>
                          <a:prstGeom prst="rect">
                            <a:avLst/>
                          </a:prstGeom>
                          <a:noFill/>
                          <a:ln>
                            <a:noFill/>
                          </a:ln>
                        </pic:spPr>
                      </pic:pic>
                    </a:graphicData>
                  </a:graphic>
                </wp:inline>
              </w:drawing>
            </w:r>
          </w:p>
          <w:p>
            <w:pPr>
              <w:widowControl/>
              <w:spacing w:line="360" w:lineRule="auto"/>
              <w:ind w:firstLine="525" w:firstLineChars="250"/>
            </w:pPr>
            <w:r>
              <w:t>式中：L</w:t>
            </w:r>
            <w:r>
              <w:rPr>
                <w:vertAlign w:val="subscript"/>
              </w:rPr>
              <w:t>oct(r)</w:t>
            </w:r>
            <w:r>
              <w:t>—点声源在预测点产生的倍频带声压级；</w:t>
            </w:r>
          </w:p>
          <w:p>
            <w:pPr>
              <w:widowControl/>
              <w:spacing w:line="360" w:lineRule="auto"/>
              <w:ind w:firstLine="525" w:firstLineChars="250"/>
            </w:pPr>
            <w:r>
              <w:t>L</w:t>
            </w:r>
            <w:r>
              <w:rPr>
                <w:vertAlign w:val="subscript"/>
              </w:rPr>
              <w:t>oct(r0)</w:t>
            </w:r>
            <w:r>
              <w:t>—参考位置r</w:t>
            </w:r>
            <w:r>
              <w:rPr>
                <w:vertAlign w:val="subscript"/>
              </w:rPr>
              <w:t>0</w:t>
            </w:r>
            <w:r>
              <w:t>处的倍频带声压级；</w:t>
            </w:r>
          </w:p>
          <w:p>
            <w:pPr>
              <w:widowControl/>
              <w:spacing w:line="360" w:lineRule="auto"/>
              <w:ind w:firstLine="525" w:firstLineChars="250"/>
            </w:pPr>
            <w:r>
              <w:t>r—预测点距声源的距离，m；</w:t>
            </w:r>
          </w:p>
          <w:p>
            <w:pPr>
              <w:widowControl/>
              <w:spacing w:line="360" w:lineRule="auto"/>
              <w:ind w:firstLine="525" w:firstLineChars="250"/>
            </w:pPr>
            <w:r>
              <w:t>r</w:t>
            </w:r>
            <w:r>
              <w:rPr>
                <w:vertAlign w:val="subscript"/>
              </w:rPr>
              <w:t>0</w:t>
            </w:r>
            <w:r>
              <w:t>—参考位置距声源的距离，m；r</w:t>
            </w:r>
            <w:r>
              <w:rPr>
                <w:vertAlign w:val="subscript"/>
              </w:rPr>
              <w:t>0</w:t>
            </w:r>
            <w:r>
              <w:t>=1</w:t>
            </w:r>
          </w:p>
          <w:p>
            <w:pPr>
              <w:widowControl/>
              <w:spacing w:line="360" w:lineRule="auto"/>
              <w:ind w:firstLine="525" w:firstLineChars="250"/>
            </w:pPr>
            <w:r>
              <w:t>综上分析，上式可简化为：</w:t>
            </w:r>
          </w:p>
          <w:p>
            <w:pPr>
              <w:widowControl/>
              <w:spacing w:line="360" w:lineRule="auto"/>
              <w:jc w:val="center"/>
            </w:pPr>
            <w:r>
              <w:rPr>
                <w:position w:val="-14"/>
              </w:rPr>
              <w:drawing>
                <wp:inline distT="0" distB="0" distL="0" distR="0">
                  <wp:extent cx="1873885" cy="257810"/>
                  <wp:effectExtent l="0" t="0" r="0" b="8890"/>
                  <wp:docPr id="22" name="图片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pic:cNvPicPr>
                            <a:picLocks noChangeAspect="1" noChangeArrowheads="1"/>
                          </pic:cNvPicPr>
                        </pic:nvPicPr>
                        <pic:blipFill>
                          <a:blip r:embed="rId28" cstate="print">
                            <a:extLst>
                              <a:ext uri="{28A0092B-C50C-407E-A947-70E740481C1C}">
                                <a14:useLocalDpi xmlns:a14="http://schemas.microsoft.com/office/drawing/2010/main" val="0"/>
                              </a:ext>
                            </a:extLst>
                          </a:blip>
                          <a:srcRect/>
                          <a:stretch>
                            <a:fillRect/>
                          </a:stretch>
                        </pic:blipFill>
                        <pic:spPr>
                          <a:xfrm>
                            <a:off x="0" y="0"/>
                            <a:ext cx="1873885" cy="257810"/>
                          </a:xfrm>
                          <a:prstGeom prst="rect">
                            <a:avLst/>
                          </a:prstGeom>
                          <a:noFill/>
                          <a:ln>
                            <a:noFill/>
                          </a:ln>
                        </pic:spPr>
                      </pic:pic>
                    </a:graphicData>
                  </a:graphic>
                </wp:inline>
              </w:drawing>
            </w:r>
          </w:p>
          <w:p>
            <w:pPr>
              <w:widowControl/>
              <w:spacing w:line="360" w:lineRule="auto"/>
              <w:ind w:firstLine="420" w:firstLineChars="200"/>
            </w:pPr>
            <w:r>
              <w:t>通过上述预测模式，在采取措施后预测出项目声源在项目边界处的噪声值，计算结果见下表。</w:t>
            </w:r>
          </w:p>
          <w:p>
            <w:pPr>
              <w:widowControl/>
              <w:tabs>
                <w:tab w:val="left" w:pos="0"/>
              </w:tabs>
              <w:adjustRightInd w:val="0"/>
              <w:snapToGrid w:val="0"/>
              <w:spacing w:line="360" w:lineRule="auto"/>
              <w:jc w:val="center"/>
              <w:rPr>
                <w:b/>
              </w:rPr>
            </w:pPr>
            <w:r>
              <w:rPr>
                <w:b/>
              </w:rPr>
              <w:t>表4-16 在采取措施后项目噪声在厂界处贡献值的预测结果</w:t>
            </w:r>
          </w:p>
          <w:tbl>
            <w:tblPr>
              <w:tblStyle w:val="100"/>
              <w:tblW w:w="498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74"/>
              <w:gridCol w:w="2483"/>
              <w:gridCol w:w="2304"/>
              <w:gridCol w:w="23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Merge w:val="restart"/>
                  <w:vAlign w:val="center"/>
                </w:tcPr>
                <w:p>
                  <w:pPr>
                    <w:widowControl/>
                    <w:adjustRightInd w:val="0"/>
                    <w:snapToGrid w:val="0"/>
                    <w:jc w:val="center"/>
                    <w:rPr>
                      <w:b/>
                      <w:spacing w:val="-2"/>
                    </w:rPr>
                  </w:pPr>
                  <w:r>
                    <w:rPr>
                      <w:b/>
                      <w:spacing w:val="-2"/>
                    </w:rPr>
                    <w:t>预测点位</w:t>
                  </w:r>
                </w:p>
              </w:tc>
              <w:tc>
                <w:tcPr>
                  <w:tcW w:w="2483" w:type="dxa"/>
                  <w:vMerge w:val="restart"/>
                  <w:vAlign w:val="center"/>
                </w:tcPr>
                <w:p>
                  <w:pPr>
                    <w:widowControl/>
                    <w:adjustRightInd w:val="0"/>
                    <w:snapToGrid w:val="0"/>
                    <w:jc w:val="center"/>
                    <w:rPr>
                      <w:b/>
                      <w:spacing w:val="-2"/>
                    </w:rPr>
                  </w:pPr>
                  <w:r>
                    <w:rPr>
                      <w:b/>
                      <w:spacing w:val="-2"/>
                    </w:rPr>
                    <w:t>噪声贡献/dB(A)</w:t>
                  </w:r>
                </w:p>
              </w:tc>
              <w:tc>
                <w:tcPr>
                  <w:tcW w:w="2304" w:type="dxa"/>
                  <w:vAlign w:val="center"/>
                </w:tcPr>
                <w:p>
                  <w:pPr>
                    <w:widowControl/>
                    <w:adjustRightInd w:val="0"/>
                    <w:snapToGrid w:val="0"/>
                    <w:jc w:val="center"/>
                    <w:rPr>
                      <w:b/>
                      <w:spacing w:val="-2"/>
                    </w:rPr>
                  </w:pPr>
                  <w:r>
                    <w:rPr>
                      <w:b/>
                      <w:spacing w:val="-2"/>
                    </w:rPr>
                    <w:t>执行标准/dB(A)</w:t>
                  </w:r>
                </w:p>
              </w:tc>
              <w:tc>
                <w:tcPr>
                  <w:tcW w:w="2305" w:type="dxa"/>
                  <w:vMerge w:val="restart"/>
                  <w:vAlign w:val="center"/>
                </w:tcPr>
                <w:p>
                  <w:pPr>
                    <w:widowControl/>
                    <w:adjustRightInd w:val="0"/>
                    <w:snapToGrid w:val="0"/>
                    <w:jc w:val="center"/>
                    <w:rPr>
                      <w:b/>
                      <w:spacing w:val="-2"/>
                    </w:rPr>
                  </w:pPr>
                  <w:r>
                    <w:rPr>
                      <w:b/>
                      <w:spacing w:val="-2"/>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Merge w:val="continue"/>
                  <w:vAlign w:val="center"/>
                </w:tcPr>
                <w:p>
                  <w:pPr>
                    <w:widowControl/>
                    <w:adjustRightInd w:val="0"/>
                    <w:snapToGrid w:val="0"/>
                    <w:ind w:firstLine="414" w:firstLineChars="200"/>
                    <w:jc w:val="center"/>
                    <w:rPr>
                      <w:b/>
                      <w:spacing w:val="-2"/>
                    </w:rPr>
                  </w:pPr>
                </w:p>
              </w:tc>
              <w:tc>
                <w:tcPr>
                  <w:tcW w:w="2483" w:type="dxa"/>
                  <w:vMerge w:val="continue"/>
                  <w:vAlign w:val="center"/>
                </w:tcPr>
                <w:p>
                  <w:pPr>
                    <w:widowControl/>
                    <w:adjustRightInd w:val="0"/>
                    <w:snapToGrid w:val="0"/>
                    <w:ind w:firstLine="414" w:firstLineChars="200"/>
                    <w:jc w:val="center"/>
                    <w:rPr>
                      <w:b/>
                      <w:spacing w:val="-2"/>
                    </w:rPr>
                  </w:pPr>
                </w:p>
              </w:tc>
              <w:tc>
                <w:tcPr>
                  <w:tcW w:w="2304" w:type="dxa"/>
                  <w:vAlign w:val="center"/>
                </w:tcPr>
                <w:p>
                  <w:pPr>
                    <w:widowControl/>
                    <w:adjustRightInd w:val="0"/>
                    <w:snapToGrid w:val="0"/>
                    <w:jc w:val="center"/>
                    <w:rPr>
                      <w:b/>
                      <w:spacing w:val="-2"/>
                    </w:rPr>
                  </w:pPr>
                  <w:r>
                    <w:rPr>
                      <w:b/>
                      <w:spacing w:val="-2"/>
                    </w:rPr>
                    <w:t>昼间</w:t>
                  </w:r>
                </w:p>
              </w:tc>
              <w:tc>
                <w:tcPr>
                  <w:tcW w:w="2305" w:type="dxa"/>
                  <w:vMerge w:val="continue"/>
                  <w:vAlign w:val="center"/>
                </w:tcPr>
                <w:p>
                  <w:pPr>
                    <w:widowControl/>
                    <w:adjustRightInd w:val="0"/>
                    <w:snapToGrid w:val="0"/>
                    <w:jc w:val="center"/>
                    <w:rPr>
                      <w:b/>
                      <w:spacing w:val="-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tabs>
                      <w:tab w:val="center" w:pos="1039"/>
                      <w:tab w:val="right" w:pos="1959"/>
                    </w:tabs>
                    <w:adjustRightInd w:val="0"/>
                    <w:snapToGrid w:val="0"/>
                    <w:jc w:val="center"/>
                    <w:rPr>
                      <w:spacing w:val="-2"/>
                    </w:rPr>
                  </w:pPr>
                  <w:r>
                    <w:rPr>
                      <w:spacing w:val="-2"/>
                    </w:rPr>
                    <w:t>厂界东</w:t>
                  </w:r>
                </w:p>
              </w:tc>
              <w:tc>
                <w:tcPr>
                  <w:tcW w:w="2483" w:type="dxa"/>
                  <w:vAlign w:val="center"/>
                </w:tcPr>
                <w:p>
                  <w:pPr>
                    <w:widowControl/>
                    <w:adjustRightInd w:val="0"/>
                    <w:snapToGrid w:val="0"/>
                    <w:jc w:val="center"/>
                    <w:rPr>
                      <w:spacing w:val="-2"/>
                    </w:rPr>
                  </w:pPr>
                  <w:r>
                    <w:rPr>
                      <w:spacing w:val="-2"/>
                    </w:rPr>
                    <w:t>5</w:t>
                  </w:r>
                  <w:r>
                    <w:rPr>
                      <w:rFonts w:hint="eastAsia"/>
                      <w:spacing w:val="-2"/>
                    </w:rPr>
                    <w:t>7.3</w:t>
                  </w:r>
                </w:p>
              </w:tc>
              <w:tc>
                <w:tcPr>
                  <w:tcW w:w="2304" w:type="dxa"/>
                  <w:vAlign w:val="center"/>
                </w:tcPr>
                <w:p>
                  <w:pPr>
                    <w:widowControl/>
                    <w:adjustRightInd w:val="0"/>
                    <w:snapToGrid w:val="0"/>
                    <w:jc w:val="center"/>
                    <w:rPr>
                      <w:spacing w:val="-2"/>
                    </w:rPr>
                  </w:pPr>
                  <w:r>
                    <w:rPr>
                      <w:spacing w:val="-2"/>
                    </w:rPr>
                    <w:t>60</w:t>
                  </w:r>
                </w:p>
              </w:tc>
              <w:tc>
                <w:tcPr>
                  <w:tcW w:w="2305" w:type="dxa"/>
                  <w:vAlign w:val="center"/>
                </w:tcPr>
                <w:p>
                  <w:pPr>
                    <w:widowControl/>
                    <w:adjustRightInd w:val="0"/>
                    <w:snapToGrid w:val="0"/>
                    <w:jc w:val="center"/>
                    <w:rPr>
                      <w:spacing w:val="-2"/>
                    </w:rPr>
                  </w:pPr>
                  <w:r>
                    <w:rPr>
                      <w:spacing w:val="-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adjustRightInd w:val="0"/>
                    <w:snapToGrid w:val="0"/>
                    <w:jc w:val="center"/>
                    <w:rPr>
                      <w:spacing w:val="-2"/>
                    </w:rPr>
                  </w:pPr>
                  <w:r>
                    <w:rPr>
                      <w:spacing w:val="-2"/>
                    </w:rPr>
                    <w:t>厂界南</w:t>
                  </w:r>
                </w:p>
              </w:tc>
              <w:tc>
                <w:tcPr>
                  <w:tcW w:w="2483" w:type="dxa"/>
                  <w:vAlign w:val="center"/>
                </w:tcPr>
                <w:p>
                  <w:pPr>
                    <w:widowControl/>
                    <w:adjustRightInd w:val="0"/>
                    <w:snapToGrid w:val="0"/>
                    <w:jc w:val="center"/>
                    <w:rPr>
                      <w:spacing w:val="-2"/>
                    </w:rPr>
                  </w:pPr>
                  <w:r>
                    <w:rPr>
                      <w:spacing w:val="-2"/>
                    </w:rPr>
                    <w:t>5</w:t>
                  </w:r>
                  <w:r>
                    <w:rPr>
                      <w:rFonts w:hint="eastAsia"/>
                      <w:spacing w:val="-2"/>
                    </w:rPr>
                    <w:t>5</w:t>
                  </w:r>
                  <w:r>
                    <w:rPr>
                      <w:spacing w:val="-2"/>
                    </w:rPr>
                    <w:t>.1</w:t>
                  </w:r>
                </w:p>
              </w:tc>
              <w:tc>
                <w:tcPr>
                  <w:tcW w:w="2304" w:type="dxa"/>
                  <w:vAlign w:val="center"/>
                </w:tcPr>
                <w:p>
                  <w:pPr>
                    <w:widowControl/>
                    <w:adjustRightInd w:val="0"/>
                    <w:snapToGrid w:val="0"/>
                    <w:jc w:val="center"/>
                    <w:rPr>
                      <w:spacing w:val="-2"/>
                    </w:rPr>
                  </w:pPr>
                  <w:r>
                    <w:rPr>
                      <w:spacing w:val="-2"/>
                    </w:rPr>
                    <w:t>60</w:t>
                  </w:r>
                </w:p>
              </w:tc>
              <w:tc>
                <w:tcPr>
                  <w:tcW w:w="2305" w:type="dxa"/>
                  <w:vAlign w:val="center"/>
                </w:tcPr>
                <w:p>
                  <w:pPr>
                    <w:widowControl/>
                    <w:adjustRightInd w:val="0"/>
                    <w:snapToGrid w:val="0"/>
                    <w:jc w:val="center"/>
                    <w:rPr>
                      <w:spacing w:val="-2"/>
                    </w:rPr>
                  </w:pPr>
                  <w:r>
                    <w:rPr>
                      <w:spacing w:val="-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adjustRightInd w:val="0"/>
                    <w:snapToGrid w:val="0"/>
                    <w:jc w:val="center"/>
                    <w:rPr>
                      <w:spacing w:val="-2"/>
                    </w:rPr>
                  </w:pPr>
                  <w:r>
                    <w:rPr>
                      <w:spacing w:val="-2"/>
                    </w:rPr>
                    <w:t>厂界西</w:t>
                  </w:r>
                </w:p>
              </w:tc>
              <w:tc>
                <w:tcPr>
                  <w:tcW w:w="2483" w:type="dxa"/>
                  <w:vAlign w:val="center"/>
                </w:tcPr>
                <w:p>
                  <w:pPr>
                    <w:widowControl/>
                    <w:adjustRightInd w:val="0"/>
                    <w:snapToGrid w:val="0"/>
                    <w:jc w:val="center"/>
                    <w:rPr>
                      <w:spacing w:val="-2"/>
                    </w:rPr>
                  </w:pPr>
                  <w:r>
                    <w:rPr>
                      <w:spacing w:val="-2"/>
                    </w:rPr>
                    <w:t>5</w:t>
                  </w:r>
                  <w:r>
                    <w:rPr>
                      <w:rFonts w:hint="eastAsia"/>
                      <w:spacing w:val="-2"/>
                    </w:rPr>
                    <w:t>8.4</w:t>
                  </w:r>
                </w:p>
              </w:tc>
              <w:tc>
                <w:tcPr>
                  <w:tcW w:w="2304" w:type="dxa"/>
                  <w:vAlign w:val="center"/>
                </w:tcPr>
                <w:p>
                  <w:pPr>
                    <w:widowControl/>
                    <w:adjustRightInd w:val="0"/>
                    <w:snapToGrid w:val="0"/>
                    <w:jc w:val="center"/>
                    <w:rPr>
                      <w:spacing w:val="-2"/>
                    </w:rPr>
                  </w:pPr>
                  <w:r>
                    <w:rPr>
                      <w:spacing w:val="-2"/>
                    </w:rPr>
                    <w:t>60</w:t>
                  </w:r>
                </w:p>
              </w:tc>
              <w:tc>
                <w:tcPr>
                  <w:tcW w:w="2305" w:type="dxa"/>
                  <w:vAlign w:val="center"/>
                </w:tcPr>
                <w:p>
                  <w:pPr>
                    <w:widowControl/>
                    <w:adjustRightInd w:val="0"/>
                    <w:snapToGrid w:val="0"/>
                    <w:jc w:val="center"/>
                    <w:rPr>
                      <w:spacing w:val="-2"/>
                    </w:rPr>
                  </w:pPr>
                  <w:r>
                    <w:rPr>
                      <w:spacing w:val="-2"/>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74" w:type="dxa"/>
                  <w:vAlign w:val="center"/>
                </w:tcPr>
                <w:p>
                  <w:pPr>
                    <w:widowControl/>
                    <w:adjustRightInd w:val="0"/>
                    <w:snapToGrid w:val="0"/>
                    <w:jc w:val="center"/>
                    <w:rPr>
                      <w:spacing w:val="-2"/>
                    </w:rPr>
                  </w:pPr>
                  <w:r>
                    <w:rPr>
                      <w:spacing w:val="-2"/>
                    </w:rPr>
                    <w:t>厂界北</w:t>
                  </w:r>
                </w:p>
              </w:tc>
              <w:tc>
                <w:tcPr>
                  <w:tcW w:w="2483" w:type="dxa"/>
                  <w:vAlign w:val="center"/>
                </w:tcPr>
                <w:p>
                  <w:pPr>
                    <w:widowControl/>
                    <w:adjustRightInd w:val="0"/>
                    <w:snapToGrid w:val="0"/>
                    <w:jc w:val="center"/>
                    <w:rPr>
                      <w:spacing w:val="-2"/>
                    </w:rPr>
                  </w:pPr>
                  <w:r>
                    <w:rPr>
                      <w:spacing w:val="-2"/>
                    </w:rPr>
                    <w:t>5</w:t>
                  </w:r>
                  <w:r>
                    <w:rPr>
                      <w:rFonts w:hint="eastAsia"/>
                      <w:spacing w:val="-2"/>
                    </w:rPr>
                    <w:t>4.3</w:t>
                  </w:r>
                </w:p>
              </w:tc>
              <w:tc>
                <w:tcPr>
                  <w:tcW w:w="2304" w:type="dxa"/>
                  <w:vAlign w:val="center"/>
                </w:tcPr>
                <w:p>
                  <w:pPr>
                    <w:widowControl/>
                    <w:adjustRightInd w:val="0"/>
                    <w:snapToGrid w:val="0"/>
                    <w:jc w:val="center"/>
                    <w:rPr>
                      <w:spacing w:val="-2"/>
                    </w:rPr>
                  </w:pPr>
                  <w:r>
                    <w:rPr>
                      <w:spacing w:val="-2"/>
                    </w:rPr>
                    <w:t>60</w:t>
                  </w:r>
                </w:p>
              </w:tc>
              <w:tc>
                <w:tcPr>
                  <w:tcW w:w="2305" w:type="dxa"/>
                  <w:vAlign w:val="center"/>
                </w:tcPr>
                <w:p>
                  <w:pPr>
                    <w:widowControl/>
                    <w:adjustRightInd w:val="0"/>
                    <w:snapToGrid w:val="0"/>
                    <w:jc w:val="center"/>
                    <w:rPr>
                      <w:spacing w:val="-2"/>
                    </w:rPr>
                  </w:pPr>
                  <w:r>
                    <w:rPr>
                      <w:spacing w:val="-2"/>
                    </w:rPr>
                    <w:t>是</w:t>
                  </w:r>
                </w:p>
              </w:tc>
            </w:tr>
          </w:tbl>
          <w:p>
            <w:pPr>
              <w:widowControl/>
              <w:spacing w:before="120" w:beforeLines="50" w:line="360" w:lineRule="auto"/>
              <w:ind w:firstLine="420" w:firstLineChars="200"/>
              <w:rPr>
                <w:bCs/>
              </w:rPr>
            </w:pPr>
            <w:r>
              <w:t>根据上表预测结果可知，项目生产设备在采取噪声防治措施后，项目边界处噪声贡献值低于《工业企业厂界环境噪声排放标准》（GB12348-2008）的2类标准</w:t>
            </w:r>
            <w:r>
              <w:rPr>
                <w:bCs/>
              </w:rPr>
              <w:t>，对周围声环境及周边敏感点影响不大。</w:t>
            </w:r>
          </w:p>
          <w:p>
            <w:pPr>
              <w:widowControl/>
              <w:spacing w:line="360" w:lineRule="auto"/>
              <w:ind w:firstLine="422" w:firstLineChars="200"/>
              <w:rPr>
                <w:b/>
              </w:rPr>
            </w:pPr>
            <w:r>
              <w:rPr>
                <w:b/>
              </w:rPr>
              <w:t>4.监测要求</w:t>
            </w:r>
          </w:p>
          <w:p>
            <w:pPr>
              <w:widowControl/>
              <w:spacing w:line="360" w:lineRule="auto"/>
              <w:ind w:firstLine="420" w:firstLineChars="200"/>
            </w:pPr>
            <w:r>
              <w:t>根据《排污单位自行监测技术指南 总则》（HJ 819-2017），项目运营期噪声监测要求如下。</w:t>
            </w:r>
          </w:p>
          <w:p>
            <w:pPr>
              <w:widowControl/>
              <w:tabs>
                <w:tab w:val="left" w:pos="0"/>
              </w:tabs>
              <w:adjustRightInd w:val="0"/>
              <w:snapToGrid w:val="0"/>
              <w:spacing w:line="360" w:lineRule="auto"/>
              <w:jc w:val="center"/>
              <w:rPr>
                <w:b/>
              </w:rPr>
            </w:pPr>
            <w:r>
              <w:rPr>
                <w:b/>
              </w:rPr>
              <w:t>表4-17 噪声监测汇总表</w:t>
            </w:r>
          </w:p>
          <w:tbl>
            <w:tblPr>
              <w:tblStyle w:val="10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1"/>
              <w:gridCol w:w="1562"/>
              <w:gridCol w:w="1570"/>
              <w:gridCol w:w="2179"/>
              <w:gridCol w:w="31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4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rPr>
                  </w:pPr>
                  <w:r>
                    <w:rPr>
                      <w:b/>
                      <w:bCs/>
                    </w:rPr>
                    <w:t>类别</w:t>
                  </w:r>
                </w:p>
              </w:tc>
              <w:tc>
                <w:tcPr>
                  <w:tcW w:w="841" w:type="pct"/>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监测指标</w:t>
                  </w:r>
                </w:p>
              </w:tc>
              <w:tc>
                <w:tcPr>
                  <w:tcW w:w="845" w:type="pct"/>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监测点位</w:t>
                  </w:r>
                </w:p>
              </w:tc>
              <w:tc>
                <w:tcPr>
                  <w:tcW w:w="1173" w:type="pct"/>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监测频率</w:t>
                  </w:r>
                </w:p>
              </w:tc>
              <w:tc>
                <w:tcPr>
                  <w:tcW w:w="1697" w:type="pct"/>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442" w:type="pct"/>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噪声</w:t>
                  </w:r>
                </w:p>
                <w:p>
                  <w:pPr>
                    <w:adjustRightInd w:val="0"/>
                    <w:snapToGrid w:val="0"/>
                    <w:jc w:val="center"/>
                  </w:pPr>
                  <w:r>
                    <w:t>监测</w:t>
                  </w:r>
                </w:p>
              </w:tc>
              <w:tc>
                <w:tcPr>
                  <w:tcW w:w="841" w:type="pct"/>
                  <w:tcBorders>
                    <w:top w:val="single" w:color="auto" w:sz="4" w:space="0"/>
                    <w:left w:val="nil"/>
                    <w:bottom w:val="single" w:color="auto" w:sz="4" w:space="0"/>
                    <w:right w:val="single" w:color="auto" w:sz="4" w:space="0"/>
                  </w:tcBorders>
                  <w:vAlign w:val="center"/>
                </w:tcPr>
                <w:p>
                  <w:pPr>
                    <w:adjustRightInd w:val="0"/>
                    <w:snapToGrid w:val="0"/>
                    <w:jc w:val="center"/>
                  </w:pPr>
                  <w:r>
                    <w:t>等效连续A声级</w:t>
                  </w:r>
                </w:p>
              </w:tc>
              <w:tc>
                <w:tcPr>
                  <w:tcW w:w="845" w:type="pct"/>
                  <w:tcBorders>
                    <w:top w:val="single" w:color="auto" w:sz="4" w:space="0"/>
                    <w:left w:val="nil"/>
                    <w:bottom w:val="single" w:color="auto" w:sz="4" w:space="0"/>
                    <w:right w:val="single" w:color="auto" w:sz="4" w:space="0"/>
                  </w:tcBorders>
                  <w:vAlign w:val="center"/>
                </w:tcPr>
                <w:p>
                  <w:pPr>
                    <w:adjustRightInd w:val="0"/>
                    <w:snapToGrid w:val="0"/>
                    <w:jc w:val="center"/>
                  </w:pPr>
                  <w:r>
                    <w:t>厂界</w:t>
                  </w:r>
                </w:p>
              </w:tc>
              <w:tc>
                <w:tcPr>
                  <w:tcW w:w="1173" w:type="pct"/>
                  <w:tcBorders>
                    <w:top w:val="single" w:color="auto" w:sz="4" w:space="0"/>
                    <w:left w:val="nil"/>
                    <w:bottom w:val="single" w:color="auto" w:sz="4" w:space="0"/>
                    <w:right w:val="single" w:color="auto" w:sz="4" w:space="0"/>
                  </w:tcBorders>
                  <w:vAlign w:val="center"/>
                </w:tcPr>
                <w:p>
                  <w:pPr>
                    <w:adjustRightInd w:val="0"/>
                    <w:snapToGrid w:val="0"/>
                    <w:jc w:val="center"/>
                  </w:pPr>
                  <w:r>
                    <w:t>1次/季度</w:t>
                  </w:r>
                </w:p>
              </w:tc>
              <w:tc>
                <w:tcPr>
                  <w:tcW w:w="1697" w:type="pct"/>
                  <w:tcBorders>
                    <w:top w:val="single" w:color="auto" w:sz="4" w:space="0"/>
                    <w:left w:val="nil"/>
                    <w:bottom w:val="single" w:color="auto" w:sz="4" w:space="0"/>
                    <w:right w:val="single" w:color="auto" w:sz="4" w:space="0"/>
                  </w:tcBorders>
                  <w:vAlign w:val="center"/>
                </w:tcPr>
                <w:p>
                  <w:pPr>
                    <w:adjustRightInd w:val="0"/>
                    <w:snapToGrid w:val="0"/>
                    <w:jc w:val="left"/>
                  </w:pPr>
                  <w:r>
                    <w:t>《工业企业厂界环境噪声排放标准》（GB12348-2008）2类标准</w:t>
                  </w:r>
                </w:p>
              </w:tc>
            </w:tr>
          </w:tbl>
          <w:p>
            <w:pPr>
              <w:pStyle w:val="245"/>
              <w:adjustRightInd w:val="0"/>
              <w:snapToGrid w:val="0"/>
              <w:spacing w:before="120" w:beforeLines="50" w:line="360" w:lineRule="auto"/>
              <w:rPr>
                <w:b/>
                <w:sz w:val="21"/>
                <w:szCs w:val="21"/>
              </w:rPr>
            </w:pPr>
            <w:r>
              <w:rPr>
                <w:b/>
                <w:sz w:val="21"/>
                <w:szCs w:val="21"/>
              </w:rPr>
              <w:t>四、固体废物</w:t>
            </w:r>
          </w:p>
          <w:p>
            <w:pPr>
              <w:snapToGrid w:val="0"/>
              <w:spacing w:line="360" w:lineRule="auto"/>
              <w:ind w:firstLine="422" w:firstLineChars="200"/>
              <w:rPr>
                <w:b/>
                <w:bCs/>
              </w:rPr>
            </w:pPr>
            <w:r>
              <w:rPr>
                <w:b/>
                <w:bCs/>
              </w:rPr>
              <w:t>1、产生和处置情况</w:t>
            </w:r>
          </w:p>
          <w:p>
            <w:pPr>
              <w:snapToGrid w:val="0"/>
              <w:spacing w:line="360" w:lineRule="auto"/>
              <w:ind w:firstLine="420" w:firstLineChars="200"/>
              <w:rPr>
                <w:bCs/>
              </w:rPr>
            </w:pPr>
            <w:r>
              <w:rPr>
                <w:bCs/>
              </w:rPr>
              <w:t>项目固体废物主要为生活垃圾、一般工业固体废物和危险废物。</w:t>
            </w:r>
          </w:p>
          <w:p>
            <w:pPr>
              <w:snapToGrid w:val="0"/>
              <w:spacing w:line="360" w:lineRule="auto"/>
              <w:ind w:firstLine="422" w:firstLineChars="200"/>
              <w:rPr>
                <w:b/>
              </w:rPr>
            </w:pPr>
            <w:r>
              <w:rPr>
                <w:b/>
              </w:rPr>
              <w:t>（1）生活垃圾</w:t>
            </w:r>
          </w:p>
          <w:p>
            <w:pPr>
              <w:adjustRightInd w:val="0"/>
              <w:snapToGrid w:val="0"/>
              <w:spacing w:line="360" w:lineRule="auto"/>
              <w:ind w:firstLine="420" w:firstLineChars="200"/>
            </w:pPr>
            <w:r>
              <w:t>项目员工人数20人，均在厂内住宿，不用餐，生活垃圾产生系数按</w:t>
            </w:r>
            <w:r>
              <w:rPr>
                <w:rFonts w:hint="eastAsia"/>
              </w:rPr>
              <w:t>1.0</w:t>
            </w:r>
            <w:r>
              <w:t>kg/人•日计，则项目生活垃圾产生量为</w:t>
            </w:r>
            <w:r>
              <w:rPr>
                <w:rFonts w:hint="eastAsia"/>
              </w:rPr>
              <w:t>6</w:t>
            </w:r>
            <w:r>
              <w:t>t/a（以300天计算）。生活垃圾分类收集后交由环卫部门统一清运。</w:t>
            </w:r>
          </w:p>
          <w:p>
            <w:pPr>
              <w:snapToGrid w:val="0"/>
              <w:spacing w:line="360" w:lineRule="auto"/>
              <w:ind w:firstLine="422" w:firstLineChars="200"/>
              <w:rPr>
                <w:b/>
              </w:rPr>
            </w:pPr>
            <w:r>
              <w:rPr>
                <w:b/>
              </w:rPr>
              <w:t>（2）一般工业固体废物</w:t>
            </w:r>
          </w:p>
          <w:p>
            <w:pPr>
              <w:adjustRightInd w:val="0"/>
              <w:snapToGrid w:val="0"/>
              <w:spacing w:line="360" w:lineRule="auto"/>
              <w:ind w:firstLine="420" w:firstLineChars="200"/>
            </w:pPr>
            <w:r>
              <w:t>运营期产生的一般工业固废为喷砂、喷粉工序中布袋除尘器收集的粉尘</w:t>
            </w:r>
            <w:r>
              <w:rPr>
                <w:rFonts w:hint="eastAsia"/>
              </w:rPr>
              <w:t>；</w:t>
            </w:r>
            <w:r>
              <w:t>冲压、钻孔、攻牙工序中产生的金属碎屑；</w:t>
            </w:r>
            <w:r>
              <w:rPr>
                <w:rFonts w:hint="eastAsia"/>
              </w:rPr>
              <w:t>电熔工序产生的</w:t>
            </w:r>
            <w:r>
              <w:rPr>
                <w:rFonts w:hint="eastAsia"/>
                <w:bCs/>
              </w:rPr>
              <w:t>锌合金渣。</w:t>
            </w:r>
          </w:p>
          <w:p>
            <w:pPr>
              <w:adjustRightInd w:val="0"/>
              <w:snapToGrid w:val="0"/>
              <w:spacing w:line="360" w:lineRule="auto"/>
              <w:ind w:firstLine="420" w:firstLineChars="200"/>
            </w:pPr>
            <w:r>
              <w:rPr>
                <w:rFonts w:hint="eastAsia"/>
              </w:rPr>
              <w:t>项目电熔工序会产生锌合金渣，根据企业提供的资料，产生量为合金原料的0.1%即约为0.15t/a；</w:t>
            </w:r>
          </w:p>
          <w:p>
            <w:pPr>
              <w:adjustRightInd w:val="0"/>
              <w:snapToGrid w:val="0"/>
              <w:spacing w:line="360" w:lineRule="auto"/>
              <w:ind w:firstLine="420" w:firstLineChars="200"/>
            </w:pPr>
            <w:r>
              <w:t>项目冲压、钻孔、攻牙工序中会产生金属碎屑，产生量约为合金原料的</w:t>
            </w:r>
            <w:r>
              <w:rPr>
                <w:rFonts w:hint="eastAsia"/>
              </w:rPr>
              <w:t>0.5</w:t>
            </w:r>
            <w:r>
              <w:t>%即</w:t>
            </w:r>
            <w:r>
              <w:rPr>
                <w:rFonts w:hint="eastAsia"/>
              </w:rPr>
              <w:t>5.25</w:t>
            </w:r>
            <w:r>
              <w:t xml:space="preserve">t/a； </w:t>
            </w:r>
          </w:p>
          <w:p>
            <w:pPr>
              <w:adjustRightInd w:val="0"/>
              <w:snapToGrid w:val="0"/>
              <w:spacing w:line="360" w:lineRule="auto"/>
              <w:ind w:firstLine="420" w:firstLineChars="200"/>
            </w:pPr>
            <w:r>
              <w:t>项目布袋除尘器收集的粉尘，产生量约为</w:t>
            </w:r>
            <w:r>
              <w:rPr>
                <w:rFonts w:hint="eastAsia"/>
              </w:rPr>
              <w:t>3</w:t>
            </w:r>
            <w:r>
              <w:t xml:space="preserve">t/a；  </w:t>
            </w:r>
          </w:p>
          <w:p>
            <w:pPr>
              <w:adjustRightInd w:val="0"/>
              <w:snapToGrid w:val="0"/>
              <w:spacing w:line="360" w:lineRule="auto"/>
              <w:ind w:firstLine="420" w:firstLineChars="200"/>
            </w:pPr>
            <w:r>
              <w:t>项目质检过程中会产生次品，产生量约为</w:t>
            </w:r>
            <w:r>
              <w:rPr>
                <w:rStyle w:val="112"/>
                <w:rFonts w:hint="eastAsia"/>
              </w:rPr>
              <w:t>合金</w:t>
            </w:r>
            <w:r>
              <w:rPr>
                <w:rFonts w:hint="eastAsia"/>
              </w:rPr>
              <w:t>原料用量</w:t>
            </w:r>
            <w:r>
              <w:t>的</w:t>
            </w:r>
            <w:r>
              <w:rPr>
                <w:rFonts w:hint="eastAsia"/>
              </w:rPr>
              <w:t>1</w:t>
            </w:r>
            <w:r>
              <w:t>%即</w:t>
            </w:r>
            <w:r>
              <w:rPr>
                <w:rFonts w:hint="eastAsia"/>
              </w:rPr>
              <w:t>10.5</w:t>
            </w:r>
            <w:r>
              <w:t>t/a</w:t>
            </w:r>
            <w:r>
              <w:rPr>
                <w:rFonts w:hint="eastAsia"/>
              </w:rPr>
              <w:t>，次品回炉融化再利用。</w:t>
            </w:r>
          </w:p>
          <w:p>
            <w:pPr>
              <w:widowControl/>
              <w:tabs>
                <w:tab w:val="left" w:pos="0"/>
              </w:tabs>
              <w:adjustRightInd w:val="0"/>
              <w:snapToGrid w:val="0"/>
              <w:spacing w:line="360" w:lineRule="auto"/>
              <w:jc w:val="center"/>
              <w:rPr>
                <w:b/>
              </w:rPr>
            </w:pPr>
            <w:r>
              <w:rPr>
                <w:b/>
              </w:rPr>
              <w:t>表4-18一般工业固体废物产生情况表</w:t>
            </w:r>
          </w:p>
          <w:tbl>
            <w:tblPr>
              <w:tblStyle w:val="10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8"/>
              <w:gridCol w:w="1075"/>
              <w:gridCol w:w="1442"/>
              <w:gridCol w:w="1091"/>
              <w:gridCol w:w="647"/>
              <w:gridCol w:w="1002"/>
              <w:gridCol w:w="647"/>
              <w:gridCol w:w="647"/>
              <w:gridCol w:w="794"/>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1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b/>
                      <w:bCs/>
                    </w:rPr>
                  </w:pPr>
                  <w:r>
                    <w:rPr>
                      <w:b/>
                      <w:bCs/>
                    </w:rPr>
                    <w:t>名称</w:t>
                  </w:r>
                </w:p>
              </w:tc>
              <w:tc>
                <w:tcPr>
                  <w:tcW w:w="1075" w:type="dxa"/>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产生环节</w:t>
                  </w:r>
                </w:p>
              </w:tc>
              <w:tc>
                <w:tcPr>
                  <w:tcW w:w="1442" w:type="dxa"/>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一般固体废物代码</w:t>
                  </w:r>
                </w:p>
              </w:tc>
              <w:tc>
                <w:tcPr>
                  <w:tcW w:w="1091" w:type="dxa"/>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产生量（t/a）</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物理特性</w:t>
                  </w:r>
                </w:p>
              </w:tc>
              <w:tc>
                <w:tcPr>
                  <w:tcW w:w="1002" w:type="dxa"/>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主要成分</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有害成分</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贮存方式</w:t>
                  </w:r>
                </w:p>
              </w:tc>
              <w:tc>
                <w:tcPr>
                  <w:tcW w:w="794" w:type="dxa"/>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利用处置方式</w:t>
                  </w:r>
                </w:p>
              </w:tc>
              <w:tc>
                <w:tcPr>
                  <w:tcW w:w="793" w:type="dxa"/>
                  <w:tcBorders>
                    <w:top w:val="single" w:color="auto" w:sz="4" w:space="0"/>
                    <w:left w:val="nil"/>
                    <w:bottom w:val="single" w:color="auto" w:sz="4" w:space="0"/>
                    <w:right w:val="single" w:color="auto" w:sz="4" w:space="0"/>
                  </w:tcBorders>
                  <w:vAlign w:val="center"/>
                </w:tcPr>
                <w:p>
                  <w:pPr>
                    <w:adjustRightInd w:val="0"/>
                    <w:snapToGrid w:val="0"/>
                    <w:jc w:val="center"/>
                    <w:rPr>
                      <w:b/>
                      <w:bCs/>
                    </w:rPr>
                  </w:pPr>
                  <w:r>
                    <w:rPr>
                      <w:b/>
                      <w:bCs/>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1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布袋除尘器收集粉尘</w:t>
                  </w:r>
                </w:p>
              </w:tc>
              <w:tc>
                <w:tcPr>
                  <w:tcW w:w="1075" w:type="dxa"/>
                  <w:tcBorders>
                    <w:top w:val="single" w:color="auto" w:sz="4" w:space="0"/>
                    <w:left w:val="nil"/>
                    <w:bottom w:val="single" w:color="auto" w:sz="4" w:space="0"/>
                    <w:right w:val="single" w:color="auto" w:sz="4" w:space="0"/>
                  </w:tcBorders>
                  <w:vAlign w:val="center"/>
                </w:tcPr>
                <w:p>
                  <w:pPr>
                    <w:adjustRightInd w:val="0"/>
                    <w:snapToGrid w:val="0"/>
                    <w:jc w:val="center"/>
                  </w:pPr>
                  <w:r>
                    <w:t>喷砂、喷粉</w:t>
                  </w:r>
                </w:p>
              </w:tc>
              <w:tc>
                <w:tcPr>
                  <w:tcW w:w="1442" w:type="dxa"/>
                  <w:tcBorders>
                    <w:top w:val="single" w:color="auto" w:sz="4" w:space="0"/>
                    <w:left w:val="nil"/>
                    <w:bottom w:val="single" w:color="auto" w:sz="4" w:space="0"/>
                    <w:right w:val="single" w:color="auto" w:sz="4" w:space="0"/>
                  </w:tcBorders>
                  <w:vAlign w:val="center"/>
                </w:tcPr>
                <w:p>
                  <w:pPr>
                    <w:adjustRightInd w:val="0"/>
                    <w:snapToGrid w:val="0"/>
                    <w:jc w:val="center"/>
                  </w:pPr>
                  <w:r>
                    <w:t>339-001-66</w:t>
                  </w:r>
                </w:p>
              </w:tc>
              <w:tc>
                <w:tcPr>
                  <w:tcW w:w="1091" w:type="dxa"/>
                  <w:tcBorders>
                    <w:top w:val="single" w:color="auto" w:sz="4" w:space="0"/>
                    <w:left w:val="nil"/>
                    <w:bottom w:val="single" w:color="auto" w:sz="4" w:space="0"/>
                    <w:right w:val="single" w:color="auto" w:sz="4" w:space="0"/>
                  </w:tcBorders>
                  <w:vAlign w:val="center"/>
                </w:tcPr>
                <w:p>
                  <w:pPr>
                    <w:adjustRightInd w:val="0"/>
                    <w:snapToGrid w:val="0"/>
                    <w:jc w:val="center"/>
                  </w:pPr>
                  <w:r>
                    <w:rPr>
                      <w:rFonts w:hint="eastAsia"/>
                    </w:rPr>
                    <w:t>3</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固态</w:t>
                  </w:r>
                </w:p>
              </w:tc>
              <w:tc>
                <w:tcPr>
                  <w:tcW w:w="1002" w:type="dxa"/>
                  <w:tcBorders>
                    <w:top w:val="single" w:color="auto" w:sz="4" w:space="0"/>
                    <w:left w:val="nil"/>
                    <w:bottom w:val="single" w:color="auto" w:sz="4" w:space="0"/>
                    <w:right w:val="single" w:color="auto" w:sz="4" w:space="0"/>
                  </w:tcBorders>
                  <w:vAlign w:val="center"/>
                </w:tcPr>
                <w:p>
                  <w:pPr>
                    <w:adjustRightInd w:val="0"/>
                    <w:snapToGrid w:val="0"/>
                    <w:jc w:val="center"/>
                  </w:pPr>
                  <w:r>
                    <w:t>合金、粉末涂料</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桶装</w:t>
                  </w:r>
                </w:p>
              </w:tc>
              <w:tc>
                <w:tcPr>
                  <w:tcW w:w="794" w:type="dxa"/>
                  <w:vMerge w:val="restart"/>
                  <w:tcBorders>
                    <w:top w:val="single" w:color="auto" w:sz="4" w:space="0"/>
                    <w:left w:val="nil"/>
                    <w:right w:val="single" w:color="auto" w:sz="4" w:space="0"/>
                  </w:tcBorders>
                  <w:vAlign w:val="center"/>
                </w:tcPr>
                <w:p>
                  <w:pPr>
                    <w:adjustRightInd w:val="0"/>
                    <w:snapToGrid w:val="0"/>
                    <w:jc w:val="center"/>
                  </w:pPr>
                  <w:r>
                    <w:t>委外利用</w:t>
                  </w:r>
                </w:p>
              </w:tc>
              <w:tc>
                <w:tcPr>
                  <w:tcW w:w="793" w:type="dxa"/>
                  <w:vMerge w:val="restart"/>
                  <w:tcBorders>
                    <w:top w:val="single" w:color="auto" w:sz="4" w:space="0"/>
                    <w:left w:val="nil"/>
                    <w:right w:val="single" w:color="auto" w:sz="4" w:space="0"/>
                  </w:tcBorders>
                  <w:vAlign w:val="center"/>
                </w:tcPr>
                <w:p>
                  <w:pPr>
                    <w:adjustRightInd w:val="0"/>
                    <w:snapToGrid w:val="0"/>
                    <w:jc w:val="center"/>
                  </w:pPr>
                  <w:r>
                    <w:t>专业公司回收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1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金属碎屑</w:t>
                  </w:r>
                </w:p>
              </w:tc>
              <w:tc>
                <w:tcPr>
                  <w:tcW w:w="1075" w:type="dxa"/>
                  <w:tcBorders>
                    <w:top w:val="single" w:color="auto" w:sz="4" w:space="0"/>
                    <w:left w:val="nil"/>
                    <w:bottom w:val="single" w:color="auto" w:sz="4" w:space="0"/>
                    <w:right w:val="single" w:color="auto" w:sz="4" w:space="0"/>
                  </w:tcBorders>
                  <w:vAlign w:val="center"/>
                </w:tcPr>
                <w:p>
                  <w:pPr>
                    <w:adjustRightInd w:val="0"/>
                    <w:snapToGrid w:val="0"/>
                    <w:jc w:val="center"/>
                  </w:pPr>
                  <w:r>
                    <w:t>冲压、钻孔、攻牙</w:t>
                  </w:r>
                </w:p>
              </w:tc>
              <w:tc>
                <w:tcPr>
                  <w:tcW w:w="1442" w:type="dxa"/>
                  <w:tcBorders>
                    <w:top w:val="single" w:color="auto" w:sz="4" w:space="0"/>
                    <w:left w:val="nil"/>
                    <w:bottom w:val="single" w:color="auto" w:sz="4" w:space="0"/>
                    <w:right w:val="single" w:color="auto" w:sz="4" w:space="0"/>
                  </w:tcBorders>
                  <w:vAlign w:val="center"/>
                </w:tcPr>
                <w:p>
                  <w:pPr>
                    <w:adjustRightInd w:val="0"/>
                    <w:snapToGrid w:val="0"/>
                    <w:jc w:val="center"/>
                  </w:pPr>
                  <w:r>
                    <w:t>339-001-10</w:t>
                  </w:r>
                </w:p>
              </w:tc>
              <w:tc>
                <w:tcPr>
                  <w:tcW w:w="1091" w:type="dxa"/>
                  <w:tcBorders>
                    <w:top w:val="single" w:color="auto" w:sz="4" w:space="0"/>
                    <w:left w:val="nil"/>
                    <w:bottom w:val="single" w:color="auto" w:sz="4" w:space="0"/>
                    <w:right w:val="single" w:color="auto" w:sz="4" w:space="0"/>
                  </w:tcBorders>
                  <w:vAlign w:val="center"/>
                </w:tcPr>
                <w:p>
                  <w:pPr>
                    <w:adjustRightInd w:val="0"/>
                    <w:snapToGrid w:val="0"/>
                    <w:jc w:val="center"/>
                  </w:pPr>
                  <w:r>
                    <w:rPr>
                      <w:rFonts w:hint="eastAsia"/>
                    </w:rPr>
                    <w:t>5.25</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固态</w:t>
                  </w:r>
                </w:p>
              </w:tc>
              <w:tc>
                <w:tcPr>
                  <w:tcW w:w="1002" w:type="dxa"/>
                  <w:tcBorders>
                    <w:top w:val="single" w:color="auto" w:sz="4" w:space="0"/>
                    <w:left w:val="nil"/>
                    <w:bottom w:val="single" w:color="auto" w:sz="4" w:space="0"/>
                    <w:right w:val="single" w:color="auto" w:sz="4" w:space="0"/>
                  </w:tcBorders>
                  <w:vAlign w:val="center"/>
                </w:tcPr>
                <w:p>
                  <w:pPr>
                    <w:adjustRightInd w:val="0"/>
                    <w:snapToGrid w:val="0"/>
                    <w:jc w:val="center"/>
                  </w:pPr>
                  <w:r>
                    <w:t>合金</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桶装</w:t>
                  </w:r>
                </w:p>
              </w:tc>
              <w:tc>
                <w:tcPr>
                  <w:tcW w:w="794" w:type="dxa"/>
                  <w:vMerge w:val="continue"/>
                  <w:tcBorders>
                    <w:left w:val="nil"/>
                    <w:right w:val="single" w:color="auto" w:sz="4" w:space="0"/>
                  </w:tcBorders>
                  <w:vAlign w:val="center"/>
                </w:tcPr>
                <w:p>
                  <w:pPr>
                    <w:adjustRightInd w:val="0"/>
                    <w:snapToGrid w:val="0"/>
                    <w:jc w:val="center"/>
                  </w:pPr>
                </w:p>
              </w:tc>
              <w:tc>
                <w:tcPr>
                  <w:tcW w:w="793" w:type="dxa"/>
                  <w:vMerge w:val="continue"/>
                  <w:tcBorders>
                    <w:left w:val="nil"/>
                    <w:right w:val="single" w:color="auto" w:sz="4" w:space="0"/>
                  </w:tcBorders>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1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锌合金渣</w:t>
                  </w:r>
                </w:p>
              </w:tc>
              <w:tc>
                <w:tcPr>
                  <w:tcW w:w="1075" w:type="dxa"/>
                  <w:tcBorders>
                    <w:top w:val="single" w:color="auto" w:sz="4" w:space="0"/>
                    <w:left w:val="nil"/>
                    <w:bottom w:val="single" w:color="auto" w:sz="4" w:space="0"/>
                    <w:right w:val="single" w:color="auto" w:sz="4" w:space="0"/>
                  </w:tcBorders>
                  <w:vAlign w:val="center"/>
                </w:tcPr>
                <w:p>
                  <w:pPr>
                    <w:adjustRightInd w:val="0"/>
                    <w:snapToGrid w:val="0"/>
                    <w:jc w:val="center"/>
                  </w:pPr>
                  <w:r>
                    <w:rPr>
                      <w:rFonts w:hint="eastAsia"/>
                    </w:rPr>
                    <w:t>电熔</w:t>
                  </w:r>
                </w:p>
              </w:tc>
              <w:tc>
                <w:tcPr>
                  <w:tcW w:w="1442" w:type="dxa"/>
                  <w:tcBorders>
                    <w:top w:val="single" w:color="auto" w:sz="4" w:space="0"/>
                    <w:left w:val="nil"/>
                    <w:bottom w:val="single" w:color="auto" w:sz="4" w:space="0"/>
                    <w:right w:val="single" w:color="auto" w:sz="4" w:space="0"/>
                  </w:tcBorders>
                  <w:vAlign w:val="center"/>
                </w:tcPr>
                <w:p>
                  <w:pPr>
                    <w:adjustRightInd w:val="0"/>
                    <w:snapToGrid w:val="0"/>
                    <w:jc w:val="center"/>
                  </w:pPr>
                  <w:r>
                    <w:t>339-001-10</w:t>
                  </w:r>
                </w:p>
              </w:tc>
              <w:tc>
                <w:tcPr>
                  <w:tcW w:w="1091" w:type="dxa"/>
                  <w:tcBorders>
                    <w:top w:val="single" w:color="auto" w:sz="4" w:space="0"/>
                    <w:left w:val="nil"/>
                    <w:bottom w:val="single" w:color="auto" w:sz="4" w:space="0"/>
                    <w:right w:val="single" w:color="auto" w:sz="4" w:space="0"/>
                  </w:tcBorders>
                  <w:vAlign w:val="center"/>
                </w:tcPr>
                <w:p>
                  <w:pPr>
                    <w:adjustRightInd w:val="0"/>
                    <w:snapToGrid w:val="0"/>
                    <w:jc w:val="center"/>
                  </w:pPr>
                  <w:r>
                    <w:t>0.917</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固态</w:t>
                  </w:r>
                </w:p>
              </w:tc>
              <w:tc>
                <w:tcPr>
                  <w:tcW w:w="1002" w:type="dxa"/>
                  <w:tcBorders>
                    <w:top w:val="single" w:color="auto" w:sz="4" w:space="0"/>
                    <w:left w:val="nil"/>
                    <w:bottom w:val="single" w:color="auto" w:sz="4" w:space="0"/>
                    <w:right w:val="single" w:color="auto" w:sz="4" w:space="0"/>
                  </w:tcBorders>
                  <w:vAlign w:val="center"/>
                </w:tcPr>
                <w:p>
                  <w:pPr>
                    <w:adjustRightInd w:val="0"/>
                    <w:snapToGrid w:val="0"/>
                    <w:jc w:val="center"/>
                  </w:pPr>
                  <w:r>
                    <w:t>合金</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桶装</w:t>
                  </w:r>
                </w:p>
              </w:tc>
              <w:tc>
                <w:tcPr>
                  <w:tcW w:w="794" w:type="dxa"/>
                  <w:vMerge w:val="continue"/>
                  <w:tcBorders>
                    <w:left w:val="nil"/>
                    <w:right w:val="single" w:color="auto" w:sz="4" w:space="0"/>
                  </w:tcBorders>
                  <w:vAlign w:val="center"/>
                </w:tcPr>
                <w:p>
                  <w:pPr>
                    <w:adjustRightInd w:val="0"/>
                    <w:snapToGrid w:val="0"/>
                    <w:jc w:val="center"/>
                  </w:pPr>
                </w:p>
              </w:tc>
              <w:tc>
                <w:tcPr>
                  <w:tcW w:w="793" w:type="dxa"/>
                  <w:vMerge w:val="continue"/>
                  <w:tcBorders>
                    <w:left w:val="nil"/>
                    <w:right w:val="single" w:color="auto" w:sz="4" w:space="0"/>
                  </w:tcBorders>
                  <w:vAlign w:val="center"/>
                </w:tcPr>
                <w:p>
                  <w:pPr>
                    <w:adjustRightInd w:val="0"/>
                    <w:snapToGrid w:val="0"/>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14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pPr>
                  <w:r>
                    <w:t>次品</w:t>
                  </w:r>
                </w:p>
              </w:tc>
              <w:tc>
                <w:tcPr>
                  <w:tcW w:w="1075" w:type="dxa"/>
                  <w:tcBorders>
                    <w:top w:val="single" w:color="auto" w:sz="4" w:space="0"/>
                    <w:left w:val="nil"/>
                    <w:bottom w:val="single" w:color="auto" w:sz="4" w:space="0"/>
                    <w:right w:val="single" w:color="auto" w:sz="4" w:space="0"/>
                  </w:tcBorders>
                  <w:vAlign w:val="center"/>
                </w:tcPr>
                <w:p>
                  <w:pPr>
                    <w:adjustRightInd w:val="0"/>
                    <w:snapToGrid w:val="0"/>
                    <w:jc w:val="center"/>
                  </w:pPr>
                  <w:r>
                    <w:t>质检</w:t>
                  </w:r>
                </w:p>
              </w:tc>
              <w:tc>
                <w:tcPr>
                  <w:tcW w:w="1442" w:type="dxa"/>
                  <w:tcBorders>
                    <w:top w:val="single" w:color="auto" w:sz="4" w:space="0"/>
                    <w:left w:val="nil"/>
                    <w:bottom w:val="single" w:color="auto" w:sz="4" w:space="0"/>
                    <w:right w:val="single" w:color="auto" w:sz="4" w:space="0"/>
                  </w:tcBorders>
                  <w:vAlign w:val="center"/>
                </w:tcPr>
                <w:p>
                  <w:pPr>
                    <w:adjustRightInd w:val="0"/>
                    <w:snapToGrid w:val="0"/>
                    <w:jc w:val="center"/>
                  </w:pPr>
                  <w:r>
                    <w:t>339-001-09</w:t>
                  </w:r>
                </w:p>
              </w:tc>
              <w:tc>
                <w:tcPr>
                  <w:tcW w:w="1091" w:type="dxa"/>
                  <w:tcBorders>
                    <w:top w:val="single" w:color="auto" w:sz="4" w:space="0"/>
                    <w:left w:val="nil"/>
                    <w:bottom w:val="single" w:color="auto" w:sz="4" w:space="0"/>
                    <w:right w:val="single" w:color="auto" w:sz="4" w:space="0"/>
                  </w:tcBorders>
                  <w:vAlign w:val="center"/>
                </w:tcPr>
                <w:p>
                  <w:pPr>
                    <w:adjustRightInd w:val="0"/>
                    <w:snapToGrid w:val="0"/>
                    <w:jc w:val="center"/>
                  </w:pPr>
                  <w:r>
                    <w:t>0.105</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固态</w:t>
                  </w:r>
                </w:p>
              </w:tc>
              <w:tc>
                <w:tcPr>
                  <w:tcW w:w="1002" w:type="dxa"/>
                  <w:tcBorders>
                    <w:top w:val="single" w:color="auto" w:sz="4" w:space="0"/>
                    <w:left w:val="nil"/>
                    <w:bottom w:val="single" w:color="auto" w:sz="4" w:space="0"/>
                    <w:right w:val="single" w:color="auto" w:sz="4" w:space="0"/>
                  </w:tcBorders>
                  <w:vAlign w:val="center"/>
                </w:tcPr>
                <w:p>
                  <w:pPr>
                    <w:adjustRightInd w:val="0"/>
                    <w:snapToGrid w:val="0"/>
                    <w:jc w:val="center"/>
                  </w:pPr>
                  <w:r>
                    <w:t>合金</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t>/</w:t>
                  </w:r>
                </w:p>
              </w:tc>
              <w:tc>
                <w:tcPr>
                  <w:tcW w:w="647" w:type="dxa"/>
                  <w:tcBorders>
                    <w:top w:val="single" w:color="auto" w:sz="4" w:space="0"/>
                    <w:left w:val="nil"/>
                    <w:bottom w:val="single" w:color="auto" w:sz="4" w:space="0"/>
                    <w:right w:val="single" w:color="auto" w:sz="4" w:space="0"/>
                  </w:tcBorders>
                  <w:vAlign w:val="center"/>
                </w:tcPr>
                <w:p>
                  <w:pPr>
                    <w:adjustRightInd w:val="0"/>
                    <w:snapToGrid w:val="0"/>
                    <w:jc w:val="center"/>
                  </w:pPr>
                  <w:r>
                    <w:rPr>
                      <w:rFonts w:hint="eastAsia"/>
                    </w:rPr>
                    <w:t>袋装</w:t>
                  </w:r>
                </w:p>
              </w:tc>
              <w:tc>
                <w:tcPr>
                  <w:tcW w:w="794" w:type="dxa"/>
                  <w:tcBorders>
                    <w:left w:val="nil"/>
                    <w:bottom w:val="single" w:color="auto" w:sz="4" w:space="0"/>
                    <w:right w:val="single" w:color="auto" w:sz="4" w:space="0"/>
                  </w:tcBorders>
                  <w:vAlign w:val="center"/>
                </w:tcPr>
                <w:p>
                  <w:pPr>
                    <w:adjustRightInd w:val="0"/>
                    <w:snapToGrid w:val="0"/>
                    <w:jc w:val="center"/>
                  </w:pPr>
                  <w:r>
                    <w:rPr>
                      <w:rFonts w:hint="eastAsia"/>
                    </w:rPr>
                    <w:t>回炉融化</w:t>
                  </w:r>
                </w:p>
              </w:tc>
              <w:tc>
                <w:tcPr>
                  <w:tcW w:w="793" w:type="dxa"/>
                  <w:tcBorders>
                    <w:left w:val="nil"/>
                    <w:bottom w:val="single" w:color="auto" w:sz="4" w:space="0"/>
                    <w:right w:val="single" w:color="auto" w:sz="4" w:space="0"/>
                  </w:tcBorders>
                  <w:vAlign w:val="center"/>
                </w:tcPr>
                <w:p>
                  <w:pPr>
                    <w:adjustRightInd w:val="0"/>
                    <w:snapToGrid w:val="0"/>
                    <w:jc w:val="center"/>
                  </w:pPr>
                  <w:r>
                    <w:rPr>
                      <w:rFonts w:hint="eastAsia"/>
                    </w:rPr>
                    <w:t>再利用</w:t>
                  </w:r>
                </w:p>
              </w:tc>
            </w:tr>
          </w:tbl>
          <w:p>
            <w:pPr>
              <w:pStyle w:val="245"/>
              <w:adjustRightInd w:val="0"/>
              <w:snapToGrid w:val="0"/>
              <w:spacing w:before="120" w:beforeLines="50" w:line="360" w:lineRule="auto"/>
              <w:rPr>
                <w:b/>
                <w:sz w:val="21"/>
                <w:szCs w:val="21"/>
              </w:rPr>
            </w:pPr>
            <w:r>
              <w:rPr>
                <w:b/>
                <w:sz w:val="21"/>
                <w:szCs w:val="21"/>
              </w:rPr>
              <w:t>（3）危险废物</w:t>
            </w:r>
          </w:p>
          <w:p>
            <w:pPr>
              <w:adjustRightInd w:val="0"/>
              <w:snapToGrid w:val="0"/>
              <w:spacing w:line="360" w:lineRule="auto"/>
              <w:ind w:firstLine="422" w:firstLineChars="200"/>
              <w:rPr>
                <w:b/>
                <w:bCs/>
                <w:lang w:bidi="ar"/>
              </w:rPr>
            </w:pPr>
            <w:r>
              <w:rPr>
                <w:b/>
                <w:bCs/>
                <w:lang w:bidi="ar"/>
              </w:rPr>
              <w:t>A、废</w:t>
            </w:r>
            <w:r>
              <w:rPr>
                <w:rFonts w:hint="eastAsia"/>
                <w:b/>
                <w:bCs/>
                <w:lang w:bidi="ar"/>
              </w:rPr>
              <w:t>液压油</w:t>
            </w:r>
          </w:p>
          <w:p>
            <w:pPr>
              <w:adjustRightInd w:val="0"/>
              <w:snapToGrid w:val="0"/>
              <w:spacing w:line="360" w:lineRule="auto"/>
              <w:ind w:firstLine="420" w:firstLineChars="200"/>
            </w:pPr>
            <w:r>
              <w:t>项目生产机械数量较多，需要定期检修、保养，会产生少量更换的废</w:t>
            </w:r>
            <w:r>
              <w:rPr>
                <w:rFonts w:hint="eastAsia"/>
              </w:rPr>
              <w:t>液压</w:t>
            </w:r>
            <w:r>
              <w:t>油，根据建设单位提供的资料，其年产生量约0.48t。废</w:t>
            </w:r>
            <w:r>
              <w:rPr>
                <w:rFonts w:hint="eastAsia"/>
              </w:rPr>
              <w:t>液压油</w:t>
            </w:r>
            <w:r>
              <w:t>属于《国家危险废物名录（2021年版）》（2021年1月1日起施行）中“HW08废矿物油与含矿物油废物”-“非特定行业-900-249-08”-“其他生产、销售、使用过程中产生的废矿物油及沾染矿物油的废弃包装物”，收集后委托有资质单位处置。</w:t>
            </w:r>
          </w:p>
          <w:p>
            <w:pPr>
              <w:numPr>
                <w:ilvl w:val="0"/>
                <w:numId w:val="21"/>
              </w:numPr>
              <w:adjustRightInd w:val="0"/>
              <w:snapToGrid w:val="0"/>
              <w:spacing w:line="360" w:lineRule="auto"/>
              <w:ind w:firstLine="422" w:firstLineChars="200"/>
              <w:rPr>
                <w:b/>
              </w:rPr>
            </w:pPr>
            <w:r>
              <w:rPr>
                <w:rFonts w:hint="eastAsia"/>
                <w:b/>
              </w:rPr>
              <w:t>铝合金渣</w:t>
            </w:r>
          </w:p>
          <w:p>
            <w:pPr>
              <w:adjustRightInd w:val="0"/>
              <w:snapToGrid w:val="0"/>
              <w:spacing w:line="360" w:lineRule="auto"/>
              <w:ind w:firstLine="420" w:firstLineChars="200"/>
            </w:pPr>
            <w:r>
              <w:rPr>
                <w:rFonts w:hint="eastAsia"/>
                <w:bCs/>
              </w:rPr>
              <w:t>项目电熔过程会产生，根据建设单位提供的资料，</w:t>
            </w:r>
            <w:r>
              <w:t>产生量约为</w:t>
            </w:r>
            <w:r>
              <w:rPr>
                <w:rFonts w:hint="eastAsia"/>
              </w:rPr>
              <w:t>4</w:t>
            </w:r>
            <w:r>
              <w:t>t/a</w:t>
            </w:r>
            <w:r>
              <w:rPr>
                <w:rFonts w:hint="eastAsia"/>
                <w:bCs/>
              </w:rPr>
              <w:t>。铝合金渣属于</w:t>
            </w:r>
            <w:r>
              <w:rPr>
                <w:bCs/>
              </w:rPr>
              <w:t>HW48</w:t>
            </w:r>
            <w:r>
              <w:rPr>
                <w:rFonts w:hint="eastAsia"/>
                <w:bCs/>
              </w:rPr>
              <w:t>有色金属采选和冶炼废物，</w:t>
            </w:r>
            <w:r>
              <w:rPr>
                <w:bCs/>
              </w:rPr>
              <w:t>321-026-48</w:t>
            </w:r>
            <w:r>
              <w:rPr>
                <w:rFonts w:hint="eastAsia"/>
                <w:bCs/>
              </w:rPr>
              <w:t>再生铝和铝材加工过程中，废铝及铝锭重熔、精炼、合金化、铸造熔体表面产生的铝灰渣，及其回收铝过程产生的盐渣和二次铝灰，</w:t>
            </w:r>
            <w:r>
              <w:rPr>
                <w:rFonts w:hint="eastAsia"/>
                <w:bCs/>
                <w:snapToGrid w:val="0"/>
              </w:rPr>
              <w:t>收集后委托有资质单位处置。</w:t>
            </w:r>
          </w:p>
          <w:p>
            <w:pPr>
              <w:adjustRightInd w:val="0"/>
              <w:snapToGrid w:val="0"/>
              <w:spacing w:line="360" w:lineRule="auto"/>
              <w:ind w:firstLine="422" w:firstLineChars="200"/>
              <w:rPr>
                <w:b/>
                <w:bCs/>
                <w:lang w:bidi="ar"/>
              </w:rPr>
            </w:pPr>
            <w:r>
              <w:rPr>
                <w:rFonts w:hint="eastAsia"/>
                <w:b/>
                <w:bCs/>
                <w:lang w:bidi="ar"/>
              </w:rPr>
              <w:t>C、</w:t>
            </w:r>
            <w:r>
              <w:rPr>
                <w:b/>
                <w:bCs/>
                <w:lang w:bidi="ar"/>
              </w:rPr>
              <w:t>含切削液碎屑</w:t>
            </w:r>
          </w:p>
          <w:p>
            <w:pPr>
              <w:adjustRightInd w:val="0"/>
              <w:snapToGrid w:val="0"/>
              <w:spacing w:line="360" w:lineRule="auto"/>
              <w:ind w:firstLine="420" w:firstLineChars="200"/>
            </w:pPr>
            <w:r>
              <w:t xml:space="preserve">项目生产过程中会产生含切削液碎屑，根据建设单位提供的资料，产生量约为0.004t/a，含切削液碎屑属于《国家危险废物名录（2021年版）》（2021年1月1日起施行）中危险废物，废物类别为“HW49其他废物类别”-“非特定行业-900-041-49”-“含有或沾染毒性、感染性危险废物的废弃包装物、容器、过滤吸附介质”，收集后委托有资质单位处置。 </w:t>
            </w:r>
          </w:p>
          <w:p>
            <w:pPr>
              <w:adjustRightInd w:val="0"/>
              <w:snapToGrid w:val="0"/>
              <w:spacing w:line="360" w:lineRule="auto"/>
              <w:ind w:firstLine="422" w:firstLineChars="200"/>
              <w:rPr>
                <w:b/>
                <w:bCs/>
                <w:lang w:bidi="ar"/>
              </w:rPr>
            </w:pPr>
            <w:r>
              <w:rPr>
                <w:rFonts w:hint="eastAsia"/>
                <w:b/>
                <w:bCs/>
                <w:lang w:bidi="ar"/>
              </w:rPr>
              <w:t>D、</w:t>
            </w:r>
            <w:r>
              <w:rPr>
                <w:b/>
                <w:bCs/>
                <w:lang w:bidi="ar"/>
              </w:rPr>
              <w:t>废切削液</w:t>
            </w:r>
          </w:p>
          <w:p>
            <w:pPr>
              <w:adjustRightInd w:val="0"/>
              <w:snapToGrid w:val="0"/>
              <w:spacing w:line="360" w:lineRule="auto"/>
              <w:ind w:firstLine="420" w:firstLineChars="200"/>
              <w:rPr>
                <w:b/>
                <w:bCs/>
                <w:lang w:bidi="ar"/>
              </w:rPr>
            </w:pPr>
            <w:r>
              <w:t>项目生产过程中会产生废切削液，切削液主要由水、矿物油等物质组成，其中水占了大部分，在使用过程中，水分会蒸发，且切削液会随着工件被带走大半，随着切削液的使用时间的增加，会对工件产生影响，因此需要更换切削液。根据建设单位提供资料，废切削液产生的总量为切削液用量的80%，年用切削液0.8t/a，即废切削液产生量为0.64t/a，废切削液属于《国家危险废物名录（2021年版）》（2021年1月1日起施行）中危险废物，废物类别为“HW09油/水、烃/水混合物或乳化液”-“非特定行业-900-006-09”-“使用切削油或切削液进行机械加工过程中产生的油/水、烃/水混合物或乳化液”，收集后委托有资质单位处置。</w:t>
            </w:r>
          </w:p>
          <w:p>
            <w:pPr>
              <w:adjustRightInd w:val="0"/>
              <w:snapToGrid w:val="0"/>
              <w:spacing w:line="360" w:lineRule="auto"/>
              <w:ind w:left="420" w:leftChars="200"/>
              <w:rPr>
                <w:b/>
                <w:bCs/>
                <w:lang w:bidi="ar"/>
              </w:rPr>
            </w:pPr>
            <w:r>
              <w:rPr>
                <w:rFonts w:hint="eastAsia"/>
                <w:b/>
                <w:bCs/>
                <w:lang w:bidi="ar"/>
              </w:rPr>
              <w:t>E、喷淋废水</w:t>
            </w:r>
          </w:p>
          <w:p>
            <w:pPr>
              <w:adjustRightInd w:val="0"/>
              <w:snapToGrid w:val="0"/>
              <w:spacing w:line="360" w:lineRule="auto"/>
              <w:ind w:firstLine="420" w:firstLineChars="200"/>
            </w:pPr>
            <w:r>
              <w:rPr>
                <w:rFonts w:hint="eastAsia"/>
              </w:rPr>
              <w:t>项目水喷淋过程会产生喷淋废水，根据工程分析，喷淋废水的产生量约为9.6</w:t>
            </w:r>
            <w:r>
              <w:t>t/a</w:t>
            </w:r>
            <w:r>
              <w:rPr>
                <w:rFonts w:hint="eastAsia"/>
              </w:rPr>
              <w:t>。喷淋废水属于“</w:t>
            </w:r>
            <w:r>
              <w:t>HW49</w:t>
            </w:r>
            <w:r>
              <w:rPr>
                <w:rFonts w:hint="eastAsia"/>
              </w:rPr>
              <w:t>其他废物”</w:t>
            </w:r>
            <w:r>
              <w:t>-</w:t>
            </w:r>
            <w:r>
              <w:rPr>
                <w:rFonts w:hint="eastAsia"/>
              </w:rPr>
              <w:t>“</w:t>
            </w:r>
            <w:r>
              <w:t>900-041-49</w:t>
            </w:r>
            <w:r>
              <w:rPr>
                <w:rFonts w:hint="eastAsia"/>
              </w:rPr>
              <w:t>”</w:t>
            </w:r>
            <w:r>
              <w:t>-</w:t>
            </w:r>
            <w:r>
              <w:rPr>
                <w:rFonts w:hint="eastAsia"/>
              </w:rPr>
              <w:t>“含有或沾染毒性、感染性危险废物的废弃包装物、容器、过滤吸附介质”，收集后委托有资质单位处置。</w:t>
            </w:r>
          </w:p>
          <w:p>
            <w:pPr>
              <w:adjustRightInd w:val="0"/>
              <w:snapToGrid w:val="0"/>
              <w:spacing w:line="360" w:lineRule="auto"/>
              <w:ind w:firstLine="422" w:firstLineChars="200"/>
              <w:rPr>
                <w:b/>
                <w:bCs/>
              </w:rPr>
            </w:pPr>
            <w:r>
              <w:rPr>
                <w:rFonts w:hint="eastAsia"/>
                <w:b/>
                <w:bCs/>
              </w:rPr>
              <w:t>F、</w:t>
            </w:r>
            <w:r>
              <w:rPr>
                <w:b/>
                <w:bCs/>
              </w:rPr>
              <w:t>喷淋沉渣</w:t>
            </w:r>
          </w:p>
          <w:p>
            <w:pPr>
              <w:adjustRightInd w:val="0"/>
              <w:snapToGrid w:val="0"/>
              <w:spacing w:line="360" w:lineRule="auto"/>
              <w:ind w:firstLine="420" w:firstLineChars="200"/>
            </w:pPr>
            <w:r>
              <w:t>项目水喷淋过程会产生沉渣，根据工程分析，烟尘去除量约为</w:t>
            </w:r>
            <w:r>
              <w:rPr>
                <w:rFonts w:hint="eastAsia"/>
              </w:rPr>
              <w:t>0.58</w:t>
            </w:r>
            <w:r>
              <w:t>t/a，含水率60%，则水喷淋沉渣产生量约</w:t>
            </w:r>
            <w:r>
              <w:rPr>
                <w:rFonts w:hint="eastAsia"/>
              </w:rPr>
              <w:t>0.97</w:t>
            </w:r>
            <w:r>
              <w:t>t/a。喷淋沉渣属于</w:t>
            </w:r>
            <w:r>
              <w:rPr>
                <w:rFonts w:ascii="宋体" w:hAnsi="宋体"/>
              </w:rPr>
              <w:t>“</w:t>
            </w:r>
            <w:r>
              <w:t>HW48有色金属采选和冶炼废物</w:t>
            </w:r>
            <w:r>
              <w:rPr>
                <w:rFonts w:ascii="宋体" w:hAnsi="宋体"/>
              </w:rPr>
              <w:t>”</w:t>
            </w:r>
            <w:r>
              <w:t>-</w:t>
            </w:r>
            <w:r>
              <w:rPr>
                <w:rFonts w:ascii="宋体" w:hAnsi="宋体"/>
              </w:rPr>
              <w:t>“</w:t>
            </w:r>
            <w:r>
              <w:t>321-028-48</w:t>
            </w:r>
            <w:r>
              <w:rPr>
                <w:rFonts w:ascii="宋体" w:hAnsi="宋体"/>
              </w:rPr>
              <w:t>”</w:t>
            </w:r>
            <w:r>
              <w:t>-</w:t>
            </w:r>
            <w:r>
              <w:rPr>
                <w:rFonts w:ascii="宋体" w:hAnsi="宋体"/>
              </w:rPr>
              <w:t>“</w:t>
            </w:r>
            <w:r>
              <w:t>锌再生过程中集（除）尘装置收集的粉尘和湿法除尘产生的废水处理污泥</w:t>
            </w:r>
            <w:r>
              <w:rPr>
                <w:rFonts w:ascii="宋体" w:hAnsi="宋体"/>
              </w:rPr>
              <w:t>”</w:t>
            </w:r>
            <w:r>
              <w:t>，收集后委托有资质单位处置。</w:t>
            </w:r>
          </w:p>
          <w:p>
            <w:pPr>
              <w:adjustRightInd w:val="0"/>
              <w:snapToGrid w:val="0"/>
              <w:spacing w:line="360" w:lineRule="auto"/>
              <w:ind w:firstLine="422" w:firstLineChars="200"/>
              <w:rPr>
                <w:b/>
                <w:bCs/>
              </w:rPr>
            </w:pPr>
            <w:r>
              <w:rPr>
                <w:rFonts w:hint="eastAsia"/>
                <w:b/>
                <w:bCs/>
              </w:rPr>
              <w:t>G</w:t>
            </w:r>
            <w:r>
              <w:rPr>
                <w:b/>
                <w:bCs/>
              </w:rPr>
              <w:t>、废抹布和废手套</w:t>
            </w:r>
          </w:p>
          <w:p>
            <w:pPr>
              <w:adjustRightInd w:val="0"/>
              <w:snapToGrid w:val="0"/>
              <w:spacing w:line="360" w:lineRule="auto"/>
              <w:ind w:firstLine="420" w:firstLineChars="200"/>
            </w:pPr>
            <w:r>
              <w:t>项目在生产和设备保养维修过程中会产生一定量废抹布和废手套，根据建设单位提供资料，年产生量约0.02t/a，废物类别为</w:t>
            </w:r>
            <w:r>
              <w:rPr>
                <w:rFonts w:ascii="宋体" w:hAnsi="宋体"/>
              </w:rPr>
              <w:t>“</w:t>
            </w:r>
            <w:r>
              <w:t>HW49其他废物类别</w:t>
            </w:r>
            <w:r>
              <w:rPr>
                <w:rFonts w:ascii="宋体" w:hAnsi="宋体"/>
              </w:rPr>
              <w:t>”</w:t>
            </w:r>
            <w:r>
              <w:t>-</w:t>
            </w:r>
            <w:r>
              <w:rPr>
                <w:rFonts w:ascii="宋体" w:hAnsi="宋体"/>
              </w:rPr>
              <w:t>“</w:t>
            </w:r>
            <w:r>
              <w:t>非特定行业-900-041-49</w:t>
            </w:r>
            <w:r>
              <w:rPr>
                <w:rFonts w:ascii="宋体" w:hAnsi="宋体"/>
              </w:rPr>
              <w:t>”</w:t>
            </w:r>
            <w:r>
              <w:t>-</w:t>
            </w:r>
            <w:r>
              <w:rPr>
                <w:rFonts w:ascii="宋体" w:hAnsi="宋体"/>
              </w:rPr>
              <w:t>“</w:t>
            </w:r>
            <w:r>
              <w:t>含有或沾染毒性、感染性危险废物的废弃包装物、容器、过滤吸附介质</w:t>
            </w:r>
            <w:r>
              <w:rPr>
                <w:rFonts w:ascii="宋体" w:hAnsi="宋体"/>
              </w:rPr>
              <w:t>”</w:t>
            </w:r>
            <w:r>
              <w:t xml:space="preserve">，收集后委托有资质单位处置。 </w:t>
            </w:r>
          </w:p>
          <w:p>
            <w:pPr>
              <w:adjustRightInd w:val="0"/>
              <w:snapToGrid w:val="0"/>
              <w:spacing w:line="360" w:lineRule="auto"/>
              <w:ind w:firstLine="422" w:firstLineChars="200"/>
              <w:rPr>
                <w:b/>
                <w:bCs/>
                <w:lang w:eastAsia="ja-JP"/>
              </w:rPr>
            </w:pPr>
            <w:r>
              <w:rPr>
                <w:rFonts w:hint="eastAsia"/>
                <w:b/>
                <w:bCs/>
              </w:rPr>
              <w:t>H</w:t>
            </w:r>
            <w:r>
              <w:rPr>
                <w:b/>
                <w:bCs/>
              </w:rPr>
              <w:t>、</w:t>
            </w:r>
            <w:r>
              <w:rPr>
                <w:b/>
                <w:bCs/>
                <w:lang w:eastAsia="ja-JP"/>
              </w:rPr>
              <w:t>废活性炭</w:t>
            </w:r>
          </w:p>
          <w:p>
            <w:pPr>
              <w:adjustRightInd w:val="0"/>
              <w:snapToGrid w:val="0"/>
              <w:spacing w:line="360" w:lineRule="auto"/>
              <w:ind w:firstLine="420" w:firstLineChars="200"/>
            </w:pPr>
            <w:r>
              <w:t>项目产生的有机废气拟采用设计风量分别为</w:t>
            </w:r>
            <w:r>
              <w:rPr>
                <w:rFonts w:hint="eastAsia"/>
              </w:rPr>
              <w:t>11000</w:t>
            </w:r>
            <w:r>
              <w:t>m</w:t>
            </w:r>
            <w:r>
              <w:rPr>
                <w:vertAlign w:val="superscript"/>
              </w:rPr>
              <w:t>3</w:t>
            </w:r>
            <w:r>
              <w:t>/h和</w:t>
            </w:r>
            <w:r>
              <w:rPr>
                <w:rFonts w:hint="eastAsia"/>
              </w:rPr>
              <w:t>22</w:t>
            </w:r>
            <w:r>
              <w:t>00m</w:t>
            </w:r>
            <w:r>
              <w:rPr>
                <w:vertAlign w:val="superscript"/>
              </w:rPr>
              <w:t>3</w:t>
            </w:r>
            <w:r>
              <w:t>/h的2套“二级活性炭吸附装置”处理达标后由15米的排气筒达标排放，则有机废气治理过程会产生废活性炭。由于活性炭填料量与设施风量、横截面面积等有关，活性炭吸附设备活性炭填料量计算公式为：M=LSρ</w:t>
            </w:r>
          </w:p>
          <w:p>
            <w:pPr>
              <w:widowControl/>
              <w:tabs>
                <w:tab w:val="left" w:pos="0"/>
              </w:tabs>
              <w:adjustRightInd w:val="0"/>
              <w:snapToGrid w:val="0"/>
              <w:spacing w:line="360" w:lineRule="auto"/>
              <w:jc w:val="center"/>
              <w:rPr>
                <w:b/>
              </w:rPr>
            </w:pPr>
            <w:r>
              <w:rPr>
                <w:b/>
              </w:rPr>
              <w:t>表4-19 有机废气处理设施基本技术参数</w:t>
            </w:r>
          </w:p>
          <w:tbl>
            <w:tblPr>
              <w:tblStyle w:val="10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1"/>
              <w:gridCol w:w="1193"/>
              <w:gridCol w:w="62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1811" w:type="dxa"/>
                  <w:tcBorders>
                    <w:tl2br w:val="nil"/>
                    <w:tr2bl w:val="nil"/>
                  </w:tcBorders>
                  <w:vAlign w:val="center"/>
                </w:tcPr>
                <w:p>
                  <w:pPr>
                    <w:adjustRightInd w:val="0"/>
                    <w:snapToGrid w:val="0"/>
                    <w:jc w:val="center"/>
                    <w:rPr>
                      <w:b/>
                      <w:bCs/>
                    </w:rPr>
                  </w:pPr>
                  <w:r>
                    <w:rPr>
                      <w:b/>
                      <w:bCs/>
                    </w:rPr>
                    <w:t>参数</w:t>
                  </w:r>
                </w:p>
              </w:tc>
              <w:tc>
                <w:tcPr>
                  <w:tcW w:w="1193" w:type="dxa"/>
                  <w:tcBorders>
                    <w:tl2br w:val="nil"/>
                    <w:tr2bl w:val="nil"/>
                  </w:tcBorders>
                  <w:vAlign w:val="center"/>
                </w:tcPr>
                <w:p>
                  <w:pPr>
                    <w:adjustRightInd w:val="0"/>
                    <w:snapToGrid w:val="0"/>
                    <w:jc w:val="center"/>
                    <w:rPr>
                      <w:b/>
                      <w:bCs/>
                    </w:rPr>
                  </w:pPr>
                  <w:r>
                    <w:rPr>
                      <w:b/>
                      <w:bCs/>
                    </w:rPr>
                    <w:t>指标</w:t>
                  </w:r>
                </w:p>
              </w:tc>
              <w:tc>
                <w:tcPr>
                  <w:tcW w:w="6282" w:type="dxa"/>
                  <w:tcBorders>
                    <w:tl2br w:val="nil"/>
                    <w:tr2bl w:val="nil"/>
                  </w:tcBorders>
                  <w:vAlign w:val="center"/>
                </w:tcPr>
                <w:p>
                  <w:pPr>
                    <w:adjustRightInd w:val="0"/>
                    <w:snapToGrid w:val="0"/>
                    <w:jc w:val="center"/>
                    <w:rPr>
                      <w:b/>
                      <w:bCs/>
                    </w:rPr>
                  </w:pPr>
                  <w:r>
                    <w:rPr>
                      <w:b/>
                      <w:bCs/>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811" w:type="dxa"/>
                  <w:tcBorders>
                    <w:tl2br w:val="nil"/>
                    <w:tr2bl w:val="nil"/>
                  </w:tcBorders>
                  <w:vAlign w:val="center"/>
                </w:tcPr>
                <w:p>
                  <w:pPr>
                    <w:adjustRightInd w:val="0"/>
                    <w:snapToGrid w:val="0"/>
                    <w:jc w:val="center"/>
                  </w:pPr>
                  <w:r>
                    <w:t>废气流向</w:t>
                  </w:r>
                </w:p>
              </w:tc>
              <w:tc>
                <w:tcPr>
                  <w:tcW w:w="1193" w:type="dxa"/>
                  <w:tcBorders>
                    <w:tl2br w:val="nil"/>
                    <w:tr2bl w:val="nil"/>
                  </w:tcBorders>
                  <w:vAlign w:val="center"/>
                </w:tcPr>
                <w:p>
                  <w:pPr>
                    <w:adjustRightInd w:val="0"/>
                    <w:snapToGrid w:val="0"/>
                    <w:jc w:val="center"/>
                  </w:pPr>
                  <w:r>
                    <w:t>从左往右</w:t>
                  </w:r>
                </w:p>
              </w:tc>
              <w:tc>
                <w:tcPr>
                  <w:tcW w:w="6282" w:type="dxa"/>
                  <w:tcBorders>
                    <w:tl2br w:val="nil"/>
                    <w:tr2bl w:val="nil"/>
                  </w:tcBorders>
                  <w:vAlign w:val="center"/>
                </w:tcPr>
                <w:p>
                  <w:pPr>
                    <w:widowControl/>
                    <w:jc w:val="center"/>
                  </w:pPr>
                  <w:r>
                    <w:rPr>
                      <w:sz w:val="20"/>
                      <w:lang w:bidi="ar"/>
                    </w:rPr>
                    <w:t>废气从活性炭箱体的左端风管进入活性炭吸附层，再从右端风管流出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811" w:type="dxa"/>
                  <w:tcBorders>
                    <w:tl2br w:val="nil"/>
                    <w:tr2bl w:val="nil"/>
                  </w:tcBorders>
                  <w:vAlign w:val="center"/>
                </w:tcPr>
                <w:p>
                  <w:pPr>
                    <w:adjustRightInd w:val="0"/>
                    <w:snapToGrid w:val="0"/>
                    <w:jc w:val="center"/>
                  </w:pPr>
                  <w:r>
                    <w:t>活性炭形态</w:t>
                  </w:r>
                </w:p>
              </w:tc>
              <w:tc>
                <w:tcPr>
                  <w:tcW w:w="1193" w:type="dxa"/>
                  <w:tcBorders>
                    <w:tl2br w:val="nil"/>
                    <w:tr2bl w:val="nil"/>
                  </w:tcBorders>
                  <w:vAlign w:val="center"/>
                </w:tcPr>
                <w:p>
                  <w:pPr>
                    <w:adjustRightInd w:val="0"/>
                    <w:snapToGrid w:val="0"/>
                    <w:jc w:val="center"/>
                  </w:pPr>
                  <w:r>
                    <w:t>蜂窝状</w:t>
                  </w:r>
                </w:p>
              </w:tc>
              <w:tc>
                <w:tcPr>
                  <w:tcW w:w="6282" w:type="dxa"/>
                  <w:tcBorders>
                    <w:tl2br w:val="nil"/>
                    <w:tr2bl w:val="nil"/>
                  </w:tcBorders>
                  <w:vAlign w:val="center"/>
                </w:tcPr>
                <w:p>
                  <w:pPr>
                    <w:adjustRightInd w:val="0"/>
                    <w:snapToGrid w:val="0"/>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811" w:type="dxa"/>
                  <w:tcBorders>
                    <w:tl2br w:val="nil"/>
                    <w:tr2bl w:val="nil"/>
                  </w:tcBorders>
                  <w:vAlign w:val="center"/>
                </w:tcPr>
                <w:p>
                  <w:pPr>
                    <w:adjustRightInd w:val="0"/>
                    <w:snapToGrid w:val="0"/>
                    <w:jc w:val="center"/>
                  </w:pPr>
                  <w:r>
                    <w:t>空箱风速</w:t>
                  </w:r>
                </w:p>
              </w:tc>
              <w:tc>
                <w:tcPr>
                  <w:tcW w:w="1193" w:type="dxa"/>
                  <w:tcBorders>
                    <w:tl2br w:val="nil"/>
                    <w:tr2bl w:val="nil"/>
                  </w:tcBorders>
                  <w:vAlign w:val="center"/>
                </w:tcPr>
                <w:p>
                  <w:pPr>
                    <w:adjustRightInd w:val="0"/>
                    <w:snapToGrid w:val="0"/>
                    <w:jc w:val="center"/>
                  </w:pPr>
                  <w:r>
                    <w:t>1.16m/s</w:t>
                  </w:r>
                </w:p>
              </w:tc>
              <w:tc>
                <w:tcPr>
                  <w:tcW w:w="6282" w:type="dxa"/>
                  <w:tcBorders>
                    <w:tl2br w:val="nil"/>
                    <w:tr2bl w:val="nil"/>
                  </w:tcBorders>
                  <w:vAlign w:val="center"/>
                </w:tcPr>
                <w:p>
                  <w:pPr>
                    <w:widowControl/>
                    <w:jc w:val="center"/>
                  </w:pPr>
                  <w:r>
                    <w:rPr>
                      <w:sz w:val="20"/>
                      <w:lang w:bidi="ar"/>
                    </w:rPr>
                    <w:t>根据《吸附法工业有机废气治理工程技术规范》（HJ2026-2013）中使用蜂窝活性炭风速小于 1.2m/s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811" w:type="dxa"/>
                  <w:tcBorders>
                    <w:tl2br w:val="nil"/>
                    <w:tr2bl w:val="nil"/>
                  </w:tcBorders>
                  <w:vAlign w:val="center"/>
                </w:tcPr>
                <w:p>
                  <w:pPr>
                    <w:adjustRightInd w:val="0"/>
                    <w:snapToGrid w:val="0"/>
                    <w:jc w:val="center"/>
                  </w:pPr>
                  <w:r>
                    <w:t>过滤风速</w:t>
                  </w:r>
                </w:p>
              </w:tc>
              <w:tc>
                <w:tcPr>
                  <w:tcW w:w="1193" w:type="dxa"/>
                  <w:tcBorders>
                    <w:tl2br w:val="nil"/>
                    <w:tr2bl w:val="nil"/>
                  </w:tcBorders>
                  <w:vAlign w:val="center"/>
                </w:tcPr>
                <w:p>
                  <w:pPr>
                    <w:adjustRightInd w:val="0"/>
                    <w:snapToGrid w:val="0"/>
                    <w:jc w:val="center"/>
                  </w:pPr>
                  <w:r>
                    <w:t>0.8m/s</w:t>
                  </w:r>
                </w:p>
              </w:tc>
              <w:tc>
                <w:tcPr>
                  <w:tcW w:w="6282" w:type="dxa"/>
                  <w:tcBorders>
                    <w:tl2br w:val="nil"/>
                    <w:tr2bl w:val="nil"/>
                  </w:tcBorders>
                  <w:vAlign w:val="center"/>
                </w:tcPr>
                <w:p>
                  <w:pPr>
                    <w:adjustRightInd w:val="0"/>
                    <w:snapToGrid w:val="0"/>
                    <w:jc w:val="center"/>
                  </w:pPr>
                  <w: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4" w:hRule="atLeast"/>
                <w:jc w:val="center"/>
              </w:trPr>
              <w:tc>
                <w:tcPr>
                  <w:tcW w:w="1811" w:type="dxa"/>
                  <w:tcBorders>
                    <w:tl2br w:val="nil"/>
                    <w:tr2bl w:val="nil"/>
                  </w:tcBorders>
                  <w:vAlign w:val="center"/>
                </w:tcPr>
                <w:p>
                  <w:pPr>
                    <w:adjustRightInd w:val="0"/>
                    <w:snapToGrid w:val="0"/>
                    <w:jc w:val="center"/>
                  </w:pPr>
                  <w:r>
                    <w:t>单个活性炭箱体停留时间</w:t>
                  </w:r>
                </w:p>
              </w:tc>
              <w:tc>
                <w:tcPr>
                  <w:tcW w:w="1193" w:type="dxa"/>
                  <w:tcBorders>
                    <w:tl2br w:val="nil"/>
                    <w:tr2bl w:val="nil"/>
                  </w:tcBorders>
                  <w:vAlign w:val="center"/>
                </w:tcPr>
                <w:p>
                  <w:pPr>
                    <w:adjustRightInd w:val="0"/>
                    <w:snapToGrid w:val="0"/>
                    <w:jc w:val="center"/>
                  </w:pPr>
                  <w:r>
                    <w:t>0.5s</w:t>
                  </w:r>
                </w:p>
              </w:tc>
              <w:tc>
                <w:tcPr>
                  <w:tcW w:w="6282" w:type="dxa"/>
                  <w:tcBorders>
                    <w:tl2br w:val="nil"/>
                    <w:tr2bl w:val="nil"/>
                  </w:tcBorders>
                  <w:vAlign w:val="center"/>
                </w:tcPr>
                <w:p>
                  <w:pPr>
                    <w:widowControl/>
                    <w:jc w:val="center"/>
                  </w:pPr>
                  <w:r>
                    <w:rPr>
                      <w:sz w:val="20"/>
                      <w:lang w:bidi="ar"/>
                    </w:rPr>
                    <w:t>满足污染物在活性炭箱内的接触吸附时间 0.5s～2s</w:t>
                  </w:r>
                </w:p>
              </w:tc>
            </w:tr>
          </w:tbl>
          <w:p>
            <w:pPr>
              <w:pStyle w:val="245"/>
              <w:adjustRightInd w:val="0"/>
              <w:snapToGrid w:val="0"/>
              <w:spacing w:before="120" w:beforeLines="50" w:line="360" w:lineRule="auto"/>
              <w:jc w:val="center"/>
              <w:rPr>
                <w:b/>
                <w:sz w:val="21"/>
                <w:szCs w:val="21"/>
              </w:rPr>
            </w:pPr>
            <w:r>
              <w:rPr>
                <w:b/>
                <w:sz w:val="21"/>
                <w:szCs w:val="21"/>
              </w:rPr>
              <w:t>表4-20 本项目废活性炭产生情况表</w:t>
            </w:r>
          </w:p>
          <w:tbl>
            <w:tblPr>
              <w:tblStyle w:val="101"/>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136"/>
              <w:gridCol w:w="1639"/>
              <w:gridCol w:w="994"/>
              <w:gridCol w:w="1001"/>
              <w:gridCol w:w="820"/>
              <w:gridCol w:w="801"/>
              <w:gridCol w:w="1002"/>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pStyle w:val="877"/>
                    <w:ind w:firstLine="0" w:firstLineChars="0"/>
                    <w:jc w:val="center"/>
                    <w:rPr>
                      <w:b/>
                      <w:bCs/>
                      <w:sz w:val="21"/>
                    </w:rPr>
                  </w:pPr>
                  <w:r>
                    <w:rPr>
                      <w:b/>
                      <w:bCs/>
                      <w:sz w:val="21"/>
                    </w:rPr>
                    <w:t>处理设施</w:t>
                  </w:r>
                </w:p>
              </w:tc>
              <w:tc>
                <w:tcPr>
                  <w:tcW w:w="1031" w:type="dxa"/>
                  <w:vAlign w:val="center"/>
                </w:tcPr>
                <w:p>
                  <w:pPr>
                    <w:pStyle w:val="877"/>
                    <w:ind w:firstLine="0" w:firstLineChars="0"/>
                    <w:jc w:val="center"/>
                    <w:rPr>
                      <w:b/>
                      <w:bCs/>
                      <w:sz w:val="21"/>
                    </w:rPr>
                  </w:pPr>
                  <w:r>
                    <w:rPr>
                      <w:b/>
                      <w:bCs/>
                      <w:sz w:val="21"/>
                    </w:rPr>
                    <w:t>风量</w:t>
                  </w:r>
                </w:p>
              </w:tc>
              <w:tc>
                <w:tcPr>
                  <w:tcW w:w="1644" w:type="dxa"/>
                  <w:vAlign w:val="center"/>
                </w:tcPr>
                <w:p>
                  <w:pPr>
                    <w:pStyle w:val="877"/>
                    <w:ind w:firstLine="0" w:firstLineChars="0"/>
                    <w:jc w:val="center"/>
                    <w:rPr>
                      <w:b/>
                      <w:bCs/>
                      <w:sz w:val="21"/>
                    </w:rPr>
                  </w:pPr>
                  <w:r>
                    <w:rPr>
                      <w:b/>
                      <w:bCs/>
                      <w:sz w:val="21"/>
                    </w:rPr>
                    <w:t>单个炭箱规格参数：长*宽*高</w:t>
                  </w:r>
                </w:p>
              </w:tc>
              <w:tc>
                <w:tcPr>
                  <w:tcW w:w="1007" w:type="dxa"/>
                  <w:vAlign w:val="center"/>
                </w:tcPr>
                <w:p>
                  <w:pPr>
                    <w:pStyle w:val="877"/>
                    <w:ind w:firstLine="0" w:firstLineChars="0"/>
                    <w:jc w:val="center"/>
                    <w:rPr>
                      <w:b/>
                      <w:bCs/>
                      <w:sz w:val="21"/>
                    </w:rPr>
                  </w:pPr>
                  <w:r>
                    <w:rPr>
                      <w:b/>
                      <w:bCs/>
                      <w:sz w:val="21"/>
                    </w:rPr>
                    <w:t>活性炭层横截面积</w:t>
                  </w:r>
                </w:p>
              </w:tc>
              <w:tc>
                <w:tcPr>
                  <w:tcW w:w="1003" w:type="dxa"/>
                  <w:vAlign w:val="center"/>
                </w:tcPr>
                <w:p>
                  <w:pPr>
                    <w:pStyle w:val="877"/>
                    <w:ind w:firstLine="0" w:firstLineChars="0"/>
                    <w:jc w:val="center"/>
                    <w:rPr>
                      <w:b/>
                      <w:bCs/>
                      <w:sz w:val="21"/>
                    </w:rPr>
                  </w:pPr>
                  <w:r>
                    <w:rPr>
                      <w:b/>
                      <w:bCs/>
                      <w:sz w:val="21"/>
                    </w:rPr>
                    <w:t>堆积密度</w:t>
                  </w:r>
                </w:p>
              </w:tc>
              <w:tc>
                <w:tcPr>
                  <w:tcW w:w="833" w:type="dxa"/>
                  <w:vAlign w:val="center"/>
                </w:tcPr>
                <w:p>
                  <w:pPr>
                    <w:pStyle w:val="877"/>
                    <w:ind w:firstLine="0" w:firstLineChars="0"/>
                    <w:jc w:val="center"/>
                    <w:rPr>
                      <w:b/>
                      <w:bCs/>
                      <w:sz w:val="21"/>
                    </w:rPr>
                  </w:pPr>
                  <w:r>
                    <w:rPr>
                      <w:b/>
                      <w:bCs/>
                      <w:sz w:val="21"/>
                    </w:rPr>
                    <w:t>炭层厚度</w:t>
                  </w:r>
                </w:p>
              </w:tc>
              <w:tc>
                <w:tcPr>
                  <w:tcW w:w="829" w:type="dxa"/>
                  <w:vAlign w:val="center"/>
                </w:tcPr>
                <w:p>
                  <w:pPr>
                    <w:pStyle w:val="877"/>
                    <w:ind w:firstLine="0" w:firstLineChars="0"/>
                    <w:jc w:val="center"/>
                    <w:rPr>
                      <w:b/>
                      <w:bCs/>
                      <w:sz w:val="21"/>
                    </w:rPr>
                  </w:pPr>
                  <w:r>
                    <w:rPr>
                      <w:b/>
                      <w:bCs/>
                      <w:sz w:val="21"/>
                    </w:rPr>
                    <w:t>每年更换次数</w:t>
                  </w:r>
                </w:p>
              </w:tc>
              <w:tc>
                <w:tcPr>
                  <w:tcW w:w="1021" w:type="dxa"/>
                  <w:vAlign w:val="center"/>
                </w:tcPr>
                <w:p>
                  <w:pPr>
                    <w:pStyle w:val="877"/>
                    <w:ind w:firstLine="0" w:firstLineChars="0"/>
                    <w:jc w:val="center"/>
                    <w:rPr>
                      <w:b/>
                      <w:bCs/>
                      <w:sz w:val="21"/>
                    </w:rPr>
                  </w:pPr>
                  <w:r>
                    <w:rPr>
                      <w:b/>
                      <w:bCs/>
                      <w:sz w:val="21"/>
                    </w:rPr>
                    <w:t>一次充填量</w:t>
                  </w:r>
                </w:p>
              </w:tc>
              <w:tc>
                <w:tcPr>
                  <w:tcW w:w="1083" w:type="dxa"/>
                  <w:vAlign w:val="center"/>
                </w:tcPr>
                <w:p>
                  <w:pPr>
                    <w:pStyle w:val="877"/>
                    <w:ind w:firstLine="0" w:firstLineChars="0"/>
                    <w:jc w:val="center"/>
                    <w:rPr>
                      <w:b/>
                      <w:bCs/>
                      <w:sz w:val="21"/>
                    </w:rPr>
                  </w:pPr>
                  <w:r>
                    <w:rPr>
                      <w:b/>
                      <w:bCs/>
                      <w:sz w:val="21"/>
                    </w:rPr>
                    <w:t>年需活性炭量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59" w:type="dxa"/>
                  <w:vAlign w:val="center"/>
                </w:tcPr>
                <w:p>
                  <w:pPr>
                    <w:pStyle w:val="877"/>
                    <w:ind w:firstLine="0" w:firstLineChars="0"/>
                    <w:jc w:val="center"/>
                    <w:rPr>
                      <w:sz w:val="21"/>
                    </w:rPr>
                  </w:pPr>
                  <w:r>
                    <w:rPr>
                      <w:sz w:val="21"/>
                    </w:rPr>
                    <w:t>DA004</w:t>
                  </w:r>
                </w:p>
              </w:tc>
              <w:tc>
                <w:tcPr>
                  <w:tcW w:w="1031" w:type="dxa"/>
                  <w:vAlign w:val="center"/>
                </w:tcPr>
                <w:p>
                  <w:pPr>
                    <w:pStyle w:val="877"/>
                    <w:ind w:firstLine="0" w:firstLineChars="0"/>
                    <w:jc w:val="center"/>
                    <w:rPr>
                      <w:sz w:val="21"/>
                    </w:rPr>
                  </w:pPr>
                  <w:r>
                    <w:rPr>
                      <w:rFonts w:hint="eastAsia"/>
                      <w:sz w:val="21"/>
                    </w:rPr>
                    <w:t>22</w:t>
                  </w:r>
                  <w:r>
                    <w:rPr>
                      <w:sz w:val="21"/>
                    </w:rPr>
                    <w:t>00m</w:t>
                  </w:r>
                  <w:r>
                    <w:rPr>
                      <w:sz w:val="21"/>
                      <w:vertAlign w:val="superscript"/>
                    </w:rPr>
                    <w:t>3</w:t>
                  </w:r>
                  <w:r>
                    <w:rPr>
                      <w:sz w:val="21"/>
                    </w:rPr>
                    <w:t>/h</w:t>
                  </w:r>
                </w:p>
              </w:tc>
              <w:tc>
                <w:tcPr>
                  <w:tcW w:w="1644" w:type="dxa"/>
                  <w:vAlign w:val="center"/>
                </w:tcPr>
                <w:p>
                  <w:pPr>
                    <w:pStyle w:val="877"/>
                    <w:ind w:firstLine="0" w:firstLineChars="0"/>
                    <w:jc w:val="center"/>
                    <w:rPr>
                      <w:sz w:val="21"/>
                    </w:rPr>
                  </w:pPr>
                  <w:r>
                    <w:rPr>
                      <w:sz w:val="21"/>
                    </w:rPr>
                    <w:t>0.6*1.25*1.25m</w:t>
                  </w:r>
                </w:p>
              </w:tc>
              <w:tc>
                <w:tcPr>
                  <w:tcW w:w="1007" w:type="dxa"/>
                  <w:vMerge w:val="restart"/>
                  <w:vAlign w:val="center"/>
                </w:tcPr>
                <w:p>
                  <w:pPr>
                    <w:pStyle w:val="877"/>
                    <w:ind w:firstLine="0" w:firstLineChars="0"/>
                    <w:jc w:val="center"/>
                    <w:rPr>
                      <w:sz w:val="21"/>
                    </w:rPr>
                  </w:pPr>
                  <w:r>
                    <w:rPr>
                      <w:sz w:val="21"/>
                    </w:rPr>
                    <w:t>1.44m</w:t>
                  </w:r>
                  <w:r>
                    <w:rPr>
                      <w:sz w:val="21"/>
                      <w:vertAlign w:val="superscript"/>
                    </w:rPr>
                    <w:t>2</w:t>
                  </w:r>
                </w:p>
              </w:tc>
              <w:tc>
                <w:tcPr>
                  <w:tcW w:w="1003" w:type="dxa"/>
                  <w:vMerge w:val="restart"/>
                  <w:vAlign w:val="center"/>
                </w:tcPr>
                <w:p>
                  <w:pPr>
                    <w:pStyle w:val="877"/>
                    <w:ind w:firstLine="0" w:firstLineChars="0"/>
                    <w:jc w:val="center"/>
                    <w:rPr>
                      <w:sz w:val="21"/>
                    </w:rPr>
                  </w:pPr>
                  <w:r>
                    <w:rPr>
                      <w:sz w:val="21"/>
                    </w:rPr>
                    <w:t>0.4g/cm</w:t>
                  </w:r>
                  <w:r>
                    <w:rPr>
                      <w:sz w:val="21"/>
                      <w:vertAlign w:val="superscript"/>
                    </w:rPr>
                    <w:t>3</w:t>
                  </w:r>
                </w:p>
              </w:tc>
              <w:tc>
                <w:tcPr>
                  <w:tcW w:w="833" w:type="dxa"/>
                  <w:vAlign w:val="center"/>
                </w:tcPr>
                <w:p>
                  <w:pPr>
                    <w:pStyle w:val="877"/>
                    <w:ind w:firstLine="0" w:firstLineChars="0"/>
                    <w:jc w:val="center"/>
                    <w:rPr>
                      <w:sz w:val="21"/>
                    </w:rPr>
                  </w:pPr>
                  <w:r>
                    <w:rPr>
                      <w:sz w:val="21"/>
                    </w:rPr>
                    <w:t>0.5m</w:t>
                  </w:r>
                </w:p>
              </w:tc>
              <w:tc>
                <w:tcPr>
                  <w:tcW w:w="829" w:type="dxa"/>
                  <w:vAlign w:val="center"/>
                </w:tcPr>
                <w:p>
                  <w:pPr>
                    <w:pStyle w:val="877"/>
                    <w:ind w:firstLine="0" w:firstLineChars="0"/>
                    <w:jc w:val="center"/>
                    <w:rPr>
                      <w:sz w:val="21"/>
                    </w:rPr>
                  </w:pPr>
                  <w:r>
                    <w:rPr>
                      <w:rFonts w:hint="eastAsia"/>
                      <w:sz w:val="21"/>
                    </w:rPr>
                    <w:t>3</w:t>
                  </w:r>
                  <w:r>
                    <w:rPr>
                      <w:sz w:val="21"/>
                    </w:rPr>
                    <w:t>次</w:t>
                  </w:r>
                </w:p>
              </w:tc>
              <w:tc>
                <w:tcPr>
                  <w:tcW w:w="1021" w:type="dxa"/>
                  <w:vAlign w:val="center"/>
                </w:tcPr>
                <w:p>
                  <w:pPr>
                    <w:pStyle w:val="877"/>
                    <w:ind w:firstLine="0" w:firstLineChars="0"/>
                    <w:jc w:val="center"/>
                    <w:rPr>
                      <w:sz w:val="21"/>
                    </w:rPr>
                  </w:pPr>
                  <w:r>
                    <w:rPr>
                      <w:sz w:val="21"/>
                    </w:rPr>
                    <w:t>0.576t</w:t>
                  </w:r>
                </w:p>
              </w:tc>
              <w:tc>
                <w:tcPr>
                  <w:tcW w:w="1083" w:type="dxa"/>
                  <w:vAlign w:val="center"/>
                </w:tcPr>
                <w:p>
                  <w:pPr>
                    <w:pStyle w:val="877"/>
                    <w:ind w:firstLine="0" w:firstLineChars="0"/>
                    <w:jc w:val="center"/>
                    <w:rPr>
                      <w:sz w:val="21"/>
                    </w:rPr>
                  </w:pPr>
                  <w:r>
                    <w:rPr>
                      <w:sz w:val="21"/>
                    </w:rPr>
                    <w:t>1.</w:t>
                  </w:r>
                  <w:r>
                    <w:rPr>
                      <w:rFonts w:hint="eastAsia"/>
                      <w:sz w:val="21"/>
                    </w:rPr>
                    <w:t>728</w:t>
                  </w:r>
                  <w:r>
                    <w:rPr>
                      <w:sz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835" w:type="dxa"/>
                  <w:vAlign w:val="center"/>
                </w:tcPr>
                <w:p>
                  <w:pPr>
                    <w:pStyle w:val="877"/>
                    <w:ind w:firstLine="0" w:firstLineChars="0"/>
                    <w:rPr>
                      <w:sz w:val="21"/>
                    </w:rPr>
                  </w:pPr>
                  <w:r>
                    <w:rPr>
                      <w:sz w:val="21"/>
                    </w:rPr>
                    <w:t>DA00</w:t>
                  </w:r>
                  <w:r>
                    <w:rPr>
                      <w:rFonts w:hint="eastAsia"/>
                      <w:sz w:val="21"/>
                    </w:rPr>
                    <w:t>1</w:t>
                  </w:r>
                </w:p>
              </w:tc>
              <w:tc>
                <w:tcPr>
                  <w:tcW w:w="1031" w:type="dxa"/>
                  <w:vAlign w:val="center"/>
                </w:tcPr>
                <w:p>
                  <w:pPr>
                    <w:pStyle w:val="877"/>
                    <w:ind w:firstLine="0" w:firstLineChars="0"/>
                    <w:jc w:val="center"/>
                    <w:rPr>
                      <w:sz w:val="21"/>
                    </w:rPr>
                  </w:pPr>
                  <w:r>
                    <w:rPr>
                      <w:rFonts w:hint="eastAsia"/>
                      <w:sz w:val="21"/>
                    </w:rPr>
                    <w:t>110</w:t>
                  </w:r>
                  <w:r>
                    <w:rPr>
                      <w:sz w:val="21"/>
                    </w:rPr>
                    <w:t>00m</w:t>
                  </w:r>
                  <w:r>
                    <w:rPr>
                      <w:sz w:val="21"/>
                      <w:vertAlign w:val="superscript"/>
                    </w:rPr>
                    <w:t>3</w:t>
                  </w:r>
                  <w:r>
                    <w:rPr>
                      <w:sz w:val="21"/>
                    </w:rPr>
                    <w:t>/h</w:t>
                  </w:r>
                </w:p>
              </w:tc>
              <w:tc>
                <w:tcPr>
                  <w:tcW w:w="1644" w:type="dxa"/>
                  <w:vAlign w:val="center"/>
                </w:tcPr>
                <w:p>
                  <w:pPr>
                    <w:pStyle w:val="877"/>
                    <w:ind w:firstLine="0" w:firstLineChars="0"/>
                    <w:jc w:val="center"/>
                    <w:rPr>
                      <w:sz w:val="21"/>
                    </w:rPr>
                  </w:pPr>
                  <w:r>
                    <w:rPr>
                      <w:sz w:val="21"/>
                    </w:rPr>
                    <w:t>1.5*1.25*1.25m</w:t>
                  </w:r>
                </w:p>
              </w:tc>
              <w:tc>
                <w:tcPr>
                  <w:tcW w:w="1007" w:type="dxa"/>
                  <w:vMerge w:val="continue"/>
                  <w:vAlign w:val="center"/>
                </w:tcPr>
                <w:p>
                  <w:pPr>
                    <w:pStyle w:val="877"/>
                    <w:ind w:firstLine="0" w:firstLineChars="0"/>
                    <w:jc w:val="center"/>
                    <w:rPr>
                      <w:sz w:val="21"/>
                    </w:rPr>
                  </w:pPr>
                </w:p>
              </w:tc>
              <w:tc>
                <w:tcPr>
                  <w:tcW w:w="1003" w:type="dxa"/>
                  <w:vMerge w:val="continue"/>
                  <w:vAlign w:val="center"/>
                </w:tcPr>
                <w:p>
                  <w:pPr>
                    <w:pStyle w:val="877"/>
                    <w:ind w:firstLine="0" w:firstLineChars="0"/>
                    <w:jc w:val="center"/>
                    <w:rPr>
                      <w:sz w:val="21"/>
                    </w:rPr>
                  </w:pPr>
                </w:p>
              </w:tc>
              <w:tc>
                <w:tcPr>
                  <w:tcW w:w="833" w:type="dxa"/>
                  <w:vAlign w:val="center"/>
                </w:tcPr>
                <w:p>
                  <w:pPr>
                    <w:pStyle w:val="877"/>
                    <w:ind w:firstLine="0" w:firstLineChars="0"/>
                    <w:jc w:val="center"/>
                    <w:rPr>
                      <w:sz w:val="21"/>
                    </w:rPr>
                  </w:pPr>
                  <w:r>
                    <w:rPr>
                      <w:sz w:val="21"/>
                    </w:rPr>
                    <w:t>1.4m</w:t>
                  </w:r>
                </w:p>
              </w:tc>
              <w:tc>
                <w:tcPr>
                  <w:tcW w:w="829" w:type="dxa"/>
                  <w:vAlign w:val="center"/>
                </w:tcPr>
                <w:p>
                  <w:pPr>
                    <w:pStyle w:val="877"/>
                    <w:ind w:firstLine="0" w:firstLineChars="0"/>
                    <w:jc w:val="center"/>
                    <w:rPr>
                      <w:sz w:val="21"/>
                    </w:rPr>
                  </w:pPr>
                  <w:r>
                    <w:rPr>
                      <w:rFonts w:hint="eastAsia"/>
                      <w:sz w:val="21"/>
                    </w:rPr>
                    <w:t>3</w:t>
                  </w:r>
                  <w:r>
                    <w:rPr>
                      <w:sz w:val="21"/>
                    </w:rPr>
                    <w:t>次</w:t>
                  </w:r>
                </w:p>
              </w:tc>
              <w:tc>
                <w:tcPr>
                  <w:tcW w:w="1021" w:type="dxa"/>
                  <w:vAlign w:val="center"/>
                </w:tcPr>
                <w:p>
                  <w:pPr>
                    <w:pStyle w:val="877"/>
                    <w:ind w:firstLine="0" w:firstLineChars="0"/>
                    <w:jc w:val="center"/>
                    <w:rPr>
                      <w:sz w:val="21"/>
                    </w:rPr>
                  </w:pPr>
                  <w:r>
                    <w:rPr>
                      <w:sz w:val="21"/>
                    </w:rPr>
                    <w:t>1.613t</w:t>
                  </w:r>
                </w:p>
              </w:tc>
              <w:tc>
                <w:tcPr>
                  <w:tcW w:w="1083" w:type="dxa"/>
                  <w:vAlign w:val="center"/>
                </w:tcPr>
                <w:p>
                  <w:pPr>
                    <w:pStyle w:val="877"/>
                    <w:ind w:firstLine="0" w:firstLineChars="0"/>
                    <w:jc w:val="center"/>
                    <w:rPr>
                      <w:sz w:val="21"/>
                    </w:rPr>
                  </w:pPr>
                  <w:r>
                    <w:rPr>
                      <w:rFonts w:hint="eastAsia"/>
                      <w:sz w:val="21"/>
                    </w:rPr>
                    <w:t>4.839</w:t>
                  </w:r>
                  <w:r>
                    <w:rPr>
                      <w:sz w:val="21"/>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133" w:type="dxa"/>
                  <w:gridSpan w:val="7"/>
                  <w:vAlign w:val="center"/>
                </w:tcPr>
                <w:p>
                  <w:pPr>
                    <w:pStyle w:val="877"/>
                    <w:ind w:firstLine="0" w:firstLineChars="0"/>
                    <w:jc w:val="center"/>
                    <w:rPr>
                      <w:sz w:val="21"/>
                    </w:rPr>
                  </w:pPr>
                  <w:r>
                    <w:rPr>
                      <w:sz w:val="21"/>
                    </w:rPr>
                    <w:t>合计</w:t>
                  </w:r>
                </w:p>
              </w:tc>
              <w:tc>
                <w:tcPr>
                  <w:tcW w:w="1021" w:type="dxa"/>
                  <w:vAlign w:val="center"/>
                </w:tcPr>
                <w:p>
                  <w:pPr>
                    <w:pStyle w:val="877"/>
                    <w:ind w:firstLine="0" w:firstLineChars="0"/>
                    <w:jc w:val="center"/>
                    <w:rPr>
                      <w:sz w:val="21"/>
                    </w:rPr>
                  </w:pPr>
                  <w:r>
                    <w:rPr>
                      <w:sz w:val="21"/>
                    </w:rPr>
                    <w:t>2.189t</w:t>
                  </w:r>
                </w:p>
              </w:tc>
              <w:tc>
                <w:tcPr>
                  <w:tcW w:w="1083" w:type="dxa"/>
                  <w:vAlign w:val="center"/>
                </w:tcPr>
                <w:p>
                  <w:pPr>
                    <w:pStyle w:val="877"/>
                    <w:ind w:firstLine="0" w:firstLineChars="0"/>
                    <w:jc w:val="center"/>
                    <w:rPr>
                      <w:sz w:val="21"/>
                    </w:rPr>
                  </w:pPr>
                  <w:r>
                    <w:rPr>
                      <w:rFonts w:hint="eastAsia"/>
                      <w:sz w:val="21"/>
                    </w:rPr>
                    <w:t>6.567</w:t>
                  </w:r>
                  <w:r>
                    <w:rPr>
                      <w:sz w:val="21"/>
                    </w:rPr>
                    <w:t>t</w:t>
                  </w:r>
                </w:p>
              </w:tc>
            </w:tr>
          </w:tbl>
          <w:p>
            <w:pPr>
              <w:widowControl/>
              <w:spacing w:before="120" w:beforeLines="50" w:line="360" w:lineRule="auto"/>
              <w:ind w:firstLine="420" w:firstLineChars="200"/>
            </w:pPr>
            <w:r>
              <w:t>经计算，项目活性炭的更换量为4.378t/a（每年更换</w:t>
            </w:r>
            <w:r>
              <w:rPr>
                <w:rFonts w:hint="eastAsia"/>
              </w:rPr>
              <w:t>3</w:t>
            </w:r>
            <w:r>
              <w:t>次），根据《广东省工业源挥发性有机物减排量核算方法（试行）》中表4.5-2，蜂窝状活性炭对有机废气各成分的吸附量约为20%，由前文可知，本项目活性炭箱需要吸附的有机废气吸附量约为0.</w:t>
            </w:r>
            <w:r>
              <w:rPr>
                <w:rFonts w:hint="eastAsia"/>
              </w:rPr>
              <w:t>00579</w:t>
            </w:r>
            <w:r>
              <w:t>t/a，则本项目吸附有机废气理论所需的活性炭用量约为0.</w:t>
            </w:r>
            <w:r>
              <w:rPr>
                <w:rFonts w:hint="eastAsia"/>
              </w:rPr>
              <w:t>029</w:t>
            </w:r>
            <w:r>
              <w:t>t/a（&lt;</w:t>
            </w:r>
            <w:r>
              <w:rPr>
                <w:rFonts w:hint="eastAsia"/>
              </w:rPr>
              <w:t>6.567</w:t>
            </w:r>
            <w:r>
              <w:t>t/a）。加上有机废气吸附量，本项目废活性炭产生量为</w:t>
            </w:r>
            <w:r>
              <w:rPr>
                <w:rFonts w:hint="eastAsia"/>
              </w:rPr>
              <w:t>6.573</w:t>
            </w:r>
            <w:r>
              <w:t>t/a。废活性炭属于《国家危险废物名录（2021年版）》（（2021年1月1日起施行）中规定的危险废物，编号为“HW49其他废物”-“非特定行业-900-039-49”，应委托有相应危险废物处理资质的单位统一处置。</w:t>
            </w:r>
          </w:p>
          <w:p>
            <w:pPr>
              <w:widowControl/>
              <w:tabs>
                <w:tab w:val="left" w:pos="0"/>
              </w:tabs>
              <w:adjustRightInd w:val="0"/>
              <w:snapToGrid w:val="0"/>
              <w:spacing w:line="360" w:lineRule="auto"/>
              <w:jc w:val="center"/>
            </w:pPr>
            <w:r>
              <w:rPr>
                <w:b/>
              </w:rPr>
              <w:t>表4-</w:t>
            </w:r>
            <w:r>
              <w:rPr>
                <w:rFonts w:hint="eastAsia"/>
                <w:b/>
              </w:rPr>
              <w:t>21</w:t>
            </w:r>
            <w:r>
              <w:rPr>
                <w:b/>
              </w:rPr>
              <w:t xml:space="preserve"> 项目危险废物产生情况表</w:t>
            </w:r>
          </w:p>
          <w:tbl>
            <w:tblPr>
              <w:tblStyle w:val="10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72"/>
              <w:gridCol w:w="1710"/>
              <w:gridCol w:w="1196"/>
              <w:gridCol w:w="949"/>
              <w:gridCol w:w="502"/>
              <w:gridCol w:w="897"/>
              <w:gridCol w:w="798"/>
              <w:gridCol w:w="689"/>
              <w:gridCol w:w="651"/>
              <w:gridCol w:w="102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886" w:type="dxa"/>
                  <w:vAlign w:val="center"/>
                </w:tcPr>
                <w:p>
                  <w:pPr>
                    <w:autoSpaceDE w:val="0"/>
                    <w:autoSpaceDN w:val="0"/>
                    <w:adjustRightInd w:val="0"/>
                    <w:snapToGrid w:val="0"/>
                    <w:jc w:val="center"/>
                    <w:rPr>
                      <w:b/>
                    </w:rPr>
                  </w:pPr>
                  <w:r>
                    <w:rPr>
                      <w:b/>
                    </w:rPr>
                    <w:t>危险废物名称</w:t>
                  </w:r>
                </w:p>
              </w:tc>
              <w:tc>
                <w:tcPr>
                  <w:tcW w:w="1738" w:type="dxa"/>
                  <w:vAlign w:val="center"/>
                </w:tcPr>
                <w:p>
                  <w:pPr>
                    <w:autoSpaceDE w:val="0"/>
                    <w:autoSpaceDN w:val="0"/>
                    <w:adjustRightInd w:val="0"/>
                    <w:snapToGrid w:val="0"/>
                    <w:jc w:val="center"/>
                    <w:rPr>
                      <w:b/>
                    </w:rPr>
                  </w:pPr>
                  <w:r>
                    <w:rPr>
                      <w:b/>
                    </w:rPr>
                    <w:t>废物类别</w:t>
                  </w:r>
                </w:p>
              </w:tc>
              <w:tc>
                <w:tcPr>
                  <w:tcW w:w="1196" w:type="dxa"/>
                  <w:vAlign w:val="center"/>
                </w:tcPr>
                <w:p>
                  <w:pPr>
                    <w:autoSpaceDE w:val="0"/>
                    <w:autoSpaceDN w:val="0"/>
                    <w:adjustRightInd w:val="0"/>
                    <w:snapToGrid w:val="0"/>
                    <w:jc w:val="center"/>
                    <w:rPr>
                      <w:b/>
                    </w:rPr>
                  </w:pPr>
                  <w:r>
                    <w:rPr>
                      <w:b/>
                    </w:rPr>
                    <w:t>危险废物</w:t>
                  </w:r>
                </w:p>
                <w:p>
                  <w:pPr>
                    <w:autoSpaceDE w:val="0"/>
                    <w:autoSpaceDN w:val="0"/>
                    <w:adjustRightInd w:val="0"/>
                    <w:snapToGrid w:val="0"/>
                    <w:jc w:val="center"/>
                    <w:rPr>
                      <w:b/>
                    </w:rPr>
                  </w:pPr>
                  <w:r>
                    <w:rPr>
                      <w:b/>
                    </w:rPr>
                    <w:t>代码</w:t>
                  </w:r>
                </w:p>
              </w:tc>
              <w:tc>
                <w:tcPr>
                  <w:tcW w:w="965" w:type="dxa"/>
                  <w:vAlign w:val="center"/>
                </w:tcPr>
                <w:p>
                  <w:pPr>
                    <w:autoSpaceDE w:val="0"/>
                    <w:autoSpaceDN w:val="0"/>
                    <w:adjustRightInd w:val="0"/>
                    <w:snapToGrid w:val="0"/>
                    <w:jc w:val="center"/>
                    <w:rPr>
                      <w:b/>
                    </w:rPr>
                  </w:pPr>
                  <w:r>
                    <w:rPr>
                      <w:b/>
                    </w:rPr>
                    <w:t>主要有毒有害物质</w:t>
                  </w:r>
                </w:p>
              </w:tc>
              <w:tc>
                <w:tcPr>
                  <w:tcW w:w="504" w:type="dxa"/>
                  <w:vAlign w:val="center"/>
                </w:tcPr>
                <w:p>
                  <w:pPr>
                    <w:autoSpaceDE w:val="0"/>
                    <w:autoSpaceDN w:val="0"/>
                    <w:adjustRightInd w:val="0"/>
                    <w:snapToGrid w:val="0"/>
                    <w:jc w:val="center"/>
                    <w:rPr>
                      <w:b/>
                    </w:rPr>
                  </w:pPr>
                  <w:r>
                    <w:rPr>
                      <w:b/>
                    </w:rPr>
                    <w:t>形态</w:t>
                  </w:r>
                </w:p>
              </w:tc>
              <w:tc>
                <w:tcPr>
                  <w:tcW w:w="907" w:type="dxa"/>
                  <w:vAlign w:val="center"/>
                </w:tcPr>
                <w:p>
                  <w:pPr>
                    <w:autoSpaceDE w:val="0"/>
                    <w:autoSpaceDN w:val="0"/>
                    <w:adjustRightInd w:val="0"/>
                    <w:snapToGrid w:val="0"/>
                    <w:jc w:val="center"/>
                    <w:rPr>
                      <w:b/>
                    </w:rPr>
                  </w:pPr>
                  <w:r>
                    <w:rPr>
                      <w:b/>
                    </w:rPr>
                    <w:t>环境危险特性</w:t>
                  </w:r>
                </w:p>
              </w:tc>
              <w:tc>
                <w:tcPr>
                  <w:tcW w:w="809" w:type="dxa"/>
                  <w:vAlign w:val="center"/>
                </w:tcPr>
                <w:p>
                  <w:pPr>
                    <w:widowControl/>
                    <w:jc w:val="left"/>
                  </w:pPr>
                  <w:r>
                    <w:rPr>
                      <w:b/>
                      <w:bCs/>
                      <w:sz w:val="20"/>
                      <w:lang w:bidi="ar"/>
                    </w:rPr>
                    <w:t xml:space="preserve">产生工序 </w:t>
                  </w:r>
                </w:p>
                <w:p>
                  <w:pPr>
                    <w:widowControl/>
                    <w:jc w:val="left"/>
                    <w:rPr>
                      <w:b/>
                    </w:rPr>
                  </w:pPr>
                  <w:r>
                    <w:rPr>
                      <w:b/>
                      <w:bCs/>
                      <w:sz w:val="20"/>
                      <w:lang w:bidi="ar"/>
                    </w:rPr>
                    <w:t>及装置</w:t>
                  </w:r>
                </w:p>
              </w:tc>
              <w:tc>
                <w:tcPr>
                  <w:tcW w:w="581" w:type="dxa"/>
                  <w:vAlign w:val="center"/>
                </w:tcPr>
                <w:p>
                  <w:pPr>
                    <w:autoSpaceDE w:val="0"/>
                    <w:autoSpaceDN w:val="0"/>
                    <w:adjustRightInd w:val="0"/>
                    <w:snapToGrid w:val="0"/>
                    <w:jc w:val="center"/>
                    <w:rPr>
                      <w:b/>
                    </w:rPr>
                  </w:pPr>
                  <w:r>
                    <w:rPr>
                      <w:b/>
                    </w:rPr>
                    <w:t>产生量</w:t>
                  </w:r>
                </w:p>
              </w:tc>
              <w:tc>
                <w:tcPr>
                  <w:tcW w:w="658" w:type="dxa"/>
                  <w:vAlign w:val="center"/>
                </w:tcPr>
                <w:p>
                  <w:pPr>
                    <w:autoSpaceDE w:val="0"/>
                    <w:autoSpaceDN w:val="0"/>
                    <w:adjustRightInd w:val="0"/>
                    <w:snapToGrid w:val="0"/>
                    <w:jc w:val="center"/>
                    <w:rPr>
                      <w:b/>
                    </w:rPr>
                  </w:pPr>
                  <w:r>
                    <w:rPr>
                      <w:b/>
                    </w:rPr>
                    <w:t>产废周期</w:t>
                  </w:r>
                </w:p>
              </w:tc>
              <w:tc>
                <w:tcPr>
                  <w:tcW w:w="1042" w:type="dxa"/>
                  <w:vAlign w:val="center"/>
                </w:tcPr>
                <w:p>
                  <w:pPr>
                    <w:autoSpaceDE w:val="0"/>
                    <w:autoSpaceDN w:val="0"/>
                    <w:adjustRightInd w:val="0"/>
                    <w:snapToGrid w:val="0"/>
                    <w:jc w:val="center"/>
                    <w:rPr>
                      <w:b/>
                    </w:rPr>
                  </w:pPr>
                  <w:r>
                    <w:rPr>
                      <w:b/>
                    </w:rPr>
                    <w:t>利用处置方式和去向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86" w:type="dxa"/>
                  <w:vAlign w:val="center"/>
                </w:tcPr>
                <w:p>
                  <w:pPr>
                    <w:widowControl/>
                    <w:jc w:val="center"/>
                    <w:textAlignment w:val="center"/>
                    <w:rPr>
                      <w:bCs/>
                      <w:lang w:bidi="en-US"/>
                    </w:rPr>
                  </w:pPr>
                  <w:r>
                    <w:rPr>
                      <w:bCs/>
                      <w:lang w:bidi="en-US"/>
                    </w:rPr>
                    <w:t>废活性炭</w:t>
                  </w:r>
                </w:p>
              </w:tc>
              <w:tc>
                <w:tcPr>
                  <w:tcW w:w="1738" w:type="dxa"/>
                  <w:vAlign w:val="center"/>
                </w:tcPr>
                <w:p>
                  <w:pPr>
                    <w:autoSpaceDE w:val="0"/>
                    <w:autoSpaceDN w:val="0"/>
                    <w:adjustRightInd w:val="0"/>
                    <w:snapToGrid w:val="0"/>
                    <w:jc w:val="center"/>
                  </w:pPr>
                  <w:r>
                    <w:t>HW49其他废物</w:t>
                  </w:r>
                </w:p>
              </w:tc>
              <w:tc>
                <w:tcPr>
                  <w:tcW w:w="1196" w:type="dxa"/>
                  <w:vAlign w:val="center"/>
                </w:tcPr>
                <w:p>
                  <w:pPr>
                    <w:adjustRightInd w:val="0"/>
                    <w:snapToGrid w:val="0"/>
                    <w:jc w:val="center"/>
                  </w:pPr>
                  <w:r>
                    <w:t>900-039-49</w:t>
                  </w:r>
                </w:p>
              </w:tc>
              <w:tc>
                <w:tcPr>
                  <w:tcW w:w="965" w:type="dxa"/>
                  <w:vAlign w:val="center"/>
                </w:tcPr>
                <w:p>
                  <w:pPr>
                    <w:topLinePunct/>
                    <w:adjustRightInd w:val="0"/>
                    <w:snapToGrid w:val="0"/>
                    <w:jc w:val="center"/>
                  </w:pPr>
                  <w:r>
                    <w:t>有机废气</w:t>
                  </w:r>
                </w:p>
              </w:tc>
              <w:tc>
                <w:tcPr>
                  <w:tcW w:w="504" w:type="dxa"/>
                  <w:vAlign w:val="center"/>
                </w:tcPr>
                <w:p>
                  <w:pPr>
                    <w:autoSpaceDE w:val="0"/>
                    <w:autoSpaceDN w:val="0"/>
                    <w:adjustRightInd w:val="0"/>
                    <w:snapToGrid w:val="0"/>
                    <w:jc w:val="center"/>
                  </w:pPr>
                  <w:r>
                    <w:t>固态</w:t>
                  </w:r>
                </w:p>
              </w:tc>
              <w:tc>
                <w:tcPr>
                  <w:tcW w:w="907" w:type="dxa"/>
                  <w:vAlign w:val="center"/>
                </w:tcPr>
                <w:p>
                  <w:pPr>
                    <w:autoSpaceDE w:val="0"/>
                    <w:autoSpaceDN w:val="0"/>
                    <w:adjustRightInd w:val="0"/>
                    <w:snapToGrid w:val="0"/>
                    <w:jc w:val="center"/>
                  </w:pPr>
                  <w:r>
                    <w:t>T</w:t>
                  </w:r>
                </w:p>
              </w:tc>
              <w:tc>
                <w:tcPr>
                  <w:tcW w:w="809" w:type="dxa"/>
                  <w:vAlign w:val="center"/>
                </w:tcPr>
                <w:p>
                  <w:pPr>
                    <w:widowControl/>
                    <w:adjustRightInd w:val="0"/>
                    <w:snapToGrid w:val="0"/>
                    <w:jc w:val="center"/>
                    <w:textAlignment w:val="center"/>
                    <w:rPr>
                      <w:bCs/>
                      <w:lang w:bidi="en-US"/>
                    </w:rPr>
                  </w:pPr>
                  <w:r>
                    <w:rPr>
                      <w:bCs/>
                      <w:lang w:bidi="en-US"/>
                    </w:rPr>
                    <w:t>废气处理</w:t>
                  </w:r>
                </w:p>
              </w:tc>
              <w:tc>
                <w:tcPr>
                  <w:tcW w:w="581" w:type="dxa"/>
                  <w:vAlign w:val="center"/>
                </w:tcPr>
                <w:p>
                  <w:pPr>
                    <w:widowControl/>
                    <w:adjustRightInd w:val="0"/>
                    <w:snapToGrid w:val="0"/>
                    <w:jc w:val="center"/>
                    <w:textAlignment w:val="center"/>
                    <w:rPr>
                      <w:bCs/>
                      <w:lang w:bidi="en-US"/>
                    </w:rPr>
                  </w:pPr>
                  <w:r>
                    <w:rPr>
                      <w:rFonts w:hint="eastAsia"/>
                      <w:bCs/>
                      <w:lang w:bidi="en-US"/>
                    </w:rPr>
                    <w:t>6.573</w:t>
                  </w:r>
                </w:p>
              </w:tc>
              <w:tc>
                <w:tcPr>
                  <w:tcW w:w="658" w:type="dxa"/>
                  <w:vAlign w:val="center"/>
                </w:tcPr>
                <w:p>
                  <w:pPr>
                    <w:autoSpaceDE w:val="0"/>
                    <w:autoSpaceDN w:val="0"/>
                    <w:adjustRightInd w:val="0"/>
                    <w:snapToGrid w:val="0"/>
                    <w:jc w:val="center"/>
                  </w:pPr>
                  <w:r>
                    <w:t>6个月</w:t>
                  </w:r>
                </w:p>
              </w:tc>
              <w:tc>
                <w:tcPr>
                  <w:tcW w:w="1042" w:type="dxa"/>
                  <w:vMerge w:val="restart"/>
                  <w:vAlign w:val="center"/>
                </w:tcPr>
                <w:p>
                  <w:pPr>
                    <w:autoSpaceDE w:val="0"/>
                    <w:autoSpaceDN w:val="0"/>
                    <w:adjustRightInd w:val="0"/>
                    <w:snapToGrid w:val="0"/>
                    <w:jc w:val="center"/>
                    <w:rPr>
                      <w:bCs/>
                      <w:lang w:bidi="en-US"/>
                    </w:rPr>
                  </w:pPr>
                  <w:r>
                    <w:t>委托有资质单位处理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86" w:type="dxa"/>
                  <w:vAlign w:val="center"/>
                </w:tcPr>
                <w:p>
                  <w:pPr>
                    <w:widowControl/>
                    <w:adjustRightInd w:val="0"/>
                    <w:snapToGrid w:val="0"/>
                    <w:jc w:val="center"/>
                    <w:textAlignment w:val="center"/>
                    <w:rPr>
                      <w:bCs/>
                      <w:lang w:bidi="en-US"/>
                    </w:rPr>
                  </w:pPr>
                  <w:r>
                    <w:rPr>
                      <w:bCs/>
                      <w:lang w:bidi="en-US"/>
                    </w:rPr>
                    <w:t>废</w:t>
                  </w:r>
                  <w:r>
                    <w:rPr>
                      <w:rFonts w:hint="eastAsia"/>
                      <w:bCs/>
                      <w:lang w:bidi="en-US"/>
                    </w:rPr>
                    <w:t>液压油</w:t>
                  </w:r>
                </w:p>
              </w:tc>
              <w:tc>
                <w:tcPr>
                  <w:tcW w:w="1738" w:type="dxa"/>
                  <w:vAlign w:val="center"/>
                </w:tcPr>
                <w:p>
                  <w:pPr>
                    <w:autoSpaceDE w:val="0"/>
                    <w:autoSpaceDN w:val="0"/>
                    <w:adjustRightInd w:val="0"/>
                    <w:snapToGrid w:val="0"/>
                    <w:jc w:val="center"/>
                  </w:pPr>
                  <w:r>
                    <w:t>HW08废矿物油与含矿物油废物</w:t>
                  </w:r>
                </w:p>
              </w:tc>
              <w:tc>
                <w:tcPr>
                  <w:tcW w:w="1196" w:type="dxa"/>
                  <w:vAlign w:val="center"/>
                </w:tcPr>
                <w:p>
                  <w:pPr>
                    <w:adjustRightInd w:val="0"/>
                    <w:snapToGrid w:val="0"/>
                    <w:jc w:val="center"/>
                  </w:pPr>
                  <w:r>
                    <w:t>900-249-08</w:t>
                  </w:r>
                </w:p>
              </w:tc>
              <w:tc>
                <w:tcPr>
                  <w:tcW w:w="965" w:type="dxa"/>
                  <w:vAlign w:val="center"/>
                </w:tcPr>
                <w:p>
                  <w:pPr>
                    <w:topLinePunct/>
                    <w:adjustRightInd w:val="0"/>
                    <w:snapToGrid w:val="0"/>
                    <w:jc w:val="center"/>
                  </w:pPr>
                  <w:r>
                    <w:t>矿物油</w:t>
                  </w:r>
                </w:p>
              </w:tc>
              <w:tc>
                <w:tcPr>
                  <w:tcW w:w="504" w:type="dxa"/>
                  <w:vAlign w:val="center"/>
                </w:tcPr>
                <w:p>
                  <w:pPr>
                    <w:autoSpaceDE w:val="0"/>
                    <w:autoSpaceDN w:val="0"/>
                    <w:adjustRightInd w:val="0"/>
                    <w:snapToGrid w:val="0"/>
                    <w:jc w:val="center"/>
                  </w:pPr>
                  <w:r>
                    <w:t>液态</w:t>
                  </w:r>
                </w:p>
              </w:tc>
              <w:tc>
                <w:tcPr>
                  <w:tcW w:w="907" w:type="dxa"/>
                  <w:vAlign w:val="center"/>
                </w:tcPr>
                <w:p>
                  <w:pPr>
                    <w:autoSpaceDE w:val="0"/>
                    <w:autoSpaceDN w:val="0"/>
                    <w:adjustRightInd w:val="0"/>
                    <w:snapToGrid w:val="0"/>
                    <w:jc w:val="center"/>
                  </w:pPr>
                  <w:r>
                    <w:t>T，I</w:t>
                  </w:r>
                </w:p>
              </w:tc>
              <w:tc>
                <w:tcPr>
                  <w:tcW w:w="809" w:type="dxa"/>
                  <w:vAlign w:val="center"/>
                </w:tcPr>
                <w:p>
                  <w:pPr>
                    <w:widowControl/>
                    <w:adjustRightInd w:val="0"/>
                    <w:snapToGrid w:val="0"/>
                    <w:jc w:val="center"/>
                    <w:textAlignment w:val="center"/>
                    <w:rPr>
                      <w:bCs/>
                      <w:lang w:bidi="en-US"/>
                    </w:rPr>
                  </w:pPr>
                  <w:r>
                    <w:rPr>
                      <w:bCs/>
                      <w:lang w:bidi="en-US"/>
                    </w:rPr>
                    <w:t>设备维修保养</w:t>
                  </w:r>
                </w:p>
              </w:tc>
              <w:tc>
                <w:tcPr>
                  <w:tcW w:w="581" w:type="dxa"/>
                  <w:vAlign w:val="center"/>
                </w:tcPr>
                <w:p>
                  <w:pPr>
                    <w:widowControl/>
                    <w:adjustRightInd w:val="0"/>
                    <w:snapToGrid w:val="0"/>
                    <w:jc w:val="center"/>
                    <w:textAlignment w:val="center"/>
                    <w:rPr>
                      <w:bCs/>
                      <w:lang w:bidi="en-US"/>
                    </w:rPr>
                  </w:pPr>
                  <w:r>
                    <w:rPr>
                      <w:bCs/>
                      <w:lang w:bidi="en-US"/>
                    </w:rPr>
                    <w:t>0.48</w:t>
                  </w:r>
                </w:p>
              </w:tc>
              <w:tc>
                <w:tcPr>
                  <w:tcW w:w="658" w:type="dxa"/>
                  <w:vAlign w:val="center"/>
                </w:tcPr>
                <w:p>
                  <w:pPr>
                    <w:autoSpaceDE w:val="0"/>
                    <w:autoSpaceDN w:val="0"/>
                    <w:adjustRightInd w:val="0"/>
                    <w:snapToGrid w:val="0"/>
                    <w:jc w:val="center"/>
                  </w:pPr>
                  <w:r>
                    <w:t>3个月</w:t>
                  </w:r>
                </w:p>
              </w:tc>
              <w:tc>
                <w:tcPr>
                  <w:tcW w:w="1042" w:type="dxa"/>
                  <w:vMerge w:val="continue"/>
                  <w:vAlign w:val="center"/>
                </w:tcPr>
                <w:p>
                  <w:pPr>
                    <w:autoSpaceDE w:val="0"/>
                    <w:autoSpaceDN w:val="0"/>
                    <w:adjustRightInd w:val="0"/>
                    <w:snapToGrid w:val="0"/>
                    <w:jc w:val="center"/>
                    <w:rPr>
                      <w:bCs/>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9" w:hRule="atLeast"/>
                <w:jc w:val="center"/>
              </w:trPr>
              <w:tc>
                <w:tcPr>
                  <w:tcW w:w="886" w:type="dxa"/>
                  <w:vAlign w:val="center"/>
                </w:tcPr>
                <w:p>
                  <w:pPr>
                    <w:widowControl/>
                    <w:adjustRightInd w:val="0"/>
                    <w:snapToGrid w:val="0"/>
                    <w:jc w:val="center"/>
                    <w:textAlignment w:val="center"/>
                    <w:rPr>
                      <w:bCs/>
                      <w:lang w:bidi="en-US"/>
                    </w:rPr>
                  </w:pPr>
                  <w:r>
                    <w:rPr>
                      <w:bCs/>
                      <w:lang w:bidi="en-US"/>
                    </w:rPr>
                    <w:t>喷淋废水</w:t>
                  </w:r>
                </w:p>
              </w:tc>
              <w:tc>
                <w:tcPr>
                  <w:tcW w:w="1738" w:type="dxa"/>
                  <w:vAlign w:val="center"/>
                </w:tcPr>
                <w:p>
                  <w:pPr>
                    <w:autoSpaceDE w:val="0"/>
                    <w:autoSpaceDN w:val="0"/>
                    <w:adjustRightInd w:val="0"/>
                    <w:snapToGrid w:val="0"/>
                    <w:jc w:val="center"/>
                  </w:pPr>
                  <w:r>
                    <w:t>HW49其他废物</w:t>
                  </w:r>
                </w:p>
              </w:tc>
              <w:tc>
                <w:tcPr>
                  <w:tcW w:w="1196" w:type="dxa"/>
                  <w:vAlign w:val="center"/>
                </w:tcPr>
                <w:p>
                  <w:pPr>
                    <w:adjustRightInd w:val="0"/>
                    <w:snapToGrid w:val="0"/>
                    <w:jc w:val="center"/>
                  </w:pPr>
                  <w:r>
                    <w:t>900-041-49</w:t>
                  </w:r>
                </w:p>
              </w:tc>
              <w:tc>
                <w:tcPr>
                  <w:tcW w:w="965" w:type="dxa"/>
                  <w:vAlign w:val="center"/>
                </w:tcPr>
                <w:p>
                  <w:pPr>
                    <w:topLinePunct/>
                    <w:adjustRightInd w:val="0"/>
                    <w:snapToGrid w:val="0"/>
                    <w:jc w:val="center"/>
                  </w:pPr>
                  <w:r>
                    <w:t>高浓度废水</w:t>
                  </w:r>
                </w:p>
              </w:tc>
              <w:tc>
                <w:tcPr>
                  <w:tcW w:w="504" w:type="dxa"/>
                  <w:vAlign w:val="center"/>
                </w:tcPr>
                <w:p>
                  <w:pPr>
                    <w:autoSpaceDE w:val="0"/>
                    <w:autoSpaceDN w:val="0"/>
                    <w:adjustRightInd w:val="0"/>
                    <w:snapToGrid w:val="0"/>
                    <w:jc w:val="center"/>
                  </w:pPr>
                  <w:r>
                    <w:t>液态</w:t>
                  </w:r>
                </w:p>
              </w:tc>
              <w:tc>
                <w:tcPr>
                  <w:tcW w:w="907" w:type="dxa"/>
                  <w:vAlign w:val="center"/>
                </w:tcPr>
                <w:p>
                  <w:pPr>
                    <w:autoSpaceDE w:val="0"/>
                    <w:autoSpaceDN w:val="0"/>
                    <w:adjustRightInd w:val="0"/>
                    <w:snapToGrid w:val="0"/>
                    <w:jc w:val="center"/>
                  </w:pPr>
                  <w:r>
                    <w:t>T/In</w:t>
                  </w:r>
                </w:p>
              </w:tc>
              <w:tc>
                <w:tcPr>
                  <w:tcW w:w="809" w:type="dxa"/>
                  <w:vAlign w:val="center"/>
                </w:tcPr>
                <w:p>
                  <w:pPr>
                    <w:widowControl/>
                    <w:adjustRightInd w:val="0"/>
                    <w:snapToGrid w:val="0"/>
                    <w:jc w:val="center"/>
                    <w:textAlignment w:val="center"/>
                    <w:rPr>
                      <w:bCs/>
                      <w:lang w:bidi="en-US"/>
                    </w:rPr>
                  </w:pPr>
                  <w:r>
                    <w:rPr>
                      <w:bCs/>
                      <w:lang w:bidi="en-US"/>
                    </w:rPr>
                    <w:t>废气处理</w:t>
                  </w:r>
                </w:p>
              </w:tc>
              <w:tc>
                <w:tcPr>
                  <w:tcW w:w="581" w:type="dxa"/>
                  <w:vAlign w:val="center"/>
                </w:tcPr>
                <w:p>
                  <w:pPr>
                    <w:widowControl/>
                    <w:adjustRightInd w:val="0"/>
                    <w:snapToGrid w:val="0"/>
                    <w:jc w:val="center"/>
                    <w:textAlignment w:val="center"/>
                    <w:rPr>
                      <w:bCs/>
                      <w:lang w:bidi="en-US"/>
                    </w:rPr>
                  </w:pPr>
                  <w:r>
                    <w:rPr>
                      <w:rFonts w:hint="eastAsia"/>
                      <w:bCs/>
                      <w:lang w:bidi="en-US"/>
                    </w:rPr>
                    <w:t>9.6</w:t>
                  </w:r>
                </w:p>
              </w:tc>
              <w:tc>
                <w:tcPr>
                  <w:tcW w:w="658" w:type="dxa"/>
                  <w:vAlign w:val="center"/>
                </w:tcPr>
                <w:p>
                  <w:pPr>
                    <w:autoSpaceDE w:val="0"/>
                    <w:autoSpaceDN w:val="0"/>
                    <w:adjustRightInd w:val="0"/>
                    <w:snapToGrid w:val="0"/>
                    <w:jc w:val="center"/>
                  </w:pPr>
                  <w:r>
                    <w:rPr>
                      <w:rFonts w:hint="eastAsia"/>
                    </w:rPr>
                    <w:t>3</w:t>
                  </w:r>
                  <w:r>
                    <w:t>个月</w:t>
                  </w:r>
                </w:p>
              </w:tc>
              <w:tc>
                <w:tcPr>
                  <w:tcW w:w="1042" w:type="dxa"/>
                  <w:vMerge w:val="continue"/>
                  <w:vAlign w:val="center"/>
                </w:tcPr>
                <w:p>
                  <w:pPr>
                    <w:autoSpaceDE w:val="0"/>
                    <w:autoSpaceDN w:val="0"/>
                    <w:adjustRightInd w:val="0"/>
                    <w:snapToGrid w:val="0"/>
                    <w:jc w:val="center"/>
                    <w:rPr>
                      <w:bCs/>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9" w:hRule="atLeast"/>
                <w:jc w:val="center"/>
              </w:trPr>
              <w:tc>
                <w:tcPr>
                  <w:tcW w:w="886" w:type="dxa"/>
                  <w:vAlign w:val="center"/>
                </w:tcPr>
                <w:p>
                  <w:pPr>
                    <w:widowControl/>
                    <w:adjustRightInd w:val="0"/>
                    <w:snapToGrid w:val="0"/>
                    <w:jc w:val="center"/>
                    <w:textAlignment w:val="center"/>
                    <w:rPr>
                      <w:bCs/>
                      <w:lang w:bidi="en-US"/>
                    </w:rPr>
                  </w:pPr>
                  <w:r>
                    <w:rPr>
                      <w:bCs/>
                      <w:lang w:bidi="en-US"/>
                    </w:rPr>
                    <w:t>喷淋沉渣</w:t>
                  </w:r>
                </w:p>
              </w:tc>
              <w:tc>
                <w:tcPr>
                  <w:tcW w:w="1738" w:type="dxa"/>
                  <w:vAlign w:val="center"/>
                </w:tcPr>
                <w:p>
                  <w:pPr>
                    <w:autoSpaceDE w:val="0"/>
                    <w:autoSpaceDN w:val="0"/>
                    <w:adjustRightInd w:val="0"/>
                    <w:snapToGrid w:val="0"/>
                    <w:jc w:val="center"/>
                  </w:pPr>
                  <w:r>
                    <w:t>HW48有色金属采选和冶炼废物</w:t>
                  </w:r>
                </w:p>
              </w:tc>
              <w:tc>
                <w:tcPr>
                  <w:tcW w:w="1196" w:type="dxa"/>
                  <w:vAlign w:val="center"/>
                </w:tcPr>
                <w:p>
                  <w:pPr>
                    <w:adjustRightInd w:val="0"/>
                    <w:snapToGrid w:val="0"/>
                    <w:jc w:val="center"/>
                  </w:pPr>
                  <w:r>
                    <w:t>321-028-48</w:t>
                  </w:r>
                </w:p>
              </w:tc>
              <w:tc>
                <w:tcPr>
                  <w:tcW w:w="965" w:type="dxa"/>
                  <w:vAlign w:val="center"/>
                </w:tcPr>
                <w:p>
                  <w:pPr>
                    <w:topLinePunct/>
                    <w:adjustRightInd w:val="0"/>
                    <w:snapToGrid w:val="0"/>
                    <w:jc w:val="center"/>
                  </w:pPr>
                  <w:r>
                    <w:t>合金</w:t>
                  </w:r>
                </w:p>
              </w:tc>
              <w:tc>
                <w:tcPr>
                  <w:tcW w:w="504" w:type="dxa"/>
                  <w:vAlign w:val="center"/>
                </w:tcPr>
                <w:p>
                  <w:pPr>
                    <w:autoSpaceDE w:val="0"/>
                    <w:autoSpaceDN w:val="0"/>
                    <w:adjustRightInd w:val="0"/>
                    <w:snapToGrid w:val="0"/>
                    <w:jc w:val="center"/>
                  </w:pPr>
                  <w:r>
                    <w:t>固态</w:t>
                  </w:r>
                </w:p>
              </w:tc>
              <w:tc>
                <w:tcPr>
                  <w:tcW w:w="907" w:type="dxa"/>
                  <w:vAlign w:val="center"/>
                </w:tcPr>
                <w:p>
                  <w:pPr>
                    <w:autoSpaceDE w:val="0"/>
                    <w:autoSpaceDN w:val="0"/>
                    <w:adjustRightInd w:val="0"/>
                    <w:snapToGrid w:val="0"/>
                    <w:jc w:val="center"/>
                  </w:pPr>
                  <w:r>
                    <w:t>/</w:t>
                  </w:r>
                </w:p>
              </w:tc>
              <w:tc>
                <w:tcPr>
                  <w:tcW w:w="809" w:type="dxa"/>
                  <w:vAlign w:val="center"/>
                </w:tcPr>
                <w:p>
                  <w:pPr>
                    <w:widowControl/>
                    <w:adjustRightInd w:val="0"/>
                    <w:snapToGrid w:val="0"/>
                    <w:jc w:val="center"/>
                    <w:textAlignment w:val="center"/>
                    <w:rPr>
                      <w:bCs/>
                      <w:lang w:bidi="en-US"/>
                    </w:rPr>
                  </w:pPr>
                  <w:r>
                    <w:rPr>
                      <w:bCs/>
                      <w:lang w:bidi="en-US"/>
                    </w:rPr>
                    <w:t>废气处理</w:t>
                  </w:r>
                </w:p>
              </w:tc>
              <w:tc>
                <w:tcPr>
                  <w:tcW w:w="581" w:type="dxa"/>
                  <w:vAlign w:val="center"/>
                </w:tcPr>
                <w:p>
                  <w:pPr>
                    <w:widowControl/>
                    <w:adjustRightInd w:val="0"/>
                    <w:snapToGrid w:val="0"/>
                    <w:jc w:val="center"/>
                    <w:textAlignment w:val="center"/>
                    <w:rPr>
                      <w:bCs/>
                      <w:lang w:bidi="en-US"/>
                    </w:rPr>
                  </w:pPr>
                  <w:r>
                    <w:rPr>
                      <w:rFonts w:hint="eastAsia"/>
                      <w:bCs/>
                      <w:lang w:bidi="en-US"/>
                    </w:rPr>
                    <w:t>0.97</w:t>
                  </w:r>
                </w:p>
              </w:tc>
              <w:tc>
                <w:tcPr>
                  <w:tcW w:w="658" w:type="dxa"/>
                  <w:vAlign w:val="center"/>
                </w:tcPr>
                <w:p>
                  <w:pPr>
                    <w:autoSpaceDE w:val="0"/>
                    <w:autoSpaceDN w:val="0"/>
                    <w:adjustRightInd w:val="0"/>
                    <w:snapToGrid w:val="0"/>
                    <w:jc w:val="center"/>
                  </w:pPr>
                  <w:r>
                    <w:rPr>
                      <w:rFonts w:hint="eastAsia"/>
                    </w:rPr>
                    <w:t>3</w:t>
                  </w:r>
                  <w:r>
                    <w:t>个月</w:t>
                  </w:r>
                </w:p>
              </w:tc>
              <w:tc>
                <w:tcPr>
                  <w:tcW w:w="1042" w:type="dxa"/>
                  <w:vMerge w:val="continue"/>
                  <w:vAlign w:val="center"/>
                </w:tcPr>
                <w:p>
                  <w:pPr>
                    <w:autoSpaceDE w:val="0"/>
                    <w:autoSpaceDN w:val="0"/>
                    <w:adjustRightInd w:val="0"/>
                    <w:snapToGrid w:val="0"/>
                    <w:jc w:val="center"/>
                    <w:rPr>
                      <w:bCs/>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886" w:type="dxa"/>
                  <w:vAlign w:val="center"/>
                </w:tcPr>
                <w:p>
                  <w:pPr>
                    <w:widowControl/>
                    <w:adjustRightInd w:val="0"/>
                    <w:snapToGrid w:val="0"/>
                    <w:jc w:val="center"/>
                    <w:textAlignment w:val="center"/>
                    <w:rPr>
                      <w:bCs/>
                      <w:lang w:bidi="en-US"/>
                    </w:rPr>
                  </w:pPr>
                  <w:r>
                    <w:rPr>
                      <w:bCs/>
                      <w:lang w:bidi="en-US"/>
                    </w:rPr>
                    <w:t>含切削液碎屑</w:t>
                  </w:r>
                </w:p>
              </w:tc>
              <w:tc>
                <w:tcPr>
                  <w:tcW w:w="1738" w:type="dxa"/>
                  <w:vAlign w:val="center"/>
                </w:tcPr>
                <w:p>
                  <w:pPr>
                    <w:autoSpaceDE w:val="0"/>
                    <w:autoSpaceDN w:val="0"/>
                    <w:adjustRightInd w:val="0"/>
                    <w:snapToGrid w:val="0"/>
                    <w:jc w:val="center"/>
                  </w:pPr>
                  <w:r>
                    <w:t>HW49其他废物</w:t>
                  </w:r>
                </w:p>
              </w:tc>
              <w:tc>
                <w:tcPr>
                  <w:tcW w:w="1196" w:type="dxa"/>
                  <w:vAlign w:val="center"/>
                </w:tcPr>
                <w:p>
                  <w:pPr>
                    <w:adjustRightInd w:val="0"/>
                    <w:snapToGrid w:val="0"/>
                    <w:jc w:val="center"/>
                  </w:pPr>
                  <w:r>
                    <w:t>900-041-49</w:t>
                  </w:r>
                </w:p>
              </w:tc>
              <w:tc>
                <w:tcPr>
                  <w:tcW w:w="965" w:type="dxa"/>
                  <w:vAlign w:val="center"/>
                </w:tcPr>
                <w:p>
                  <w:pPr>
                    <w:topLinePunct/>
                    <w:adjustRightInd w:val="0"/>
                    <w:snapToGrid w:val="0"/>
                    <w:jc w:val="center"/>
                  </w:pPr>
                  <w:r>
                    <w:t>矿物油</w:t>
                  </w:r>
                </w:p>
              </w:tc>
              <w:tc>
                <w:tcPr>
                  <w:tcW w:w="504" w:type="dxa"/>
                  <w:vAlign w:val="center"/>
                </w:tcPr>
                <w:p>
                  <w:pPr>
                    <w:autoSpaceDE w:val="0"/>
                    <w:autoSpaceDN w:val="0"/>
                    <w:adjustRightInd w:val="0"/>
                    <w:snapToGrid w:val="0"/>
                    <w:jc w:val="center"/>
                  </w:pPr>
                  <w:r>
                    <w:t>固态</w:t>
                  </w:r>
                </w:p>
              </w:tc>
              <w:tc>
                <w:tcPr>
                  <w:tcW w:w="907" w:type="dxa"/>
                  <w:vAlign w:val="center"/>
                </w:tcPr>
                <w:p>
                  <w:pPr>
                    <w:autoSpaceDE w:val="0"/>
                    <w:autoSpaceDN w:val="0"/>
                    <w:adjustRightInd w:val="0"/>
                    <w:snapToGrid w:val="0"/>
                    <w:jc w:val="center"/>
                  </w:pPr>
                  <w:r>
                    <w:t>T/In</w:t>
                  </w:r>
                </w:p>
              </w:tc>
              <w:tc>
                <w:tcPr>
                  <w:tcW w:w="809" w:type="dxa"/>
                  <w:vAlign w:val="center"/>
                </w:tcPr>
                <w:p>
                  <w:pPr>
                    <w:widowControl/>
                    <w:adjustRightInd w:val="0"/>
                    <w:snapToGrid w:val="0"/>
                    <w:jc w:val="center"/>
                    <w:textAlignment w:val="center"/>
                    <w:rPr>
                      <w:bCs/>
                      <w:lang w:bidi="en-US"/>
                    </w:rPr>
                  </w:pPr>
                  <w:r>
                    <w:rPr>
                      <w:bCs/>
                      <w:lang w:bidi="en-US"/>
                    </w:rPr>
                    <w:t>生产加工</w:t>
                  </w:r>
                </w:p>
              </w:tc>
              <w:tc>
                <w:tcPr>
                  <w:tcW w:w="581" w:type="dxa"/>
                  <w:vAlign w:val="center"/>
                </w:tcPr>
                <w:p>
                  <w:pPr>
                    <w:widowControl/>
                    <w:adjustRightInd w:val="0"/>
                    <w:snapToGrid w:val="0"/>
                    <w:jc w:val="center"/>
                    <w:textAlignment w:val="center"/>
                    <w:rPr>
                      <w:bCs/>
                      <w:lang w:bidi="en-US"/>
                    </w:rPr>
                  </w:pPr>
                  <w:r>
                    <w:rPr>
                      <w:bCs/>
                      <w:lang w:bidi="en-US"/>
                    </w:rPr>
                    <w:t>0.004</w:t>
                  </w:r>
                </w:p>
              </w:tc>
              <w:tc>
                <w:tcPr>
                  <w:tcW w:w="658" w:type="dxa"/>
                  <w:vAlign w:val="center"/>
                </w:tcPr>
                <w:p>
                  <w:pPr>
                    <w:autoSpaceDE w:val="0"/>
                    <w:autoSpaceDN w:val="0"/>
                    <w:adjustRightInd w:val="0"/>
                    <w:snapToGrid w:val="0"/>
                    <w:jc w:val="center"/>
                  </w:pPr>
                  <w:r>
                    <w:t>3个月</w:t>
                  </w:r>
                </w:p>
              </w:tc>
              <w:tc>
                <w:tcPr>
                  <w:tcW w:w="1042" w:type="dxa"/>
                  <w:vMerge w:val="continue"/>
                  <w:vAlign w:val="center"/>
                </w:tcPr>
                <w:p>
                  <w:pPr>
                    <w:autoSpaceDE w:val="0"/>
                    <w:autoSpaceDN w:val="0"/>
                    <w:adjustRightInd w:val="0"/>
                    <w:snapToGrid w:val="0"/>
                    <w:jc w:val="center"/>
                    <w:rPr>
                      <w:bCs/>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86" w:type="dxa"/>
                  <w:vAlign w:val="center"/>
                </w:tcPr>
                <w:p>
                  <w:pPr>
                    <w:widowControl/>
                    <w:jc w:val="center"/>
                    <w:textAlignment w:val="center"/>
                    <w:rPr>
                      <w:bCs/>
                      <w:lang w:bidi="en-US"/>
                    </w:rPr>
                  </w:pPr>
                  <w:r>
                    <w:rPr>
                      <w:bCs/>
                      <w:lang w:bidi="en-US"/>
                    </w:rPr>
                    <w:t>废切削液</w:t>
                  </w:r>
                </w:p>
              </w:tc>
              <w:tc>
                <w:tcPr>
                  <w:tcW w:w="1738" w:type="dxa"/>
                  <w:vAlign w:val="center"/>
                </w:tcPr>
                <w:p>
                  <w:pPr>
                    <w:autoSpaceDE w:val="0"/>
                    <w:autoSpaceDN w:val="0"/>
                    <w:adjustRightInd w:val="0"/>
                    <w:snapToGrid w:val="0"/>
                    <w:jc w:val="center"/>
                  </w:pPr>
                  <w:r>
                    <w:t>HW09油/水、烃/水混合物或乳化液</w:t>
                  </w:r>
                </w:p>
              </w:tc>
              <w:tc>
                <w:tcPr>
                  <w:tcW w:w="1196" w:type="dxa"/>
                  <w:vAlign w:val="center"/>
                </w:tcPr>
                <w:p>
                  <w:pPr>
                    <w:widowControl/>
                    <w:jc w:val="left"/>
                  </w:pPr>
                  <w:r>
                    <w:rPr>
                      <w:sz w:val="20"/>
                      <w:lang w:bidi="ar"/>
                    </w:rPr>
                    <w:t>900-006-09</w:t>
                  </w:r>
                </w:p>
              </w:tc>
              <w:tc>
                <w:tcPr>
                  <w:tcW w:w="965" w:type="dxa"/>
                  <w:vAlign w:val="center"/>
                </w:tcPr>
                <w:p>
                  <w:pPr>
                    <w:topLinePunct/>
                    <w:adjustRightInd w:val="0"/>
                    <w:snapToGrid w:val="0"/>
                    <w:jc w:val="center"/>
                  </w:pPr>
                  <w:r>
                    <w:t>矿物油</w:t>
                  </w:r>
                </w:p>
              </w:tc>
              <w:tc>
                <w:tcPr>
                  <w:tcW w:w="504" w:type="dxa"/>
                  <w:vAlign w:val="center"/>
                </w:tcPr>
                <w:p>
                  <w:pPr>
                    <w:autoSpaceDE w:val="0"/>
                    <w:autoSpaceDN w:val="0"/>
                    <w:adjustRightInd w:val="0"/>
                    <w:snapToGrid w:val="0"/>
                    <w:jc w:val="center"/>
                  </w:pPr>
                  <w:r>
                    <w:t>液态</w:t>
                  </w:r>
                </w:p>
              </w:tc>
              <w:tc>
                <w:tcPr>
                  <w:tcW w:w="907" w:type="dxa"/>
                  <w:vAlign w:val="center"/>
                </w:tcPr>
                <w:p>
                  <w:pPr>
                    <w:autoSpaceDE w:val="0"/>
                    <w:autoSpaceDN w:val="0"/>
                    <w:adjustRightInd w:val="0"/>
                    <w:snapToGrid w:val="0"/>
                    <w:jc w:val="center"/>
                  </w:pPr>
                  <w:r>
                    <w:t>T/In</w:t>
                  </w:r>
                </w:p>
              </w:tc>
              <w:tc>
                <w:tcPr>
                  <w:tcW w:w="809" w:type="dxa"/>
                  <w:vAlign w:val="center"/>
                </w:tcPr>
                <w:p>
                  <w:pPr>
                    <w:widowControl/>
                    <w:adjustRightInd w:val="0"/>
                    <w:snapToGrid w:val="0"/>
                    <w:jc w:val="center"/>
                    <w:textAlignment w:val="center"/>
                    <w:rPr>
                      <w:bCs/>
                      <w:lang w:bidi="en-US"/>
                    </w:rPr>
                  </w:pPr>
                  <w:r>
                    <w:rPr>
                      <w:bCs/>
                      <w:lang w:bidi="en-US"/>
                    </w:rPr>
                    <w:t>生产加工</w:t>
                  </w:r>
                </w:p>
              </w:tc>
              <w:tc>
                <w:tcPr>
                  <w:tcW w:w="581" w:type="dxa"/>
                  <w:vAlign w:val="center"/>
                </w:tcPr>
                <w:p>
                  <w:pPr>
                    <w:widowControl/>
                    <w:adjustRightInd w:val="0"/>
                    <w:snapToGrid w:val="0"/>
                    <w:jc w:val="center"/>
                    <w:textAlignment w:val="center"/>
                    <w:rPr>
                      <w:bCs/>
                      <w:lang w:bidi="en-US"/>
                    </w:rPr>
                  </w:pPr>
                  <w:r>
                    <w:rPr>
                      <w:bCs/>
                      <w:lang w:bidi="en-US"/>
                    </w:rPr>
                    <w:t>0.64</w:t>
                  </w:r>
                </w:p>
              </w:tc>
              <w:tc>
                <w:tcPr>
                  <w:tcW w:w="658" w:type="dxa"/>
                  <w:vAlign w:val="center"/>
                </w:tcPr>
                <w:p>
                  <w:pPr>
                    <w:autoSpaceDE w:val="0"/>
                    <w:autoSpaceDN w:val="0"/>
                    <w:adjustRightInd w:val="0"/>
                    <w:snapToGrid w:val="0"/>
                    <w:jc w:val="center"/>
                  </w:pPr>
                  <w:r>
                    <w:t>6个月</w:t>
                  </w:r>
                </w:p>
              </w:tc>
              <w:tc>
                <w:tcPr>
                  <w:tcW w:w="1042" w:type="dxa"/>
                  <w:vMerge w:val="continue"/>
                  <w:vAlign w:val="center"/>
                </w:tcPr>
                <w:p>
                  <w:pPr>
                    <w:autoSpaceDE w:val="0"/>
                    <w:autoSpaceDN w:val="0"/>
                    <w:adjustRightInd w:val="0"/>
                    <w:snapToGrid w:val="0"/>
                    <w:jc w:val="center"/>
                    <w:rPr>
                      <w:bCs/>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86" w:type="dxa"/>
                  <w:vAlign w:val="center"/>
                </w:tcPr>
                <w:p>
                  <w:pPr>
                    <w:widowControl/>
                    <w:jc w:val="center"/>
                    <w:textAlignment w:val="center"/>
                    <w:rPr>
                      <w:bCs/>
                      <w:lang w:bidi="en-US"/>
                    </w:rPr>
                  </w:pPr>
                  <w:r>
                    <w:rPr>
                      <w:bCs/>
                      <w:lang w:bidi="en-US"/>
                    </w:rPr>
                    <w:t>废抹布和废手套</w:t>
                  </w:r>
                </w:p>
              </w:tc>
              <w:tc>
                <w:tcPr>
                  <w:tcW w:w="1738" w:type="dxa"/>
                  <w:vAlign w:val="center"/>
                </w:tcPr>
                <w:p>
                  <w:pPr>
                    <w:autoSpaceDE w:val="0"/>
                    <w:autoSpaceDN w:val="0"/>
                    <w:adjustRightInd w:val="0"/>
                    <w:snapToGrid w:val="0"/>
                    <w:jc w:val="center"/>
                  </w:pPr>
                  <w:r>
                    <w:t>HW49其他废物</w:t>
                  </w:r>
                </w:p>
              </w:tc>
              <w:tc>
                <w:tcPr>
                  <w:tcW w:w="1196" w:type="dxa"/>
                  <w:vAlign w:val="center"/>
                </w:tcPr>
                <w:p>
                  <w:pPr>
                    <w:adjustRightInd w:val="0"/>
                    <w:snapToGrid w:val="0"/>
                    <w:jc w:val="center"/>
                  </w:pPr>
                  <w:r>
                    <w:t>900-041-49</w:t>
                  </w:r>
                </w:p>
              </w:tc>
              <w:tc>
                <w:tcPr>
                  <w:tcW w:w="965" w:type="dxa"/>
                  <w:vAlign w:val="center"/>
                </w:tcPr>
                <w:p>
                  <w:pPr>
                    <w:topLinePunct/>
                    <w:adjustRightInd w:val="0"/>
                    <w:snapToGrid w:val="0"/>
                    <w:jc w:val="center"/>
                  </w:pPr>
                  <w:r>
                    <w:t>矿物油</w:t>
                  </w:r>
                </w:p>
              </w:tc>
              <w:tc>
                <w:tcPr>
                  <w:tcW w:w="504" w:type="dxa"/>
                  <w:vAlign w:val="center"/>
                </w:tcPr>
                <w:p>
                  <w:pPr>
                    <w:autoSpaceDE w:val="0"/>
                    <w:autoSpaceDN w:val="0"/>
                    <w:adjustRightInd w:val="0"/>
                    <w:snapToGrid w:val="0"/>
                    <w:jc w:val="center"/>
                  </w:pPr>
                  <w:r>
                    <w:t>固态</w:t>
                  </w:r>
                </w:p>
              </w:tc>
              <w:tc>
                <w:tcPr>
                  <w:tcW w:w="907" w:type="dxa"/>
                  <w:vAlign w:val="center"/>
                </w:tcPr>
                <w:p>
                  <w:pPr>
                    <w:autoSpaceDE w:val="0"/>
                    <w:autoSpaceDN w:val="0"/>
                    <w:adjustRightInd w:val="0"/>
                    <w:snapToGrid w:val="0"/>
                    <w:jc w:val="center"/>
                  </w:pPr>
                  <w:r>
                    <w:t>T/In</w:t>
                  </w:r>
                </w:p>
              </w:tc>
              <w:tc>
                <w:tcPr>
                  <w:tcW w:w="809" w:type="dxa"/>
                  <w:vAlign w:val="center"/>
                </w:tcPr>
                <w:p>
                  <w:pPr>
                    <w:widowControl/>
                    <w:adjustRightInd w:val="0"/>
                    <w:snapToGrid w:val="0"/>
                    <w:jc w:val="center"/>
                    <w:textAlignment w:val="center"/>
                    <w:rPr>
                      <w:bCs/>
                      <w:lang w:bidi="ar"/>
                    </w:rPr>
                  </w:pPr>
                  <w:r>
                    <w:rPr>
                      <w:bCs/>
                      <w:lang w:bidi="en-US"/>
                    </w:rPr>
                    <w:t>生产加工</w:t>
                  </w:r>
                </w:p>
              </w:tc>
              <w:tc>
                <w:tcPr>
                  <w:tcW w:w="581" w:type="dxa"/>
                  <w:vAlign w:val="center"/>
                </w:tcPr>
                <w:p>
                  <w:pPr>
                    <w:widowControl/>
                    <w:adjustRightInd w:val="0"/>
                    <w:snapToGrid w:val="0"/>
                    <w:jc w:val="center"/>
                    <w:textAlignment w:val="center"/>
                    <w:rPr>
                      <w:bCs/>
                      <w:lang w:bidi="ar"/>
                    </w:rPr>
                  </w:pPr>
                  <w:r>
                    <w:rPr>
                      <w:bCs/>
                      <w:lang w:bidi="ar"/>
                    </w:rPr>
                    <w:t>0.02</w:t>
                  </w:r>
                </w:p>
              </w:tc>
              <w:tc>
                <w:tcPr>
                  <w:tcW w:w="658" w:type="dxa"/>
                  <w:vAlign w:val="center"/>
                </w:tcPr>
                <w:p>
                  <w:pPr>
                    <w:autoSpaceDE w:val="0"/>
                    <w:autoSpaceDN w:val="0"/>
                    <w:adjustRightInd w:val="0"/>
                    <w:snapToGrid w:val="0"/>
                    <w:jc w:val="center"/>
                  </w:pPr>
                  <w:r>
                    <w:t>6个月</w:t>
                  </w:r>
                </w:p>
              </w:tc>
              <w:tc>
                <w:tcPr>
                  <w:tcW w:w="1042" w:type="dxa"/>
                  <w:vMerge w:val="continue"/>
                  <w:vAlign w:val="center"/>
                </w:tcPr>
                <w:p>
                  <w:pPr>
                    <w:autoSpaceDE w:val="0"/>
                    <w:autoSpaceDN w:val="0"/>
                    <w:adjustRightInd w:val="0"/>
                    <w:snapToGrid w:val="0"/>
                    <w:jc w:val="center"/>
                    <w:rPr>
                      <w:bCs/>
                      <w:lang w:bidi="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5" w:hRule="atLeast"/>
                <w:jc w:val="center"/>
              </w:trPr>
              <w:tc>
                <w:tcPr>
                  <w:tcW w:w="886" w:type="dxa"/>
                  <w:vAlign w:val="center"/>
                </w:tcPr>
                <w:p>
                  <w:pPr>
                    <w:widowControl/>
                    <w:jc w:val="center"/>
                    <w:textAlignment w:val="center"/>
                    <w:rPr>
                      <w:bCs/>
                      <w:lang w:bidi="en-US"/>
                    </w:rPr>
                  </w:pPr>
                  <w:r>
                    <w:rPr>
                      <w:rFonts w:hint="eastAsia"/>
                      <w:bCs/>
                      <w:lang w:bidi="en-US"/>
                    </w:rPr>
                    <w:t>铝合金渣</w:t>
                  </w:r>
                </w:p>
              </w:tc>
              <w:tc>
                <w:tcPr>
                  <w:tcW w:w="1738" w:type="dxa"/>
                  <w:vAlign w:val="center"/>
                </w:tcPr>
                <w:p>
                  <w:pPr>
                    <w:autoSpaceDE w:val="0"/>
                    <w:autoSpaceDN w:val="0"/>
                    <w:adjustRightInd w:val="0"/>
                    <w:snapToGrid w:val="0"/>
                    <w:jc w:val="center"/>
                  </w:pPr>
                  <w:r>
                    <w:rPr>
                      <w:bCs/>
                    </w:rPr>
                    <w:t>HW48</w:t>
                  </w:r>
                  <w:r>
                    <w:rPr>
                      <w:rFonts w:hint="eastAsia"/>
                      <w:bCs/>
                    </w:rPr>
                    <w:t>有色金属采选和冶炼废物</w:t>
                  </w:r>
                </w:p>
              </w:tc>
              <w:tc>
                <w:tcPr>
                  <w:tcW w:w="1196" w:type="dxa"/>
                  <w:vAlign w:val="center"/>
                </w:tcPr>
                <w:p>
                  <w:pPr>
                    <w:adjustRightInd w:val="0"/>
                    <w:snapToGrid w:val="0"/>
                    <w:jc w:val="center"/>
                  </w:pPr>
                  <w:r>
                    <w:rPr>
                      <w:bCs/>
                    </w:rPr>
                    <w:t>321-026-48</w:t>
                  </w:r>
                </w:p>
              </w:tc>
              <w:tc>
                <w:tcPr>
                  <w:tcW w:w="965" w:type="dxa"/>
                  <w:vAlign w:val="center"/>
                </w:tcPr>
                <w:p>
                  <w:pPr>
                    <w:topLinePunct/>
                    <w:adjustRightInd w:val="0"/>
                    <w:snapToGrid w:val="0"/>
                    <w:jc w:val="center"/>
                  </w:pPr>
                  <w:r>
                    <w:rPr>
                      <w:rFonts w:hint="eastAsia"/>
                    </w:rPr>
                    <w:t>铝灰渣</w:t>
                  </w:r>
                </w:p>
              </w:tc>
              <w:tc>
                <w:tcPr>
                  <w:tcW w:w="504" w:type="dxa"/>
                  <w:vAlign w:val="center"/>
                </w:tcPr>
                <w:p>
                  <w:pPr>
                    <w:autoSpaceDE w:val="0"/>
                    <w:autoSpaceDN w:val="0"/>
                    <w:adjustRightInd w:val="0"/>
                    <w:snapToGrid w:val="0"/>
                    <w:jc w:val="center"/>
                  </w:pPr>
                  <w:r>
                    <w:rPr>
                      <w:rFonts w:hint="eastAsia"/>
                    </w:rPr>
                    <w:t>固态</w:t>
                  </w:r>
                </w:p>
              </w:tc>
              <w:tc>
                <w:tcPr>
                  <w:tcW w:w="907" w:type="dxa"/>
                  <w:vAlign w:val="center"/>
                </w:tcPr>
                <w:p>
                  <w:pPr>
                    <w:autoSpaceDE w:val="0"/>
                    <w:autoSpaceDN w:val="0"/>
                    <w:adjustRightInd w:val="0"/>
                    <w:snapToGrid w:val="0"/>
                    <w:jc w:val="center"/>
                  </w:pPr>
                  <w:r>
                    <w:t>T</w:t>
                  </w:r>
                </w:p>
              </w:tc>
              <w:tc>
                <w:tcPr>
                  <w:tcW w:w="809" w:type="dxa"/>
                  <w:vAlign w:val="center"/>
                </w:tcPr>
                <w:p>
                  <w:pPr>
                    <w:widowControl/>
                    <w:adjustRightInd w:val="0"/>
                    <w:snapToGrid w:val="0"/>
                    <w:jc w:val="center"/>
                    <w:textAlignment w:val="center"/>
                    <w:rPr>
                      <w:bCs/>
                      <w:lang w:bidi="ar"/>
                    </w:rPr>
                  </w:pPr>
                  <w:r>
                    <w:rPr>
                      <w:bCs/>
                      <w:lang w:bidi="en-US"/>
                    </w:rPr>
                    <w:t>生产加工</w:t>
                  </w:r>
                </w:p>
              </w:tc>
              <w:tc>
                <w:tcPr>
                  <w:tcW w:w="581" w:type="dxa"/>
                  <w:vAlign w:val="center"/>
                </w:tcPr>
                <w:p>
                  <w:pPr>
                    <w:widowControl/>
                    <w:adjustRightInd w:val="0"/>
                    <w:snapToGrid w:val="0"/>
                    <w:jc w:val="center"/>
                    <w:textAlignment w:val="center"/>
                    <w:rPr>
                      <w:bCs/>
                      <w:lang w:bidi="ar"/>
                    </w:rPr>
                  </w:pPr>
                  <w:r>
                    <w:rPr>
                      <w:rFonts w:hint="eastAsia"/>
                      <w:bCs/>
                      <w:lang w:bidi="ar"/>
                    </w:rPr>
                    <w:t>4</w:t>
                  </w:r>
                </w:p>
              </w:tc>
              <w:tc>
                <w:tcPr>
                  <w:tcW w:w="658" w:type="dxa"/>
                  <w:vAlign w:val="center"/>
                </w:tcPr>
                <w:p>
                  <w:pPr>
                    <w:autoSpaceDE w:val="0"/>
                    <w:autoSpaceDN w:val="0"/>
                    <w:adjustRightInd w:val="0"/>
                    <w:snapToGrid w:val="0"/>
                    <w:jc w:val="center"/>
                  </w:pPr>
                  <w:r>
                    <w:t>6个月</w:t>
                  </w:r>
                </w:p>
              </w:tc>
              <w:tc>
                <w:tcPr>
                  <w:tcW w:w="1042" w:type="dxa"/>
                  <w:vMerge w:val="continue"/>
                  <w:vAlign w:val="center"/>
                </w:tcPr>
                <w:p>
                  <w:pPr>
                    <w:autoSpaceDE w:val="0"/>
                    <w:autoSpaceDN w:val="0"/>
                    <w:adjustRightInd w:val="0"/>
                    <w:snapToGrid w:val="0"/>
                    <w:jc w:val="center"/>
                    <w:rPr>
                      <w:bCs/>
                      <w:lang w:bidi="en-US"/>
                    </w:rPr>
                  </w:pPr>
                </w:p>
              </w:tc>
            </w:tr>
          </w:tbl>
          <w:p>
            <w:pPr>
              <w:widowControl/>
            </w:pPr>
            <w:r>
              <w:t>备注：危险特性，包括腐蚀性（Corrosivity，C）、毒性（Toxicity，T）、易燃性（Ignitability， I）、反应性（Reactivity,，R）和感染性（Infectivity，In）</w:t>
            </w:r>
          </w:p>
          <w:p>
            <w:pPr>
              <w:widowControl/>
              <w:spacing w:before="120" w:beforeLines="50" w:line="360" w:lineRule="auto"/>
              <w:ind w:firstLine="422" w:firstLineChars="200"/>
              <w:rPr>
                <w:b/>
                <w:bCs/>
              </w:rPr>
            </w:pPr>
            <w:r>
              <w:rPr>
                <w:b/>
                <w:bCs/>
              </w:rPr>
              <w:t>（2）环境管理要求</w:t>
            </w:r>
          </w:p>
          <w:p>
            <w:pPr>
              <w:adjustRightInd w:val="0"/>
              <w:snapToGrid w:val="0"/>
              <w:spacing w:line="360" w:lineRule="auto"/>
              <w:ind w:firstLine="420" w:firstLineChars="200"/>
              <w:jc w:val="left"/>
              <w:rPr>
                <w:bCs/>
              </w:rPr>
            </w:pPr>
            <w:r>
              <w:rPr>
                <w:bCs/>
              </w:rPr>
              <w:t>项目员工的生活垃圾必须按照指定地点堆放在生活垃圾堆放点，与当地环卫部门联系，每日及时清理、转运、压缩，作统一处理。</w:t>
            </w:r>
          </w:p>
          <w:p>
            <w:pPr>
              <w:pStyle w:val="925"/>
              <w:adjustRightInd w:val="0"/>
              <w:snapToGrid w:val="0"/>
              <w:ind w:firstLine="420"/>
              <w:rPr>
                <w:sz w:val="21"/>
                <w:szCs w:val="21"/>
              </w:rPr>
            </w:pPr>
            <w:r>
              <w:rPr>
                <w:bCs w:val="0"/>
                <w:sz w:val="21"/>
                <w:szCs w:val="21"/>
              </w:rPr>
              <w:t>项目一般工业固体废物经分类收集后尽量回收利用，不能回用的委托相关再生资源回收单位进行回收利用。一般工业固体废物临时存放区实施分类投放、分类收集、分类运输和分类处置，同时保持分类收集容器完好整洁和正常使用。</w:t>
            </w:r>
            <w:r>
              <w:rPr>
                <w:sz w:val="21"/>
                <w:szCs w:val="21"/>
              </w:rPr>
              <w:t>一般工业固废仓库的建设应满足《一般工业固体废物贮存和填埋污染控制标准》（GB18599-2020）的相关要求。具体为：贮存区采取防风防雨措施；各类固废应分类收集；贮存区按照《环境保护图形标志——固体废物贮存（处置）场》（GB15562.2）的要求设置环保图形标志；指定专人进行日常管理。</w:t>
            </w:r>
          </w:p>
          <w:p>
            <w:pPr>
              <w:adjustRightInd w:val="0"/>
              <w:snapToGrid w:val="0"/>
              <w:spacing w:line="360" w:lineRule="auto"/>
              <w:ind w:firstLine="420" w:firstLineChars="200"/>
              <w:rPr>
                <w:bCs/>
              </w:rPr>
            </w:pPr>
            <w:r>
              <w:rPr>
                <w:bCs/>
              </w:rPr>
              <w:t>项目危险废物经收集后交由有危险废物回收处理资质的单位外运处理。建设单位应委托具有相应资质的运输单位和利用处置经营单位，签订委托合同，依法委托运输、利用处置危险废物。在委托时，应详细核实运输单位、车辆、驾驶员及押运员的资质，并根据废物特性，选择运输工具，严防二次污染；应详细核实经营单位资质，严禁委托不具资质或资质不符的单位处置。转移前，产生单位应制定转移计划，向环保主管部门报备并领取联单；转移后，应按照转移实际，做到一转移一联单，并及时向环保主管部门提交转移联单，联单保存应在五年以上。</w:t>
            </w:r>
          </w:p>
          <w:p>
            <w:pPr>
              <w:adjustRightInd w:val="0"/>
              <w:snapToGrid w:val="0"/>
              <w:spacing w:line="360" w:lineRule="auto"/>
              <w:ind w:firstLine="420" w:firstLineChars="200"/>
              <w:rPr>
                <w:bCs/>
              </w:rPr>
            </w:pPr>
            <w:r>
              <w:rPr>
                <w:bCs/>
              </w:rPr>
              <w:t>厂区需要按照《危险废物贮存污染控制标准》(GB18597-2001，2013年修正)的有关规定对危险废物使用专门额容器收集、盛装。装运危险废物的容器能有效地防止渗漏、扩散。装有危险废物的容器贴有标签，在标签上详细标明危险废物的名称、重量、成分、特性以及发生泄漏、扩散污染事故时的应急措施和补救方法。为了防止二次污染，危险废物暂存场应按照《危险废物贮存污染控制标准》（GB18597-2001）及其修改单中的相关规范建设。</w:t>
            </w:r>
          </w:p>
          <w:p>
            <w:pPr>
              <w:adjustRightInd w:val="0"/>
              <w:snapToGrid w:val="0"/>
              <w:spacing w:line="360" w:lineRule="auto"/>
              <w:ind w:firstLine="420" w:firstLineChars="200"/>
              <w:rPr>
                <w:bCs/>
              </w:rPr>
            </w:pPr>
            <w:r>
              <w:rPr>
                <w:bCs/>
              </w:rPr>
              <w:t>（1）对危险废物应建造专用的危险废物贮存设施。建设单位拟在项目生产车间建设专用于危险废物暂存的存放室，该存放室干燥、阴凉，可避免阳关直射危险废物。</w:t>
            </w:r>
          </w:p>
          <w:p>
            <w:pPr>
              <w:adjustRightInd w:val="0"/>
              <w:snapToGrid w:val="0"/>
              <w:spacing w:line="360" w:lineRule="auto"/>
              <w:ind w:firstLine="420" w:firstLineChars="200"/>
              <w:jc w:val="left"/>
              <w:rPr>
                <w:bCs/>
              </w:rPr>
            </w:pPr>
            <w:r>
              <w:rPr>
                <w:bCs/>
              </w:rPr>
              <w:t>（2）无法装入常用容器的危险废物可用防漏胶袋等盛装。</w:t>
            </w:r>
          </w:p>
          <w:p>
            <w:pPr>
              <w:adjustRightInd w:val="0"/>
              <w:snapToGrid w:val="0"/>
              <w:spacing w:line="360" w:lineRule="auto"/>
              <w:ind w:firstLine="420" w:firstLineChars="200"/>
              <w:jc w:val="left"/>
              <w:rPr>
                <w:bCs/>
              </w:rPr>
            </w:pPr>
            <w:r>
              <w:rPr>
                <w:bCs/>
              </w:rPr>
              <w:t>（3）禁止将不相容（相互反应）的危险废物在同一容器内混装。</w:t>
            </w:r>
          </w:p>
          <w:p>
            <w:pPr>
              <w:adjustRightInd w:val="0"/>
              <w:snapToGrid w:val="0"/>
              <w:spacing w:line="360" w:lineRule="auto"/>
              <w:ind w:firstLine="420" w:firstLineChars="200"/>
              <w:jc w:val="left"/>
              <w:rPr>
                <w:bCs/>
              </w:rPr>
            </w:pPr>
            <w:r>
              <w:rPr>
                <w:bCs/>
              </w:rPr>
              <w:t>（4）盛装危险废物的容器上必须粘贴符合标准附录A所示的标签。</w:t>
            </w:r>
          </w:p>
          <w:p>
            <w:pPr>
              <w:adjustRightInd w:val="0"/>
              <w:snapToGrid w:val="0"/>
              <w:spacing w:line="360" w:lineRule="auto"/>
              <w:ind w:firstLine="420" w:firstLineChars="200"/>
              <w:rPr>
                <w:bCs/>
              </w:rPr>
            </w:pPr>
            <w:r>
              <w:rPr>
                <w:bCs/>
              </w:rPr>
              <w:t>（5）危废暂存间地面应防腐防渗，各类危废应分区暂存，其中液态危废暂存区应设围堰。</w:t>
            </w:r>
          </w:p>
          <w:p>
            <w:pPr>
              <w:adjustRightInd w:val="0"/>
              <w:snapToGrid w:val="0"/>
              <w:spacing w:line="360" w:lineRule="auto"/>
              <w:ind w:firstLine="420" w:firstLineChars="200"/>
              <w:rPr>
                <w:bCs/>
              </w:rPr>
            </w:pPr>
            <w:r>
              <w:rPr>
                <w:bCs/>
              </w:rPr>
              <w:t>本项目严格按照《危险废物贮存污染控制标准》（GB18597-2001）及其修改单对危险废物进行收集、暂存，并委托持有《危险废物经营许可证》的单位进行无害化处理处置，采取上述措施防治后，项目的危险废物对周围环境基本无影响。</w:t>
            </w:r>
          </w:p>
          <w:p>
            <w:pPr>
              <w:widowControl/>
              <w:tabs>
                <w:tab w:val="left" w:pos="0"/>
              </w:tabs>
              <w:adjustRightInd w:val="0"/>
              <w:snapToGrid w:val="0"/>
              <w:spacing w:line="360" w:lineRule="auto"/>
              <w:jc w:val="center"/>
              <w:rPr>
                <w:b/>
                <w:szCs w:val="22"/>
              </w:rPr>
            </w:pPr>
            <w:r>
              <w:rPr>
                <w:b/>
                <w:szCs w:val="22"/>
              </w:rPr>
              <w:t>表4-</w:t>
            </w:r>
            <w:r>
              <w:rPr>
                <w:rFonts w:hint="eastAsia"/>
                <w:b/>
                <w:szCs w:val="22"/>
              </w:rPr>
              <w:t>22</w:t>
            </w:r>
            <w:r>
              <w:rPr>
                <w:b/>
                <w:szCs w:val="22"/>
              </w:rPr>
              <w:t xml:space="preserve"> 项目危险废物贮存场所（设施）基本情况表</w:t>
            </w:r>
          </w:p>
          <w:tbl>
            <w:tblPr>
              <w:tblStyle w:val="100"/>
              <w:tblW w:w="4997"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48"/>
              <w:gridCol w:w="1360"/>
              <w:gridCol w:w="1585"/>
              <w:gridCol w:w="875"/>
              <w:gridCol w:w="1031"/>
              <w:gridCol w:w="1189"/>
              <w:gridCol w:w="1007"/>
              <w:gridCol w:w="9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8" w:hRule="atLeast"/>
                <w:jc w:val="center"/>
              </w:trPr>
              <w:tc>
                <w:tcPr>
                  <w:tcW w:w="672" w:type="pct"/>
                  <w:vAlign w:val="center"/>
                </w:tcPr>
                <w:p>
                  <w:pPr>
                    <w:adjustRightInd w:val="0"/>
                    <w:snapToGrid w:val="0"/>
                    <w:jc w:val="center"/>
                    <w:rPr>
                      <w:b/>
                    </w:rPr>
                  </w:pPr>
                  <w:r>
                    <w:rPr>
                      <w:b/>
                    </w:rPr>
                    <w:t>危险废物名称</w:t>
                  </w:r>
                </w:p>
              </w:tc>
              <w:tc>
                <w:tcPr>
                  <w:tcW w:w="732" w:type="pct"/>
                  <w:vAlign w:val="center"/>
                </w:tcPr>
                <w:p>
                  <w:pPr>
                    <w:adjustRightInd w:val="0"/>
                    <w:snapToGrid w:val="0"/>
                    <w:jc w:val="center"/>
                    <w:rPr>
                      <w:b/>
                    </w:rPr>
                  </w:pPr>
                  <w:r>
                    <w:rPr>
                      <w:b/>
                    </w:rPr>
                    <w:t>废物类别</w:t>
                  </w:r>
                </w:p>
              </w:tc>
              <w:tc>
                <w:tcPr>
                  <w:tcW w:w="853" w:type="pct"/>
                  <w:vAlign w:val="center"/>
                </w:tcPr>
                <w:p>
                  <w:pPr>
                    <w:adjustRightInd w:val="0"/>
                    <w:snapToGrid w:val="0"/>
                    <w:jc w:val="center"/>
                    <w:rPr>
                      <w:b/>
                    </w:rPr>
                  </w:pPr>
                  <w:r>
                    <w:rPr>
                      <w:b/>
                    </w:rPr>
                    <w:t>废物代码</w:t>
                  </w:r>
                </w:p>
              </w:tc>
              <w:tc>
                <w:tcPr>
                  <w:tcW w:w="471" w:type="pct"/>
                  <w:vAlign w:val="center"/>
                </w:tcPr>
                <w:p>
                  <w:pPr>
                    <w:adjustRightInd w:val="0"/>
                    <w:snapToGrid w:val="0"/>
                    <w:jc w:val="center"/>
                    <w:rPr>
                      <w:b/>
                    </w:rPr>
                  </w:pPr>
                  <w:r>
                    <w:rPr>
                      <w:b/>
                    </w:rPr>
                    <w:t>位置</w:t>
                  </w:r>
                </w:p>
              </w:tc>
              <w:tc>
                <w:tcPr>
                  <w:tcW w:w="555" w:type="pct"/>
                  <w:vAlign w:val="center"/>
                </w:tcPr>
                <w:p>
                  <w:pPr>
                    <w:adjustRightInd w:val="0"/>
                    <w:snapToGrid w:val="0"/>
                    <w:jc w:val="center"/>
                    <w:rPr>
                      <w:b/>
                    </w:rPr>
                  </w:pPr>
                  <w:r>
                    <w:rPr>
                      <w:b/>
                    </w:rPr>
                    <w:t>占地面积</w:t>
                  </w:r>
                </w:p>
              </w:tc>
              <w:tc>
                <w:tcPr>
                  <w:tcW w:w="640" w:type="pct"/>
                  <w:vAlign w:val="center"/>
                </w:tcPr>
                <w:p>
                  <w:pPr>
                    <w:adjustRightInd w:val="0"/>
                    <w:snapToGrid w:val="0"/>
                    <w:jc w:val="center"/>
                    <w:rPr>
                      <w:b/>
                    </w:rPr>
                  </w:pPr>
                  <w:r>
                    <w:rPr>
                      <w:b/>
                    </w:rPr>
                    <w:t>贮存方式</w:t>
                  </w:r>
                </w:p>
              </w:tc>
              <w:tc>
                <w:tcPr>
                  <w:tcW w:w="542" w:type="pct"/>
                  <w:vAlign w:val="center"/>
                </w:tcPr>
                <w:p>
                  <w:pPr>
                    <w:adjustRightInd w:val="0"/>
                    <w:snapToGrid w:val="0"/>
                    <w:jc w:val="center"/>
                    <w:rPr>
                      <w:b/>
                    </w:rPr>
                  </w:pPr>
                  <w:r>
                    <w:rPr>
                      <w:b/>
                    </w:rPr>
                    <w:t>贮存能力</w:t>
                  </w:r>
                </w:p>
              </w:tc>
              <w:tc>
                <w:tcPr>
                  <w:tcW w:w="531" w:type="pct"/>
                  <w:vAlign w:val="center"/>
                </w:tcPr>
                <w:p>
                  <w:pPr>
                    <w:adjustRightInd w:val="0"/>
                    <w:snapToGrid w:val="0"/>
                    <w:jc w:val="center"/>
                    <w:rPr>
                      <w:b/>
                    </w:rPr>
                  </w:pPr>
                  <w:r>
                    <w:rPr>
                      <w:b/>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adjustRightInd w:val="0"/>
                    <w:snapToGrid w:val="0"/>
                    <w:jc w:val="center"/>
                    <w:textAlignment w:val="baseline"/>
                  </w:pPr>
                  <w:r>
                    <w:t>废活性炭</w:t>
                  </w:r>
                </w:p>
              </w:tc>
              <w:tc>
                <w:tcPr>
                  <w:tcW w:w="732" w:type="pct"/>
                  <w:vAlign w:val="center"/>
                </w:tcPr>
                <w:p>
                  <w:pPr>
                    <w:autoSpaceDE w:val="0"/>
                    <w:autoSpaceDN w:val="0"/>
                    <w:adjustRightInd w:val="0"/>
                    <w:snapToGrid w:val="0"/>
                    <w:jc w:val="center"/>
                  </w:pPr>
                  <w:r>
                    <w:t>HW49其他废物</w:t>
                  </w:r>
                </w:p>
              </w:tc>
              <w:tc>
                <w:tcPr>
                  <w:tcW w:w="853" w:type="pct"/>
                  <w:vAlign w:val="center"/>
                </w:tcPr>
                <w:p>
                  <w:pPr>
                    <w:adjustRightInd w:val="0"/>
                    <w:snapToGrid w:val="0"/>
                    <w:jc w:val="center"/>
                  </w:pPr>
                  <w:r>
                    <w:t>900-039-49</w:t>
                  </w:r>
                </w:p>
              </w:tc>
              <w:tc>
                <w:tcPr>
                  <w:tcW w:w="471" w:type="pct"/>
                  <w:vMerge w:val="restart"/>
                  <w:vAlign w:val="center"/>
                </w:tcPr>
                <w:p>
                  <w:pPr>
                    <w:adjustRightInd w:val="0"/>
                    <w:snapToGrid w:val="0"/>
                    <w:jc w:val="center"/>
                    <w:rPr>
                      <w:bCs/>
                    </w:rPr>
                  </w:pPr>
                  <w:r>
                    <w:rPr>
                      <w:rFonts w:hint="eastAsia"/>
                      <w:bCs/>
                    </w:rPr>
                    <w:t>B栋厂房北侧</w:t>
                  </w:r>
                </w:p>
              </w:tc>
              <w:tc>
                <w:tcPr>
                  <w:tcW w:w="555" w:type="pct"/>
                  <w:vAlign w:val="center"/>
                </w:tcPr>
                <w:p>
                  <w:pPr>
                    <w:adjustRightInd w:val="0"/>
                    <w:snapToGrid w:val="0"/>
                    <w:jc w:val="center"/>
                  </w:pPr>
                  <w:r>
                    <w:t>30m</w:t>
                  </w:r>
                  <w:r>
                    <w:rPr>
                      <w:vertAlign w:val="superscript"/>
                    </w:rPr>
                    <w:t>3</w:t>
                  </w:r>
                </w:p>
              </w:tc>
              <w:tc>
                <w:tcPr>
                  <w:tcW w:w="640" w:type="pct"/>
                  <w:vAlign w:val="center"/>
                </w:tcPr>
                <w:p>
                  <w:pPr>
                    <w:adjustRightInd w:val="0"/>
                    <w:snapToGrid w:val="0"/>
                    <w:jc w:val="center"/>
                  </w:pPr>
                  <w:r>
                    <w:t>桶装</w:t>
                  </w:r>
                </w:p>
              </w:tc>
              <w:tc>
                <w:tcPr>
                  <w:tcW w:w="542" w:type="pct"/>
                  <w:vAlign w:val="center"/>
                </w:tcPr>
                <w:p>
                  <w:pPr>
                    <w:adjustRightInd w:val="0"/>
                    <w:snapToGrid w:val="0"/>
                    <w:jc w:val="center"/>
                  </w:pPr>
                  <w:r>
                    <w:t>2.5t</w:t>
                  </w:r>
                </w:p>
              </w:tc>
              <w:tc>
                <w:tcPr>
                  <w:tcW w:w="531" w:type="pct"/>
                  <w:vAlign w:val="center"/>
                </w:tcPr>
                <w:p>
                  <w:pPr>
                    <w:adjustRightInd w:val="0"/>
                    <w:snapToGrid w:val="0"/>
                    <w:jc w:val="center"/>
                  </w:pPr>
                </w:p>
                <w:p>
                  <w:pPr>
                    <w:adjustRightInd w:val="0"/>
                    <w:snapToGrid w:val="0"/>
                    <w:jc w:val="center"/>
                  </w:pPr>
                  <w: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adjustRightInd w:val="0"/>
                    <w:snapToGrid w:val="0"/>
                    <w:jc w:val="center"/>
                    <w:textAlignment w:val="baseline"/>
                  </w:pPr>
                  <w:r>
                    <w:t>废机油</w:t>
                  </w:r>
                </w:p>
              </w:tc>
              <w:tc>
                <w:tcPr>
                  <w:tcW w:w="732" w:type="pct"/>
                  <w:vAlign w:val="center"/>
                </w:tcPr>
                <w:p>
                  <w:pPr>
                    <w:autoSpaceDE w:val="0"/>
                    <w:autoSpaceDN w:val="0"/>
                    <w:adjustRightInd w:val="0"/>
                    <w:snapToGrid w:val="0"/>
                    <w:jc w:val="center"/>
                  </w:pPr>
                  <w:r>
                    <w:t>HW08废矿物油与含矿物油废物</w:t>
                  </w:r>
                </w:p>
              </w:tc>
              <w:tc>
                <w:tcPr>
                  <w:tcW w:w="853" w:type="pct"/>
                  <w:vAlign w:val="center"/>
                </w:tcPr>
                <w:p>
                  <w:pPr>
                    <w:adjustRightInd w:val="0"/>
                    <w:snapToGrid w:val="0"/>
                    <w:jc w:val="center"/>
                  </w:pPr>
                  <w:r>
                    <w:t>900-249-08</w:t>
                  </w:r>
                </w:p>
              </w:tc>
              <w:tc>
                <w:tcPr>
                  <w:tcW w:w="471" w:type="pct"/>
                  <w:vMerge w:val="continue"/>
                  <w:vAlign w:val="center"/>
                </w:tcPr>
                <w:p>
                  <w:pPr>
                    <w:adjustRightInd w:val="0"/>
                    <w:snapToGrid w:val="0"/>
                    <w:jc w:val="center"/>
                    <w:rPr>
                      <w:bCs/>
                    </w:rPr>
                  </w:pPr>
                </w:p>
              </w:tc>
              <w:tc>
                <w:tcPr>
                  <w:tcW w:w="555" w:type="pct"/>
                  <w:vAlign w:val="center"/>
                </w:tcPr>
                <w:p>
                  <w:pPr>
                    <w:adjustRightInd w:val="0"/>
                    <w:snapToGrid w:val="0"/>
                    <w:jc w:val="center"/>
                  </w:pPr>
                  <w:r>
                    <w:t>30m</w:t>
                  </w:r>
                  <w:r>
                    <w:rPr>
                      <w:vertAlign w:val="superscript"/>
                    </w:rPr>
                    <w:t>3</w:t>
                  </w:r>
                </w:p>
              </w:tc>
              <w:tc>
                <w:tcPr>
                  <w:tcW w:w="640" w:type="pct"/>
                  <w:vAlign w:val="center"/>
                </w:tcPr>
                <w:p>
                  <w:pPr>
                    <w:adjustRightInd w:val="0"/>
                    <w:snapToGrid w:val="0"/>
                    <w:jc w:val="center"/>
                  </w:pPr>
                  <w:r>
                    <w:t>桶装</w:t>
                  </w:r>
                </w:p>
              </w:tc>
              <w:tc>
                <w:tcPr>
                  <w:tcW w:w="542" w:type="pct"/>
                  <w:vAlign w:val="center"/>
                </w:tcPr>
                <w:p>
                  <w:pPr>
                    <w:adjustRightInd w:val="0"/>
                    <w:snapToGrid w:val="0"/>
                    <w:jc w:val="center"/>
                  </w:pPr>
                  <w:r>
                    <w:t>1t</w:t>
                  </w:r>
                </w:p>
              </w:tc>
              <w:tc>
                <w:tcPr>
                  <w:tcW w:w="531" w:type="pct"/>
                  <w:vAlign w:val="center"/>
                </w:tcPr>
                <w:p>
                  <w:pPr>
                    <w:adjustRightInd w:val="0"/>
                    <w:snapToGrid w:val="0"/>
                    <w:jc w:val="center"/>
                  </w:pPr>
                  <w: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widowControl/>
                    <w:jc w:val="center"/>
                    <w:textAlignment w:val="center"/>
                    <w:rPr>
                      <w:bCs/>
                      <w:lang w:bidi="en-US"/>
                    </w:rPr>
                  </w:pPr>
                  <w:r>
                    <w:rPr>
                      <w:bCs/>
                      <w:lang w:bidi="en-US"/>
                    </w:rPr>
                    <w:t>废切削液</w:t>
                  </w:r>
                </w:p>
              </w:tc>
              <w:tc>
                <w:tcPr>
                  <w:tcW w:w="732" w:type="pct"/>
                  <w:vAlign w:val="center"/>
                </w:tcPr>
                <w:p>
                  <w:pPr>
                    <w:autoSpaceDE w:val="0"/>
                    <w:autoSpaceDN w:val="0"/>
                    <w:adjustRightInd w:val="0"/>
                    <w:snapToGrid w:val="0"/>
                    <w:jc w:val="center"/>
                  </w:pPr>
                  <w:r>
                    <w:t>HW09油/水、烃/水混合物或乳化液</w:t>
                  </w:r>
                </w:p>
              </w:tc>
              <w:tc>
                <w:tcPr>
                  <w:tcW w:w="853" w:type="pct"/>
                  <w:vAlign w:val="center"/>
                </w:tcPr>
                <w:p>
                  <w:pPr>
                    <w:widowControl/>
                    <w:jc w:val="center"/>
                  </w:pPr>
                  <w:r>
                    <w:rPr>
                      <w:sz w:val="20"/>
                      <w:lang w:bidi="ar"/>
                    </w:rPr>
                    <w:t>900-006-09</w:t>
                  </w:r>
                </w:p>
              </w:tc>
              <w:tc>
                <w:tcPr>
                  <w:tcW w:w="471" w:type="pct"/>
                  <w:vMerge w:val="continue"/>
                  <w:vAlign w:val="center"/>
                </w:tcPr>
                <w:p>
                  <w:pPr>
                    <w:adjustRightInd w:val="0"/>
                    <w:snapToGrid w:val="0"/>
                    <w:jc w:val="center"/>
                    <w:rPr>
                      <w:bCs/>
                    </w:rPr>
                  </w:pPr>
                </w:p>
              </w:tc>
              <w:tc>
                <w:tcPr>
                  <w:tcW w:w="555" w:type="pct"/>
                  <w:vAlign w:val="center"/>
                </w:tcPr>
                <w:p>
                  <w:pPr>
                    <w:adjustRightInd w:val="0"/>
                    <w:snapToGrid w:val="0"/>
                    <w:jc w:val="center"/>
                  </w:pPr>
                  <w:r>
                    <w:t>30m</w:t>
                  </w:r>
                  <w:r>
                    <w:rPr>
                      <w:vertAlign w:val="superscript"/>
                    </w:rPr>
                    <w:t>3</w:t>
                  </w:r>
                </w:p>
              </w:tc>
              <w:tc>
                <w:tcPr>
                  <w:tcW w:w="640" w:type="pct"/>
                  <w:vAlign w:val="center"/>
                </w:tcPr>
                <w:p>
                  <w:pPr>
                    <w:adjustRightInd w:val="0"/>
                    <w:snapToGrid w:val="0"/>
                    <w:jc w:val="center"/>
                  </w:pPr>
                  <w:r>
                    <w:t>桶装</w:t>
                  </w:r>
                </w:p>
              </w:tc>
              <w:tc>
                <w:tcPr>
                  <w:tcW w:w="542" w:type="pct"/>
                  <w:vAlign w:val="center"/>
                </w:tcPr>
                <w:p>
                  <w:pPr>
                    <w:adjustRightInd w:val="0"/>
                    <w:snapToGrid w:val="0"/>
                    <w:jc w:val="center"/>
                  </w:pPr>
                  <w:r>
                    <w:t>1t</w:t>
                  </w:r>
                </w:p>
              </w:tc>
              <w:tc>
                <w:tcPr>
                  <w:tcW w:w="531" w:type="pct"/>
                  <w:vAlign w:val="center"/>
                </w:tcPr>
                <w:p>
                  <w:pPr>
                    <w:adjustRightInd w:val="0"/>
                    <w:snapToGrid w:val="0"/>
                    <w:jc w:val="center"/>
                  </w:pPr>
                  <w: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widowControl/>
                    <w:adjustRightInd w:val="0"/>
                    <w:snapToGrid w:val="0"/>
                    <w:jc w:val="center"/>
                    <w:textAlignment w:val="center"/>
                    <w:rPr>
                      <w:bCs/>
                      <w:lang w:bidi="en-US"/>
                    </w:rPr>
                  </w:pPr>
                  <w:r>
                    <w:rPr>
                      <w:bCs/>
                      <w:lang w:bidi="en-US"/>
                    </w:rPr>
                    <w:t>含切削液碎屑</w:t>
                  </w:r>
                </w:p>
              </w:tc>
              <w:tc>
                <w:tcPr>
                  <w:tcW w:w="732" w:type="pct"/>
                  <w:vAlign w:val="center"/>
                </w:tcPr>
                <w:p>
                  <w:pPr>
                    <w:autoSpaceDE w:val="0"/>
                    <w:autoSpaceDN w:val="0"/>
                    <w:adjustRightInd w:val="0"/>
                    <w:snapToGrid w:val="0"/>
                    <w:jc w:val="center"/>
                  </w:pPr>
                  <w:r>
                    <w:t>HW49其他废物</w:t>
                  </w:r>
                </w:p>
              </w:tc>
              <w:tc>
                <w:tcPr>
                  <w:tcW w:w="853" w:type="pct"/>
                  <w:vAlign w:val="center"/>
                </w:tcPr>
                <w:p>
                  <w:pPr>
                    <w:adjustRightInd w:val="0"/>
                    <w:snapToGrid w:val="0"/>
                    <w:jc w:val="center"/>
                  </w:pPr>
                  <w:r>
                    <w:t>900-041-49</w:t>
                  </w:r>
                </w:p>
              </w:tc>
              <w:tc>
                <w:tcPr>
                  <w:tcW w:w="471" w:type="pct"/>
                  <w:vMerge w:val="continue"/>
                  <w:vAlign w:val="center"/>
                </w:tcPr>
                <w:p>
                  <w:pPr>
                    <w:adjustRightInd w:val="0"/>
                    <w:snapToGrid w:val="0"/>
                    <w:jc w:val="center"/>
                    <w:rPr>
                      <w:bCs/>
                    </w:rPr>
                  </w:pPr>
                </w:p>
              </w:tc>
              <w:tc>
                <w:tcPr>
                  <w:tcW w:w="555" w:type="pct"/>
                  <w:vAlign w:val="center"/>
                </w:tcPr>
                <w:p>
                  <w:pPr>
                    <w:adjustRightInd w:val="0"/>
                    <w:snapToGrid w:val="0"/>
                    <w:jc w:val="center"/>
                  </w:pPr>
                  <w:r>
                    <w:t>30m</w:t>
                  </w:r>
                  <w:r>
                    <w:rPr>
                      <w:vertAlign w:val="superscript"/>
                    </w:rPr>
                    <w:t>3</w:t>
                  </w:r>
                </w:p>
              </w:tc>
              <w:tc>
                <w:tcPr>
                  <w:tcW w:w="640" w:type="pct"/>
                  <w:vAlign w:val="center"/>
                </w:tcPr>
                <w:p>
                  <w:pPr>
                    <w:adjustRightInd w:val="0"/>
                    <w:snapToGrid w:val="0"/>
                    <w:jc w:val="center"/>
                  </w:pPr>
                  <w:r>
                    <w:t>桶装</w:t>
                  </w:r>
                </w:p>
              </w:tc>
              <w:tc>
                <w:tcPr>
                  <w:tcW w:w="542" w:type="pct"/>
                  <w:vAlign w:val="center"/>
                </w:tcPr>
                <w:p>
                  <w:pPr>
                    <w:adjustRightInd w:val="0"/>
                    <w:snapToGrid w:val="0"/>
                    <w:jc w:val="center"/>
                  </w:pPr>
                  <w:r>
                    <w:t>1t</w:t>
                  </w:r>
                </w:p>
              </w:tc>
              <w:tc>
                <w:tcPr>
                  <w:tcW w:w="531" w:type="pct"/>
                  <w:vAlign w:val="center"/>
                </w:tcPr>
                <w:p>
                  <w:pPr>
                    <w:adjustRightInd w:val="0"/>
                    <w:snapToGrid w:val="0"/>
                    <w:jc w:val="center"/>
                  </w:pPr>
                  <w: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widowControl/>
                    <w:jc w:val="center"/>
                    <w:textAlignment w:val="center"/>
                    <w:rPr>
                      <w:bCs/>
                      <w:lang w:bidi="en-US"/>
                    </w:rPr>
                  </w:pPr>
                  <w:r>
                    <w:rPr>
                      <w:bCs/>
                      <w:lang w:bidi="en-US"/>
                    </w:rPr>
                    <w:t>废原料桶</w:t>
                  </w:r>
                </w:p>
              </w:tc>
              <w:tc>
                <w:tcPr>
                  <w:tcW w:w="732" w:type="pct"/>
                  <w:vAlign w:val="center"/>
                </w:tcPr>
                <w:p>
                  <w:pPr>
                    <w:autoSpaceDE w:val="0"/>
                    <w:autoSpaceDN w:val="0"/>
                    <w:adjustRightInd w:val="0"/>
                    <w:snapToGrid w:val="0"/>
                    <w:jc w:val="center"/>
                  </w:pPr>
                  <w:r>
                    <w:t>HW49其他废物</w:t>
                  </w:r>
                </w:p>
              </w:tc>
              <w:tc>
                <w:tcPr>
                  <w:tcW w:w="853" w:type="pct"/>
                  <w:vAlign w:val="center"/>
                </w:tcPr>
                <w:p>
                  <w:pPr>
                    <w:adjustRightInd w:val="0"/>
                    <w:snapToGrid w:val="0"/>
                    <w:jc w:val="center"/>
                  </w:pPr>
                  <w:r>
                    <w:t>900-041-49</w:t>
                  </w:r>
                </w:p>
              </w:tc>
              <w:tc>
                <w:tcPr>
                  <w:tcW w:w="471" w:type="pct"/>
                  <w:vMerge w:val="continue"/>
                  <w:vAlign w:val="center"/>
                </w:tcPr>
                <w:p>
                  <w:pPr>
                    <w:adjustRightInd w:val="0"/>
                    <w:snapToGrid w:val="0"/>
                    <w:jc w:val="center"/>
                    <w:rPr>
                      <w:bCs/>
                    </w:rPr>
                  </w:pPr>
                </w:p>
              </w:tc>
              <w:tc>
                <w:tcPr>
                  <w:tcW w:w="555" w:type="pct"/>
                  <w:vAlign w:val="center"/>
                </w:tcPr>
                <w:p>
                  <w:pPr>
                    <w:adjustRightInd w:val="0"/>
                    <w:snapToGrid w:val="0"/>
                    <w:jc w:val="center"/>
                  </w:pPr>
                  <w:r>
                    <w:t>30m</w:t>
                  </w:r>
                  <w:r>
                    <w:rPr>
                      <w:vertAlign w:val="superscript"/>
                    </w:rPr>
                    <w:t>3</w:t>
                  </w:r>
                </w:p>
              </w:tc>
              <w:tc>
                <w:tcPr>
                  <w:tcW w:w="640" w:type="pct"/>
                  <w:vAlign w:val="center"/>
                </w:tcPr>
                <w:p>
                  <w:pPr>
                    <w:adjustRightInd w:val="0"/>
                    <w:snapToGrid w:val="0"/>
                    <w:jc w:val="center"/>
                  </w:pPr>
                  <w:r>
                    <w:t>/</w:t>
                  </w:r>
                </w:p>
              </w:tc>
              <w:tc>
                <w:tcPr>
                  <w:tcW w:w="542" w:type="pct"/>
                  <w:vAlign w:val="center"/>
                </w:tcPr>
                <w:p>
                  <w:pPr>
                    <w:adjustRightInd w:val="0"/>
                    <w:snapToGrid w:val="0"/>
                    <w:jc w:val="center"/>
                  </w:pPr>
                  <w:r>
                    <w:t>0.5t</w:t>
                  </w:r>
                </w:p>
              </w:tc>
              <w:tc>
                <w:tcPr>
                  <w:tcW w:w="531" w:type="pct"/>
                  <w:vAlign w:val="center"/>
                </w:tcPr>
                <w:p>
                  <w:pPr>
                    <w:adjustRightInd w:val="0"/>
                    <w:snapToGrid w:val="0"/>
                    <w:jc w:val="center"/>
                  </w:pPr>
                  <w: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widowControl/>
                    <w:adjustRightInd w:val="0"/>
                    <w:snapToGrid w:val="0"/>
                    <w:jc w:val="center"/>
                    <w:textAlignment w:val="center"/>
                    <w:rPr>
                      <w:bCs/>
                      <w:lang w:bidi="en-US"/>
                    </w:rPr>
                  </w:pPr>
                  <w:r>
                    <w:rPr>
                      <w:bCs/>
                      <w:lang w:bidi="en-US"/>
                    </w:rPr>
                    <w:t>喷淋废水</w:t>
                  </w:r>
                </w:p>
              </w:tc>
              <w:tc>
                <w:tcPr>
                  <w:tcW w:w="732" w:type="pct"/>
                  <w:vAlign w:val="center"/>
                </w:tcPr>
                <w:p>
                  <w:pPr>
                    <w:autoSpaceDE w:val="0"/>
                    <w:autoSpaceDN w:val="0"/>
                    <w:adjustRightInd w:val="0"/>
                    <w:snapToGrid w:val="0"/>
                    <w:jc w:val="center"/>
                  </w:pPr>
                  <w:r>
                    <w:t>HW49其他废物</w:t>
                  </w:r>
                </w:p>
              </w:tc>
              <w:tc>
                <w:tcPr>
                  <w:tcW w:w="853" w:type="pct"/>
                  <w:vAlign w:val="center"/>
                </w:tcPr>
                <w:p>
                  <w:pPr>
                    <w:adjustRightInd w:val="0"/>
                    <w:snapToGrid w:val="0"/>
                    <w:jc w:val="center"/>
                  </w:pPr>
                  <w:r>
                    <w:t>900-041-49</w:t>
                  </w:r>
                </w:p>
              </w:tc>
              <w:tc>
                <w:tcPr>
                  <w:tcW w:w="471" w:type="pct"/>
                  <w:vMerge w:val="continue"/>
                  <w:vAlign w:val="center"/>
                </w:tcPr>
                <w:p>
                  <w:pPr>
                    <w:adjustRightInd w:val="0"/>
                    <w:snapToGrid w:val="0"/>
                    <w:jc w:val="center"/>
                    <w:rPr>
                      <w:bCs/>
                    </w:rPr>
                  </w:pPr>
                </w:p>
              </w:tc>
              <w:tc>
                <w:tcPr>
                  <w:tcW w:w="555" w:type="pct"/>
                  <w:vAlign w:val="center"/>
                </w:tcPr>
                <w:p>
                  <w:pPr>
                    <w:adjustRightInd w:val="0"/>
                    <w:snapToGrid w:val="0"/>
                    <w:jc w:val="center"/>
                  </w:pPr>
                  <w:r>
                    <w:t>30m</w:t>
                  </w:r>
                  <w:r>
                    <w:rPr>
                      <w:vertAlign w:val="superscript"/>
                    </w:rPr>
                    <w:t>3</w:t>
                  </w:r>
                </w:p>
              </w:tc>
              <w:tc>
                <w:tcPr>
                  <w:tcW w:w="640" w:type="pct"/>
                  <w:vAlign w:val="center"/>
                </w:tcPr>
                <w:p>
                  <w:pPr>
                    <w:adjustRightInd w:val="0"/>
                    <w:snapToGrid w:val="0"/>
                    <w:jc w:val="center"/>
                  </w:pPr>
                  <w:r>
                    <w:t>桶装</w:t>
                  </w:r>
                </w:p>
              </w:tc>
              <w:tc>
                <w:tcPr>
                  <w:tcW w:w="542" w:type="pct"/>
                  <w:vAlign w:val="center"/>
                </w:tcPr>
                <w:p>
                  <w:pPr>
                    <w:adjustRightInd w:val="0"/>
                    <w:snapToGrid w:val="0"/>
                    <w:jc w:val="center"/>
                  </w:pPr>
                  <w:r>
                    <w:t>4t</w:t>
                  </w:r>
                </w:p>
              </w:tc>
              <w:tc>
                <w:tcPr>
                  <w:tcW w:w="531" w:type="pct"/>
                  <w:vAlign w:val="center"/>
                </w:tcPr>
                <w:p>
                  <w:pPr>
                    <w:adjustRightInd w:val="0"/>
                    <w:snapToGrid w:val="0"/>
                    <w:jc w:val="center"/>
                  </w:pPr>
                  <w:r>
                    <w:rPr>
                      <w:rFonts w:hint="eastAsia"/>
                    </w:rPr>
                    <w:t>3</w:t>
                  </w:r>
                  <w:r>
                    <w:t>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widowControl/>
                    <w:adjustRightInd w:val="0"/>
                    <w:snapToGrid w:val="0"/>
                    <w:jc w:val="center"/>
                    <w:textAlignment w:val="center"/>
                    <w:rPr>
                      <w:bCs/>
                      <w:lang w:bidi="en-US"/>
                    </w:rPr>
                  </w:pPr>
                  <w:r>
                    <w:rPr>
                      <w:bCs/>
                      <w:lang w:bidi="en-US"/>
                    </w:rPr>
                    <w:t>喷淋沉渣</w:t>
                  </w:r>
                </w:p>
              </w:tc>
              <w:tc>
                <w:tcPr>
                  <w:tcW w:w="732" w:type="pct"/>
                  <w:vAlign w:val="center"/>
                </w:tcPr>
                <w:p>
                  <w:pPr>
                    <w:autoSpaceDE w:val="0"/>
                    <w:autoSpaceDN w:val="0"/>
                    <w:adjustRightInd w:val="0"/>
                    <w:snapToGrid w:val="0"/>
                    <w:jc w:val="center"/>
                  </w:pPr>
                  <w:r>
                    <w:t>HW48有色金属采选和冶炼废物</w:t>
                  </w:r>
                </w:p>
              </w:tc>
              <w:tc>
                <w:tcPr>
                  <w:tcW w:w="853" w:type="pct"/>
                  <w:vAlign w:val="center"/>
                </w:tcPr>
                <w:p>
                  <w:pPr>
                    <w:adjustRightInd w:val="0"/>
                    <w:snapToGrid w:val="0"/>
                    <w:jc w:val="center"/>
                  </w:pPr>
                  <w:r>
                    <w:t>321-028-48</w:t>
                  </w:r>
                </w:p>
              </w:tc>
              <w:tc>
                <w:tcPr>
                  <w:tcW w:w="471" w:type="pct"/>
                  <w:vMerge w:val="continue"/>
                  <w:vAlign w:val="center"/>
                </w:tcPr>
                <w:p>
                  <w:pPr>
                    <w:adjustRightInd w:val="0"/>
                    <w:snapToGrid w:val="0"/>
                    <w:jc w:val="center"/>
                    <w:rPr>
                      <w:bCs/>
                    </w:rPr>
                  </w:pPr>
                </w:p>
              </w:tc>
              <w:tc>
                <w:tcPr>
                  <w:tcW w:w="555" w:type="pct"/>
                  <w:vAlign w:val="center"/>
                </w:tcPr>
                <w:p>
                  <w:pPr>
                    <w:adjustRightInd w:val="0"/>
                    <w:snapToGrid w:val="0"/>
                    <w:jc w:val="center"/>
                  </w:pPr>
                  <w:r>
                    <w:t>30m</w:t>
                  </w:r>
                  <w:r>
                    <w:rPr>
                      <w:vertAlign w:val="superscript"/>
                    </w:rPr>
                    <w:t>3</w:t>
                  </w:r>
                </w:p>
              </w:tc>
              <w:tc>
                <w:tcPr>
                  <w:tcW w:w="640" w:type="pct"/>
                  <w:vAlign w:val="center"/>
                </w:tcPr>
                <w:p>
                  <w:pPr>
                    <w:adjustRightInd w:val="0"/>
                    <w:snapToGrid w:val="0"/>
                    <w:jc w:val="center"/>
                  </w:pPr>
                  <w:r>
                    <w:t>桶装</w:t>
                  </w:r>
                </w:p>
              </w:tc>
              <w:tc>
                <w:tcPr>
                  <w:tcW w:w="542" w:type="pct"/>
                  <w:vAlign w:val="center"/>
                </w:tcPr>
                <w:p>
                  <w:pPr>
                    <w:adjustRightInd w:val="0"/>
                    <w:snapToGrid w:val="0"/>
                    <w:jc w:val="center"/>
                  </w:pPr>
                  <w:r>
                    <w:t>0.5t</w:t>
                  </w:r>
                </w:p>
              </w:tc>
              <w:tc>
                <w:tcPr>
                  <w:tcW w:w="531" w:type="pct"/>
                  <w:vAlign w:val="center"/>
                </w:tcPr>
                <w:p>
                  <w:pPr>
                    <w:adjustRightInd w:val="0"/>
                    <w:snapToGrid w:val="0"/>
                    <w:jc w:val="center"/>
                  </w:pPr>
                  <w:r>
                    <w:t>6个月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4" w:hRule="atLeast"/>
                <w:jc w:val="center"/>
              </w:trPr>
              <w:tc>
                <w:tcPr>
                  <w:tcW w:w="672" w:type="pct"/>
                  <w:vAlign w:val="center"/>
                </w:tcPr>
                <w:p>
                  <w:pPr>
                    <w:widowControl/>
                    <w:jc w:val="center"/>
                    <w:textAlignment w:val="center"/>
                    <w:rPr>
                      <w:bCs/>
                      <w:lang w:bidi="en-US"/>
                    </w:rPr>
                  </w:pPr>
                  <w:r>
                    <w:rPr>
                      <w:bCs/>
                      <w:lang w:bidi="en-US"/>
                    </w:rPr>
                    <w:t>废抹布和废手套</w:t>
                  </w:r>
                </w:p>
              </w:tc>
              <w:tc>
                <w:tcPr>
                  <w:tcW w:w="732" w:type="pct"/>
                  <w:vAlign w:val="center"/>
                </w:tcPr>
                <w:p>
                  <w:pPr>
                    <w:autoSpaceDE w:val="0"/>
                    <w:autoSpaceDN w:val="0"/>
                    <w:adjustRightInd w:val="0"/>
                    <w:snapToGrid w:val="0"/>
                    <w:jc w:val="center"/>
                  </w:pPr>
                  <w:r>
                    <w:t>HW49其他废物</w:t>
                  </w:r>
                </w:p>
              </w:tc>
              <w:tc>
                <w:tcPr>
                  <w:tcW w:w="853" w:type="pct"/>
                  <w:vAlign w:val="center"/>
                </w:tcPr>
                <w:p>
                  <w:pPr>
                    <w:adjustRightInd w:val="0"/>
                    <w:snapToGrid w:val="0"/>
                    <w:jc w:val="center"/>
                  </w:pPr>
                  <w:r>
                    <w:t>900-041-49</w:t>
                  </w:r>
                </w:p>
              </w:tc>
              <w:tc>
                <w:tcPr>
                  <w:tcW w:w="471" w:type="pct"/>
                  <w:vMerge w:val="continue"/>
                  <w:vAlign w:val="center"/>
                </w:tcPr>
                <w:p>
                  <w:pPr>
                    <w:adjustRightInd w:val="0"/>
                    <w:snapToGrid w:val="0"/>
                    <w:jc w:val="center"/>
                    <w:rPr>
                      <w:bCs/>
                    </w:rPr>
                  </w:pPr>
                </w:p>
              </w:tc>
              <w:tc>
                <w:tcPr>
                  <w:tcW w:w="555" w:type="pct"/>
                  <w:vAlign w:val="center"/>
                </w:tcPr>
                <w:p>
                  <w:pPr>
                    <w:adjustRightInd w:val="0"/>
                    <w:snapToGrid w:val="0"/>
                    <w:jc w:val="center"/>
                  </w:pPr>
                  <w:r>
                    <w:t>30m</w:t>
                  </w:r>
                  <w:r>
                    <w:rPr>
                      <w:vertAlign w:val="superscript"/>
                    </w:rPr>
                    <w:t>3</w:t>
                  </w:r>
                </w:p>
              </w:tc>
              <w:tc>
                <w:tcPr>
                  <w:tcW w:w="640" w:type="pct"/>
                  <w:vAlign w:val="center"/>
                </w:tcPr>
                <w:p>
                  <w:pPr>
                    <w:adjustRightInd w:val="0"/>
                    <w:snapToGrid w:val="0"/>
                    <w:jc w:val="center"/>
                  </w:pPr>
                  <w:r>
                    <w:t>桶装</w:t>
                  </w:r>
                </w:p>
              </w:tc>
              <w:tc>
                <w:tcPr>
                  <w:tcW w:w="542" w:type="pct"/>
                  <w:vAlign w:val="center"/>
                </w:tcPr>
                <w:p>
                  <w:pPr>
                    <w:adjustRightInd w:val="0"/>
                    <w:snapToGrid w:val="0"/>
                    <w:jc w:val="center"/>
                  </w:pPr>
                  <w:r>
                    <w:t>0.5t</w:t>
                  </w:r>
                </w:p>
              </w:tc>
              <w:tc>
                <w:tcPr>
                  <w:tcW w:w="531" w:type="pct"/>
                  <w:vAlign w:val="center"/>
                </w:tcPr>
                <w:p>
                  <w:pPr>
                    <w:adjustRightInd w:val="0"/>
                    <w:snapToGrid w:val="0"/>
                    <w:jc w:val="center"/>
                  </w:pPr>
                  <w:r>
                    <w:t>6个月</w:t>
                  </w:r>
                </w:p>
              </w:tc>
            </w:tr>
          </w:tbl>
          <w:p>
            <w:pPr>
              <w:adjustRightInd w:val="0"/>
              <w:snapToGrid w:val="0"/>
              <w:spacing w:before="120" w:beforeLines="50" w:line="360" w:lineRule="auto"/>
              <w:ind w:right="57" w:rightChars="27" w:firstLine="422" w:firstLineChars="200"/>
              <w:rPr>
                <w:b/>
              </w:rPr>
            </w:pPr>
            <w:r>
              <w:rPr>
                <w:b/>
              </w:rPr>
              <w:t>五、地下水及土壤环境</w:t>
            </w:r>
          </w:p>
          <w:p>
            <w:pPr>
              <w:adjustRightInd w:val="0"/>
              <w:snapToGrid w:val="0"/>
              <w:spacing w:line="360" w:lineRule="auto"/>
              <w:ind w:right="57" w:rightChars="27" w:firstLine="465"/>
            </w:pPr>
            <w:r>
              <w:t xml:space="preserve">本项目产生的大气污染物为非甲烷总烃、VOCs 和颗粒物，不属于《土壤环境质量建设用地土壤污染风险管控标准（试行）》（GB36600-2018）文件所述的土壤污染物质，因此，项目排放的大气污染物没有土壤环境影响因子。项目位于博罗县园洲镇佛岭村三垅，场地内均进行了硬底化处理，不与土壤直接接触，对土壤不存在地面漫流、垂直入渗的污染途径。 </w:t>
            </w:r>
          </w:p>
          <w:p>
            <w:pPr>
              <w:adjustRightInd w:val="0"/>
              <w:snapToGrid w:val="0"/>
              <w:spacing w:line="360" w:lineRule="auto"/>
              <w:ind w:right="57" w:rightChars="27" w:firstLine="465"/>
              <w:rPr>
                <w:rStyle w:val="112"/>
              </w:rPr>
            </w:pPr>
            <w:r>
              <w:t>项目对地下水的影响主要来源于生活污水排放过程中下渗对地下水的影响。本项目用水来自市政供水，不取用地下水，不会造成水位下降。生活污水经三级化粪池预处理排入市政管网，项目禁止采样渗井、渗坑等方式排放，不会因废水排放引起地下水水位、水量变化。本项目不存在地下水污染途径。</w:t>
            </w:r>
          </w:p>
          <w:p>
            <w:pPr>
              <w:adjustRightInd w:val="0"/>
              <w:snapToGrid w:val="0"/>
              <w:spacing w:line="360" w:lineRule="auto"/>
              <w:ind w:right="57" w:rightChars="27" w:firstLine="465"/>
            </w:pPr>
            <w:r>
              <w:rPr>
                <w:rFonts w:hint="eastAsia"/>
              </w:rPr>
              <w:t>为进一步防止地下水、土壤污染，根据生产装置的性质和防渗要求，以及拟采取的防渗处理方案，将厂区防渗措施分为三个级别，并对应三个防治区，即非污染防治区、一般污染防治区、重点污染防治区三类污染防治区，重点污染防治区为危废暂存间，一般污染防治区为生产车间，非污染防治区为办公室。重点污染防治区基础防渗层采用加铺防渗土工膜或者采用防渗混凝土硬化等强化防渗措施，防渗等级可达到相当于厚度6.0m、渗透系数10</w:t>
            </w:r>
            <w:r>
              <w:rPr>
                <w:rFonts w:hint="eastAsia"/>
                <w:vertAlign w:val="superscript"/>
              </w:rPr>
              <w:t>-7</w:t>
            </w:r>
            <w:r>
              <w:rPr>
                <w:rFonts w:hint="eastAsia"/>
              </w:rPr>
              <w:t>cm/s的粘土的防渗性能。一般防渗区采取防渗等级可达到相当于厚度1.5m、渗透系数10</w:t>
            </w:r>
            <w:r>
              <w:rPr>
                <w:rFonts w:hint="eastAsia"/>
                <w:vertAlign w:val="superscript"/>
              </w:rPr>
              <w:t>-7</w:t>
            </w:r>
            <w:r>
              <w:rPr>
                <w:rFonts w:hint="eastAsia"/>
              </w:rPr>
              <w:t>cm/s的粘土的防渗性能的措施。</w:t>
            </w:r>
          </w:p>
          <w:p>
            <w:pPr>
              <w:adjustRightInd w:val="0"/>
              <w:snapToGrid w:val="0"/>
              <w:spacing w:line="360" w:lineRule="auto"/>
              <w:ind w:right="57" w:rightChars="27" w:firstLine="465"/>
            </w:pPr>
            <w:r>
              <w:t>项目不存在地下水污染和土壤污染。厂区内应进行硬底化处理，按要求做好防渗措施；生产车间按一般防渗区要求采取防渗措施。在厂区做好相关防范措施的前提下，本项目建成后对周边土壤、地下水的影响较小。</w:t>
            </w:r>
          </w:p>
          <w:p>
            <w:pPr>
              <w:adjustRightInd w:val="0"/>
              <w:snapToGrid w:val="0"/>
              <w:spacing w:line="360" w:lineRule="auto"/>
              <w:ind w:right="57" w:rightChars="27" w:firstLine="422" w:firstLineChars="200"/>
              <w:rPr>
                <w:b/>
              </w:rPr>
            </w:pPr>
            <w:r>
              <w:rPr>
                <w:b/>
              </w:rPr>
              <w:t>六、环境风险</w:t>
            </w:r>
          </w:p>
          <w:p>
            <w:pPr>
              <w:widowControl/>
              <w:spacing w:line="360" w:lineRule="auto"/>
              <w:ind w:firstLine="420" w:firstLineChars="200"/>
            </w:pPr>
            <w:r>
              <w:t>环境风险评价的目的是分析和预测建设项目存在的潜在危险、有害因素、建设项目建设和运行期间可能发生的突发性事件和事故，引起有毒有害和易燃易爆等物质泄漏，所造成的人身安全与环境影响和损害程度，提出合理可行的防范、应急与减缓措施，以使建设项目事故、损失和环境影响降低到可接受的水平。</w:t>
            </w:r>
          </w:p>
          <w:p>
            <w:pPr>
              <w:widowControl/>
              <w:spacing w:line="360" w:lineRule="auto"/>
              <w:ind w:firstLine="422" w:firstLineChars="200"/>
              <w:jc w:val="left"/>
              <w:rPr>
                <w:b/>
                <w:bCs/>
              </w:rPr>
            </w:pPr>
            <w:r>
              <w:rPr>
                <w:b/>
                <w:bCs/>
              </w:rPr>
              <w:t>（1）Q值计算</w:t>
            </w:r>
          </w:p>
          <w:p>
            <w:pPr>
              <w:widowControl/>
              <w:adjustRightInd w:val="0"/>
              <w:snapToGrid w:val="0"/>
              <w:spacing w:line="360" w:lineRule="auto"/>
              <w:ind w:firstLine="420" w:firstLineChars="200"/>
            </w:pPr>
            <w:r>
              <w:t>对照《建设项目环境风险评价技术导则》（HJ169-2018）附录B、《危险化学品重大危险源辨识》（GB18218-2018）的表1、2以及《企业突发环境事件风险分级方法》（HJ941-2018）附录A，中物质危险性标准，项目生产过程中使用的</w:t>
            </w:r>
            <w:r>
              <w:rPr>
                <w:rFonts w:hint="eastAsia"/>
              </w:rPr>
              <w:t>液压油</w:t>
            </w:r>
            <w:r>
              <w:t>、切削液等属于矿物油类物质</w:t>
            </w:r>
            <w:r>
              <w:rPr>
                <w:rFonts w:hint="eastAsia"/>
              </w:rPr>
              <w:t>、喷淋废水</w:t>
            </w:r>
            <w:r>
              <w:t>属于《建设项目环境风险评价技术导则》（HJ169-2018）附录B中的风险物质，根据其最大储存量及临界量计算Q值。</w:t>
            </w:r>
          </w:p>
          <w:p>
            <w:pPr>
              <w:widowControl/>
              <w:tabs>
                <w:tab w:val="left" w:pos="0"/>
              </w:tabs>
              <w:adjustRightInd w:val="0"/>
              <w:snapToGrid w:val="0"/>
              <w:spacing w:line="360" w:lineRule="auto"/>
              <w:jc w:val="center"/>
              <w:rPr>
                <w:b/>
                <w:bCs/>
              </w:rPr>
            </w:pPr>
            <w:r>
              <w:rPr>
                <w:b/>
                <w:bCs/>
              </w:rPr>
              <w:t>表4-2</w:t>
            </w:r>
            <w:r>
              <w:rPr>
                <w:rFonts w:hint="eastAsia"/>
                <w:b/>
                <w:bCs/>
              </w:rPr>
              <w:t>3</w:t>
            </w:r>
            <w:r>
              <w:rPr>
                <w:b/>
                <w:bCs/>
              </w:rPr>
              <w:t xml:space="preserve"> 项目Q值计算</w:t>
            </w:r>
          </w:p>
          <w:tbl>
            <w:tblPr>
              <w:tblStyle w:val="10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64"/>
              <w:gridCol w:w="2399"/>
              <w:gridCol w:w="3057"/>
              <w:gridCol w:w="1639"/>
              <w:gridCol w:w="142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widowControl/>
                    <w:jc w:val="center"/>
                  </w:pPr>
                  <w:r>
                    <w:rPr>
                      <w:b/>
                      <w:bCs/>
                    </w:rPr>
                    <w:t>序号</w:t>
                  </w:r>
                </w:p>
              </w:tc>
              <w:tc>
                <w:tcPr>
                  <w:tcW w:w="1291" w:type="pct"/>
                  <w:vAlign w:val="center"/>
                </w:tcPr>
                <w:p>
                  <w:pPr>
                    <w:widowControl/>
                    <w:jc w:val="center"/>
                  </w:pPr>
                  <w:r>
                    <w:rPr>
                      <w:b/>
                      <w:bCs/>
                    </w:rPr>
                    <w:t>风险物质名称</w:t>
                  </w:r>
                </w:p>
              </w:tc>
              <w:tc>
                <w:tcPr>
                  <w:tcW w:w="1645" w:type="pct"/>
                  <w:vAlign w:val="center"/>
                </w:tcPr>
                <w:p>
                  <w:pPr>
                    <w:widowControl/>
                    <w:jc w:val="center"/>
                  </w:pPr>
                  <w:r>
                    <w:rPr>
                      <w:b/>
                      <w:bCs/>
                    </w:rPr>
                    <w:t>最大储存量q</w:t>
                  </w:r>
                  <w:r>
                    <w:rPr>
                      <w:b/>
                      <w:bCs/>
                      <w:vertAlign w:val="subscript"/>
                    </w:rPr>
                    <w:t>i</w:t>
                  </w:r>
                  <w:r>
                    <w:rPr>
                      <w:b/>
                      <w:bCs/>
                    </w:rPr>
                    <w:t>（t）</w:t>
                  </w:r>
                </w:p>
              </w:tc>
              <w:tc>
                <w:tcPr>
                  <w:tcW w:w="882" w:type="pct"/>
                  <w:vAlign w:val="center"/>
                </w:tcPr>
                <w:p>
                  <w:pPr>
                    <w:widowControl/>
                    <w:jc w:val="center"/>
                    <w:rPr>
                      <w:b/>
                      <w:bCs/>
                    </w:rPr>
                  </w:pPr>
                  <w:r>
                    <w:rPr>
                      <w:b/>
                      <w:bCs/>
                    </w:rPr>
                    <w:t>临界量（t）</w:t>
                  </w:r>
                </w:p>
              </w:tc>
              <w:tc>
                <w:tcPr>
                  <w:tcW w:w="769" w:type="pct"/>
                  <w:vAlign w:val="center"/>
                </w:tcPr>
                <w:p>
                  <w:pPr>
                    <w:widowControl/>
                    <w:jc w:val="center"/>
                  </w:pPr>
                  <w:r>
                    <w:rPr>
                      <w:b/>
                      <w:bCs/>
                    </w:rPr>
                    <w:t>q</w:t>
                  </w:r>
                  <w:r>
                    <w:rPr>
                      <w:b/>
                      <w:bCs/>
                      <w:vertAlign w:val="subscript"/>
                    </w:rPr>
                    <w:t>i</w:t>
                  </w:r>
                  <w:r>
                    <w:rPr>
                      <w:b/>
                      <w:bCs/>
                    </w:rPr>
                    <w:t>/Q</w:t>
                  </w:r>
                  <w:r>
                    <w:rPr>
                      <w:b/>
                      <w:bCs/>
                      <w:vertAlign w:val="subscript"/>
                    </w:rPr>
                    <w:t>i</w:t>
                  </w:r>
                  <w:r>
                    <w:rPr>
                      <w:b/>
                      <w:bCs/>
                    </w:rPr>
                    <w:t>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widowControl/>
                    <w:jc w:val="center"/>
                  </w:pPr>
                  <w:r>
                    <w:rPr>
                      <w:rFonts w:hint="eastAsia"/>
                    </w:rPr>
                    <w:t>1</w:t>
                  </w:r>
                </w:p>
              </w:tc>
              <w:tc>
                <w:tcPr>
                  <w:tcW w:w="1291" w:type="pct"/>
                  <w:vAlign w:val="center"/>
                </w:tcPr>
                <w:p>
                  <w:pPr>
                    <w:widowControl/>
                    <w:jc w:val="center"/>
                  </w:pPr>
                  <w:r>
                    <w:t>液压油</w:t>
                  </w:r>
                </w:p>
              </w:tc>
              <w:tc>
                <w:tcPr>
                  <w:tcW w:w="1645" w:type="pct"/>
                  <w:vAlign w:val="center"/>
                </w:tcPr>
                <w:p>
                  <w:pPr>
                    <w:widowControl/>
                    <w:jc w:val="center"/>
                  </w:pPr>
                  <w:r>
                    <w:t>0.1</w:t>
                  </w:r>
                </w:p>
              </w:tc>
              <w:tc>
                <w:tcPr>
                  <w:tcW w:w="882" w:type="pct"/>
                  <w:vAlign w:val="center"/>
                </w:tcPr>
                <w:p>
                  <w:pPr>
                    <w:widowControl/>
                    <w:jc w:val="center"/>
                  </w:pPr>
                  <w:r>
                    <w:t>2500</w:t>
                  </w:r>
                </w:p>
              </w:tc>
              <w:tc>
                <w:tcPr>
                  <w:tcW w:w="769" w:type="pct"/>
                  <w:vAlign w:val="center"/>
                </w:tcPr>
                <w:p>
                  <w:pPr>
                    <w:snapToGrid w:val="0"/>
                    <w:jc w:val="center"/>
                  </w:pPr>
                  <w: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widowControl/>
                    <w:jc w:val="center"/>
                  </w:pPr>
                  <w:r>
                    <w:rPr>
                      <w:rFonts w:hint="eastAsia"/>
                    </w:rPr>
                    <w:t>2</w:t>
                  </w:r>
                </w:p>
              </w:tc>
              <w:tc>
                <w:tcPr>
                  <w:tcW w:w="1291" w:type="pct"/>
                  <w:vAlign w:val="center"/>
                </w:tcPr>
                <w:p>
                  <w:pPr>
                    <w:widowControl/>
                    <w:jc w:val="center"/>
                  </w:pPr>
                  <w:r>
                    <w:t>切削液</w:t>
                  </w:r>
                </w:p>
              </w:tc>
              <w:tc>
                <w:tcPr>
                  <w:tcW w:w="1645" w:type="pct"/>
                  <w:vAlign w:val="center"/>
                </w:tcPr>
                <w:p>
                  <w:pPr>
                    <w:widowControl/>
                    <w:jc w:val="center"/>
                  </w:pPr>
                  <w:r>
                    <w:t>0.2</w:t>
                  </w:r>
                </w:p>
              </w:tc>
              <w:tc>
                <w:tcPr>
                  <w:tcW w:w="882" w:type="pct"/>
                  <w:vAlign w:val="center"/>
                </w:tcPr>
                <w:p>
                  <w:pPr>
                    <w:widowControl/>
                    <w:jc w:val="center"/>
                  </w:pPr>
                  <w:r>
                    <w:t>2500</w:t>
                  </w:r>
                </w:p>
              </w:tc>
              <w:tc>
                <w:tcPr>
                  <w:tcW w:w="769" w:type="pct"/>
                  <w:vAlign w:val="center"/>
                </w:tcPr>
                <w:p>
                  <w:pPr>
                    <w:snapToGrid w:val="0"/>
                    <w:jc w:val="center"/>
                  </w:pPr>
                  <w:r>
                    <w:t>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widowControl/>
                    <w:jc w:val="center"/>
                  </w:pPr>
                  <w:r>
                    <w:rPr>
                      <w:rFonts w:hint="eastAsia"/>
                    </w:rPr>
                    <w:t>3</w:t>
                  </w:r>
                </w:p>
              </w:tc>
              <w:tc>
                <w:tcPr>
                  <w:tcW w:w="1291" w:type="pct"/>
                  <w:vAlign w:val="center"/>
                </w:tcPr>
                <w:p>
                  <w:pPr>
                    <w:widowControl/>
                    <w:jc w:val="center"/>
                  </w:pPr>
                  <w:r>
                    <w:t>喷淋废水</w:t>
                  </w:r>
                </w:p>
              </w:tc>
              <w:tc>
                <w:tcPr>
                  <w:tcW w:w="1645" w:type="pct"/>
                  <w:vAlign w:val="center"/>
                </w:tcPr>
                <w:p>
                  <w:pPr>
                    <w:widowControl/>
                    <w:jc w:val="center"/>
                  </w:pPr>
                  <w:r>
                    <w:rPr>
                      <w:rFonts w:hint="eastAsia"/>
                    </w:rPr>
                    <w:t>2.4</w:t>
                  </w:r>
                </w:p>
              </w:tc>
              <w:tc>
                <w:tcPr>
                  <w:tcW w:w="882" w:type="pct"/>
                  <w:vAlign w:val="center"/>
                </w:tcPr>
                <w:p>
                  <w:pPr>
                    <w:widowControl/>
                    <w:jc w:val="center"/>
                  </w:pPr>
                  <w:r>
                    <w:t>100</w:t>
                  </w:r>
                </w:p>
              </w:tc>
              <w:tc>
                <w:tcPr>
                  <w:tcW w:w="769" w:type="pct"/>
                  <w:vAlign w:val="center"/>
                </w:tcPr>
                <w:p>
                  <w:pPr>
                    <w:snapToGrid w:val="0"/>
                    <w:jc w:val="center"/>
                  </w:pPr>
                  <w:r>
                    <w:t>0.0</w:t>
                  </w:r>
                  <w:r>
                    <w:rPr>
                      <w:rFonts w:hint="eastAsia"/>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411" w:type="pct"/>
                  <w:vAlign w:val="center"/>
                </w:tcPr>
                <w:p>
                  <w:pPr>
                    <w:widowControl/>
                    <w:jc w:val="center"/>
                  </w:pPr>
                  <w:r>
                    <w:rPr>
                      <w:rFonts w:hint="eastAsia"/>
                    </w:rPr>
                    <w:t>4</w:t>
                  </w:r>
                </w:p>
              </w:tc>
              <w:tc>
                <w:tcPr>
                  <w:tcW w:w="3818" w:type="pct"/>
                  <w:gridSpan w:val="3"/>
                  <w:vAlign w:val="center"/>
                </w:tcPr>
                <w:p>
                  <w:pPr>
                    <w:widowControl/>
                    <w:jc w:val="center"/>
                  </w:pPr>
                  <w:r>
                    <w:rPr>
                      <w:rFonts w:hint="eastAsia"/>
                    </w:rPr>
                    <w:t>合计</w:t>
                  </w:r>
                </w:p>
              </w:tc>
              <w:tc>
                <w:tcPr>
                  <w:tcW w:w="769" w:type="pct"/>
                  <w:vAlign w:val="center"/>
                </w:tcPr>
                <w:p>
                  <w:pPr>
                    <w:snapToGrid w:val="0"/>
                    <w:jc w:val="center"/>
                  </w:pPr>
                  <w:r>
                    <w:rPr>
                      <w:rFonts w:hint="eastAsia"/>
                    </w:rPr>
                    <w:t>0.02412</w:t>
                  </w:r>
                </w:p>
              </w:tc>
            </w:tr>
          </w:tbl>
          <w:p>
            <w:pPr>
              <w:widowControl/>
              <w:adjustRightInd w:val="0"/>
              <w:snapToGrid w:val="0"/>
              <w:spacing w:before="120" w:beforeLines="50" w:line="360" w:lineRule="auto"/>
              <w:ind w:firstLine="420" w:firstLineChars="200"/>
              <w:jc w:val="left"/>
              <w:rPr>
                <w:bCs/>
              </w:rPr>
            </w:pPr>
            <w:r>
              <w:rPr>
                <w:bCs/>
              </w:rPr>
              <w:t>综上，本项目危险物质的总Q=0.0</w:t>
            </w:r>
            <w:r>
              <w:rPr>
                <w:rFonts w:hint="eastAsia"/>
                <w:bCs/>
              </w:rPr>
              <w:t>2412</w:t>
            </w:r>
            <w:r>
              <w:rPr>
                <w:bCs/>
              </w:rPr>
              <w:t>&lt;1，根据《建设项目环境风险评价技术导则》（HJ 169—2018）附录C中的判别依据，本项目环境风险潜势为Ⅰ，因此风险评价工作等级定位为简单分析。</w:t>
            </w:r>
          </w:p>
          <w:p>
            <w:pPr>
              <w:pStyle w:val="877"/>
              <w:adjustRightInd w:val="0"/>
              <w:snapToGrid w:val="0"/>
              <w:spacing w:line="360" w:lineRule="auto"/>
              <w:ind w:firstLine="422"/>
              <w:rPr>
                <w:b/>
                <w:bCs/>
                <w:kern w:val="2"/>
                <w:sz w:val="21"/>
              </w:rPr>
            </w:pPr>
            <w:r>
              <w:rPr>
                <w:b/>
                <w:bCs/>
                <w:kern w:val="2"/>
                <w:sz w:val="21"/>
              </w:rPr>
              <w:t>（2）风险识别</w:t>
            </w:r>
          </w:p>
          <w:p>
            <w:pPr>
              <w:widowControl/>
              <w:adjustRightInd w:val="0"/>
              <w:snapToGrid w:val="0"/>
              <w:spacing w:line="360" w:lineRule="auto"/>
              <w:ind w:firstLine="420" w:firstLineChars="200"/>
              <w:jc w:val="left"/>
              <w:rPr>
                <w:bCs/>
              </w:rPr>
            </w:pPr>
            <w:r>
              <w:rPr>
                <w:bCs/>
              </w:rPr>
              <w:t>本项目主要的环境风险有：生产设备等引发火灾甚至爆炸事故，化学品和危险废物在运输、装卸、储存以及使用过程中操作不当可能会造成泄漏，以及废气处理设施事故导致废气事故排放对大气环境的影响。</w:t>
            </w:r>
          </w:p>
          <w:p>
            <w:pPr>
              <w:pStyle w:val="877"/>
              <w:adjustRightInd w:val="0"/>
              <w:snapToGrid w:val="0"/>
              <w:spacing w:line="360" w:lineRule="auto"/>
              <w:ind w:firstLine="422"/>
              <w:rPr>
                <w:b/>
                <w:bCs/>
                <w:kern w:val="2"/>
                <w:sz w:val="21"/>
              </w:rPr>
            </w:pPr>
            <w:r>
              <w:rPr>
                <w:b/>
                <w:bCs/>
                <w:kern w:val="2"/>
                <w:sz w:val="21"/>
              </w:rPr>
              <w:t>（3）环境风险防范措施及应急要求</w:t>
            </w:r>
          </w:p>
          <w:p>
            <w:pPr>
              <w:adjustRightInd w:val="0"/>
              <w:snapToGrid w:val="0"/>
              <w:spacing w:line="360" w:lineRule="auto"/>
              <w:ind w:firstLine="420" w:firstLineChars="200"/>
            </w:pPr>
            <w:r>
              <w:t>根据对生产过程中各个工序的工程分析结果及本产品审查过程的调查了解，本评价主要考虑废气处理设施事故影响，车间、仓库火灾爆炸事故影响，化学品和危险废物发生泄漏事故影响。</w:t>
            </w:r>
          </w:p>
          <w:p>
            <w:pPr>
              <w:adjustRightInd w:val="0"/>
              <w:snapToGrid w:val="0"/>
              <w:spacing w:line="360" w:lineRule="auto"/>
              <w:ind w:firstLine="420" w:firstLineChars="200"/>
              <w:rPr>
                <w:bCs/>
              </w:rPr>
            </w:pPr>
            <w:r>
              <w:rPr>
                <w:bCs/>
              </w:rPr>
              <w:t>①废气处理设施出现故障</w:t>
            </w:r>
          </w:p>
          <w:p>
            <w:pPr>
              <w:adjustRightInd w:val="0"/>
              <w:snapToGrid w:val="0"/>
              <w:spacing w:line="360" w:lineRule="auto"/>
              <w:ind w:firstLine="420" w:firstLineChars="200"/>
            </w:pPr>
            <w:r>
              <w:t>废气若不处理直接排放将对环境空气造成污染，建设单位对废气处理设施进行维护，若发生事故，及时停产进行维修，此类事故发生概率较低。</w:t>
            </w:r>
          </w:p>
          <w:p>
            <w:pPr>
              <w:adjustRightInd w:val="0"/>
              <w:snapToGrid w:val="0"/>
              <w:spacing w:line="360" w:lineRule="auto"/>
              <w:ind w:firstLine="420" w:firstLineChars="200"/>
              <w:rPr>
                <w:bCs/>
              </w:rPr>
            </w:pPr>
            <w:r>
              <w:rPr>
                <w:bCs/>
              </w:rPr>
              <w:t>②火灾爆炸事故</w:t>
            </w:r>
          </w:p>
          <w:p>
            <w:pPr>
              <w:adjustRightInd w:val="0"/>
              <w:snapToGrid w:val="0"/>
              <w:spacing w:line="360" w:lineRule="auto"/>
              <w:ind w:firstLine="420" w:firstLineChars="200"/>
            </w:pPr>
            <w:r>
              <w:t>火灾或爆炸事故危害除热辐射、冲击波和抛射物等直接危害外，未完全燃烧的危险物质在高温下迅速挥发释放至大气，燃烧物质燃烧过程中则同时产生伴生和次生物质，加上燃烧后形成的浓烟。浓烟是由燃烧物质释放出的高温蒸汽和毒气、被分解和凝聚的未燃烧物质、被火焰加热而带入上升气流中的大量空气等多种物质组成。它不但含有大量的热量，而且含有毒气体和弥散的固体微粒。因此浓烟对火场周围人员的生命安全危害程度远超过火灾本身，并对周围的大气环境质量造成很大的污染和破坏。另外，燃烧时的强烈热辐射还可能造成新的火灾和爆炸事故，会对周围的大气环境造成一定的影响，因此，建设单位应做好消防设施配置，有效控制火势。此外，发生火灾或者爆炸事故时，泄漏物质以及消防废水需收集到消防废水收集池，而不能外泄到周围环境中，因此，建设单位需完善车间内应急沟以及消防废水收集池的建设。</w:t>
            </w:r>
          </w:p>
          <w:p>
            <w:pPr>
              <w:adjustRightInd w:val="0"/>
              <w:snapToGrid w:val="0"/>
              <w:spacing w:line="360" w:lineRule="auto"/>
              <w:ind w:firstLine="420" w:firstLineChars="200"/>
              <w:rPr>
                <w:bCs/>
              </w:rPr>
            </w:pPr>
            <w:bookmarkStart w:id="8" w:name="_Toc22761"/>
            <w:r>
              <w:rPr>
                <w:bCs/>
              </w:rPr>
              <w:t>③化学品和危险废物仓库发生泄漏</w:t>
            </w:r>
          </w:p>
          <w:p>
            <w:pPr>
              <w:adjustRightInd w:val="0"/>
              <w:snapToGrid w:val="0"/>
              <w:spacing w:line="360" w:lineRule="auto"/>
              <w:ind w:firstLine="420" w:firstLineChars="200"/>
            </w:pPr>
            <w:r>
              <w:t>项目生产涉及的</w:t>
            </w:r>
            <w:r>
              <w:rPr>
                <w:rFonts w:hint="eastAsia"/>
              </w:rPr>
              <w:t>油类物质</w:t>
            </w:r>
            <w:r>
              <w:t>和危险废物，存在泄漏的风险，主要原因可能是防渗材料破裂、贮存容器破损、管理不到位造成的。</w:t>
            </w:r>
          </w:p>
          <w:p>
            <w:pPr>
              <w:adjustRightInd w:val="0"/>
              <w:snapToGrid w:val="0"/>
              <w:spacing w:line="360" w:lineRule="auto"/>
              <w:ind w:firstLine="420" w:firstLineChars="200"/>
            </w:pPr>
            <w:r>
              <w:t>由于存放的化学品和危险废物发生泄漏事故时，较难以发现，可能发生向下渗漏到地下水，污染土壤与地下水。为避免发生此类事故，建设单位应按要求建设原料仓库和危废暂存间，并相应做好防渗、防腐等预防措施，因此此类事故发生概率较低。</w:t>
            </w:r>
          </w:p>
          <w:p>
            <w:pPr>
              <w:adjustRightInd w:val="0"/>
              <w:snapToGrid w:val="0"/>
              <w:spacing w:line="360" w:lineRule="auto"/>
              <w:ind w:firstLine="422" w:firstLineChars="200"/>
              <w:outlineLvl w:val="2"/>
              <w:rPr>
                <w:b/>
              </w:rPr>
            </w:pPr>
            <w:r>
              <w:rPr>
                <w:b/>
              </w:rPr>
              <w:t>（4）环境风险防范措施</w:t>
            </w:r>
            <w:bookmarkEnd w:id="8"/>
          </w:p>
          <w:p>
            <w:pPr>
              <w:keepNext/>
              <w:keepLines/>
              <w:adjustRightInd w:val="0"/>
              <w:snapToGrid w:val="0"/>
              <w:spacing w:line="360" w:lineRule="auto"/>
              <w:ind w:firstLine="420" w:firstLineChars="200"/>
              <w:outlineLvl w:val="3"/>
              <w:rPr>
                <w:lang w:eastAsia="zh-TW"/>
              </w:rPr>
            </w:pPr>
            <w:bookmarkStart w:id="9" w:name="_Toc14497"/>
            <w:bookmarkStart w:id="10" w:name="_Toc515316312"/>
            <w:r>
              <w:t>①</w:t>
            </w:r>
            <w:r>
              <w:rPr>
                <w:lang w:eastAsia="zh-TW"/>
              </w:rPr>
              <w:t>废</w:t>
            </w:r>
            <w:r>
              <w:t>气</w:t>
            </w:r>
            <w:r>
              <w:rPr>
                <w:lang w:eastAsia="zh-TW"/>
              </w:rPr>
              <w:t>处理装置事故防范措施</w:t>
            </w:r>
            <w:bookmarkEnd w:id="9"/>
            <w:bookmarkEnd w:id="10"/>
          </w:p>
          <w:p>
            <w:pPr>
              <w:tabs>
                <w:tab w:val="left" w:pos="7485"/>
              </w:tabs>
              <w:adjustRightInd w:val="0"/>
              <w:snapToGrid w:val="0"/>
              <w:spacing w:line="360" w:lineRule="auto"/>
              <w:ind w:firstLine="420" w:firstLineChars="200"/>
              <w:rPr>
                <w:lang w:eastAsia="zh-TW"/>
              </w:rPr>
            </w:pPr>
            <w:r>
              <w:t>1）</w:t>
            </w:r>
            <w:r>
              <w:rPr>
                <w:lang w:eastAsia="zh-TW"/>
              </w:rPr>
              <w:t>应加强对废</w:t>
            </w:r>
            <w:r>
              <w:t>气</w:t>
            </w:r>
            <w:r>
              <w:rPr>
                <w:lang w:eastAsia="zh-TW"/>
              </w:rPr>
              <w:t>处理设施的日常管理，及时保养与维修。建立严格的操作规程，实行目标责任制，保证环境保护设施的正常运行。</w:t>
            </w:r>
          </w:p>
          <w:p>
            <w:pPr>
              <w:tabs>
                <w:tab w:val="left" w:pos="7485"/>
              </w:tabs>
              <w:adjustRightInd w:val="0"/>
              <w:snapToGrid w:val="0"/>
              <w:spacing w:line="360" w:lineRule="auto"/>
              <w:ind w:firstLine="420" w:firstLineChars="200"/>
              <w:rPr>
                <w:lang w:eastAsia="zh-TW"/>
              </w:rPr>
            </w:pPr>
            <w:r>
              <w:t>2）</w:t>
            </w:r>
            <w:r>
              <w:rPr>
                <w:lang w:eastAsia="zh-TW"/>
              </w:rPr>
              <w:t>应严格按工艺规程进行操作，特别在易发生事故工序，应坚决杜绝为了提高产量等而不严格按要求配料、操作等情况，同时，操作人员应穿戴好劳动防护用品。</w:t>
            </w:r>
          </w:p>
          <w:p>
            <w:pPr>
              <w:tabs>
                <w:tab w:val="left" w:pos="7485"/>
              </w:tabs>
              <w:adjustRightInd w:val="0"/>
              <w:snapToGrid w:val="0"/>
              <w:spacing w:line="360" w:lineRule="auto"/>
              <w:ind w:firstLine="420" w:firstLineChars="200"/>
              <w:rPr>
                <w:bCs/>
                <w:lang w:eastAsia="zh-TW"/>
              </w:rPr>
            </w:pPr>
            <w:r>
              <w:rPr>
                <w:bCs/>
              </w:rPr>
              <w:t>②</w:t>
            </w:r>
            <w:r>
              <w:rPr>
                <w:bCs/>
                <w:lang w:eastAsia="zh-TW"/>
              </w:rPr>
              <w:t>火灾和爆炸的预防措施</w:t>
            </w:r>
          </w:p>
          <w:p>
            <w:pPr>
              <w:autoSpaceDE w:val="0"/>
              <w:adjustRightInd w:val="0"/>
              <w:snapToGrid w:val="0"/>
              <w:spacing w:line="360" w:lineRule="auto"/>
              <w:ind w:firstLine="420" w:firstLineChars="200"/>
            </w:pPr>
            <w:r>
              <w:rPr>
                <w:lang w:bidi="ar"/>
              </w:rPr>
              <w:t>项目运行期间应充分考虑到不安全的因素，一定要在火灾防范方面制定严格的措施。本报告建议项目投资方采取如下措施：</w:t>
            </w:r>
          </w:p>
          <w:p>
            <w:pPr>
              <w:autoSpaceDE w:val="0"/>
              <w:adjustRightInd w:val="0"/>
              <w:snapToGrid w:val="0"/>
              <w:spacing w:line="360" w:lineRule="auto"/>
              <w:ind w:firstLine="420" w:firstLineChars="200"/>
            </w:pPr>
            <w:r>
              <w:rPr>
                <w:lang w:bidi="ar"/>
              </w:rPr>
              <w:t>a在车间内设置“严禁烟火”的警示牌，尤其是在纸张等易燃品堆放的位置；</w:t>
            </w:r>
          </w:p>
          <w:p>
            <w:pPr>
              <w:autoSpaceDE w:val="0"/>
              <w:adjustRightInd w:val="0"/>
              <w:snapToGrid w:val="0"/>
              <w:spacing w:line="360" w:lineRule="auto"/>
              <w:ind w:firstLine="420" w:firstLineChars="200"/>
            </w:pPr>
            <w:r>
              <w:rPr>
                <w:lang w:bidi="ar"/>
              </w:rPr>
              <w:t>b灭火器应布置在明显便于取用的地方，并定期维护检查，确保能正常使用。</w:t>
            </w:r>
          </w:p>
          <w:p>
            <w:pPr>
              <w:autoSpaceDE w:val="0"/>
              <w:adjustRightInd w:val="0"/>
              <w:snapToGrid w:val="0"/>
              <w:spacing w:line="360" w:lineRule="auto"/>
              <w:ind w:firstLine="420" w:firstLineChars="200"/>
            </w:pPr>
            <w:r>
              <w:rPr>
                <w:lang w:bidi="ar"/>
              </w:rPr>
              <w:t>c制定和落实防火安全责任制及消防安全规章制度，除加强对员工的消防知识进行培训，对消防安全责任人及员工也定期进行消防知识培训，消防安全管理人员持证上岗。</w:t>
            </w:r>
          </w:p>
          <w:p>
            <w:pPr>
              <w:autoSpaceDE w:val="0"/>
              <w:adjustRightInd w:val="0"/>
              <w:snapToGrid w:val="0"/>
              <w:spacing w:line="360" w:lineRule="auto"/>
              <w:ind w:firstLine="420" w:firstLineChars="200"/>
            </w:pPr>
            <w:r>
              <w:rPr>
                <w:lang w:bidi="ar"/>
              </w:rPr>
              <w:t>d自动消防系统应定期维护保养，保证消防设施正常运作。</w:t>
            </w:r>
          </w:p>
          <w:p>
            <w:pPr>
              <w:autoSpaceDE w:val="0"/>
              <w:adjustRightInd w:val="0"/>
              <w:snapToGrid w:val="0"/>
              <w:spacing w:line="360" w:lineRule="auto"/>
              <w:ind w:firstLine="420" w:firstLineChars="200"/>
            </w:pPr>
            <w:r>
              <w:rPr>
                <w:lang w:bidi="ar"/>
              </w:rPr>
              <w:t>e对电路定期予以检查，用电负荷与电路的设计要匹配。</w:t>
            </w:r>
          </w:p>
          <w:p>
            <w:pPr>
              <w:autoSpaceDE w:val="0"/>
              <w:adjustRightInd w:val="0"/>
              <w:snapToGrid w:val="0"/>
              <w:spacing w:line="360" w:lineRule="auto"/>
              <w:ind w:firstLine="420" w:firstLineChars="200"/>
            </w:pPr>
            <w:r>
              <w:rPr>
                <w:lang w:bidi="ar"/>
              </w:rPr>
              <w:t>f制定灭火和应急疏散预案，同时设置安全疏散通道。</w:t>
            </w:r>
          </w:p>
          <w:p>
            <w:pPr>
              <w:autoSpaceDE w:val="0"/>
              <w:autoSpaceDN w:val="0"/>
              <w:adjustRightInd w:val="0"/>
              <w:snapToGrid w:val="0"/>
              <w:spacing w:line="360" w:lineRule="auto"/>
              <w:ind w:firstLine="420" w:firstLineChars="200"/>
              <w:rPr>
                <w:lang w:eastAsia="zh-TW"/>
              </w:rPr>
            </w:pPr>
            <w:r>
              <w:rPr>
                <w:lang w:bidi="ar"/>
              </w:rPr>
              <w:t>只要项目严格落实上述措施，做好防火和泄漏措施，并加强防范意识，则项目运营期间发生风险的概率较小。</w:t>
            </w:r>
          </w:p>
          <w:p>
            <w:pPr>
              <w:adjustRightInd w:val="0"/>
              <w:snapToGrid w:val="0"/>
              <w:spacing w:line="360" w:lineRule="auto"/>
              <w:ind w:firstLine="420" w:firstLineChars="200"/>
              <w:rPr>
                <w:bCs/>
                <w:lang w:eastAsia="zh-TW"/>
              </w:rPr>
            </w:pPr>
            <w:r>
              <w:rPr>
                <w:bCs/>
              </w:rPr>
              <w:t>③</w:t>
            </w:r>
            <w:r>
              <w:rPr>
                <w:bCs/>
                <w:lang w:eastAsia="zh-TW"/>
              </w:rPr>
              <w:t>物料泄漏事故的预防措施</w:t>
            </w:r>
          </w:p>
          <w:p>
            <w:pPr>
              <w:tabs>
                <w:tab w:val="left" w:pos="7485"/>
              </w:tabs>
              <w:adjustRightInd w:val="0"/>
              <w:snapToGrid w:val="0"/>
              <w:spacing w:line="360" w:lineRule="auto"/>
              <w:ind w:firstLine="420" w:firstLineChars="200"/>
              <w:rPr>
                <w:lang w:eastAsia="zh-TW"/>
              </w:rPr>
            </w:pPr>
            <w:r>
              <w:rPr>
                <w:lang w:eastAsia="zh-TW"/>
              </w:rPr>
              <w:t>泄漏事故的预防是物料储运中最重要的环节，发生泄漏事故可能引起火灾和爆炸等一系列重大事故。经验表明：设备失灵和人为的操作失误是引发泄漏的主要原因。因此选用较好的设备、精心设计、认真管理和操作人员的责任心是减少泄漏事故的关键。</w:t>
            </w:r>
          </w:p>
          <w:p>
            <w:pPr>
              <w:tabs>
                <w:tab w:val="left" w:pos="7485"/>
              </w:tabs>
              <w:adjustRightInd w:val="0"/>
              <w:snapToGrid w:val="0"/>
              <w:spacing w:line="360" w:lineRule="auto"/>
              <w:ind w:firstLine="420" w:firstLineChars="200"/>
              <w:rPr>
                <w:lang w:eastAsia="zh-TW"/>
              </w:rPr>
            </w:pPr>
            <w:r>
              <w:rPr>
                <w:lang w:eastAsia="zh-TW"/>
              </w:rPr>
              <w:t>本项目主要采取以下预防措施：</w:t>
            </w:r>
          </w:p>
          <w:p>
            <w:pPr>
              <w:tabs>
                <w:tab w:val="left" w:pos="7485"/>
              </w:tabs>
              <w:adjustRightInd w:val="0"/>
              <w:snapToGrid w:val="0"/>
              <w:spacing w:line="360" w:lineRule="auto"/>
              <w:ind w:firstLine="420" w:firstLineChars="200"/>
              <w:rPr>
                <w:lang w:eastAsia="zh-TW"/>
              </w:rPr>
            </w:pPr>
            <w:r>
              <w:t>1）</w:t>
            </w:r>
            <w:r>
              <w:rPr>
                <w:lang w:eastAsia="zh-TW"/>
              </w:rPr>
              <w:t>在</w:t>
            </w:r>
            <w:r>
              <w:t>原材料</w:t>
            </w:r>
            <w:r>
              <w:rPr>
                <w:lang w:eastAsia="zh-TW"/>
              </w:rPr>
              <w:t>仓库四周设置地沟避免泄漏物料流入水体。泄漏的物料经收集后作为废液送相应委外单位处理；</w:t>
            </w:r>
          </w:p>
          <w:p>
            <w:pPr>
              <w:tabs>
                <w:tab w:val="left" w:pos="7485"/>
              </w:tabs>
              <w:adjustRightInd w:val="0"/>
              <w:snapToGrid w:val="0"/>
              <w:spacing w:line="360" w:lineRule="auto"/>
              <w:ind w:firstLine="420" w:firstLineChars="200"/>
              <w:rPr>
                <w:lang w:eastAsia="zh-TW"/>
              </w:rPr>
            </w:pPr>
            <w:r>
              <w:t>2）</w:t>
            </w:r>
            <w:r>
              <w:rPr>
                <w:lang w:eastAsia="zh-TW"/>
              </w:rPr>
              <w:t>经常检查管道，地上管道应防止碰撞，并控制管道支撑的磨损。定期系统试压、定期检漏；</w:t>
            </w:r>
          </w:p>
          <w:p>
            <w:pPr>
              <w:adjustRightInd w:val="0"/>
              <w:snapToGrid w:val="0"/>
              <w:spacing w:line="360" w:lineRule="auto"/>
              <w:ind w:firstLine="422" w:firstLineChars="200"/>
              <w:outlineLvl w:val="2"/>
              <w:rPr>
                <w:b/>
              </w:rPr>
            </w:pPr>
            <w:r>
              <w:rPr>
                <w:b/>
              </w:rPr>
              <w:t>（5）环境应急要求</w:t>
            </w:r>
          </w:p>
          <w:p>
            <w:pPr>
              <w:adjustRightInd w:val="0"/>
              <w:snapToGrid w:val="0"/>
              <w:spacing w:line="360" w:lineRule="auto"/>
              <w:ind w:firstLine="420" w:firstLineChars="200"/>
            </w:pPr>
            <w:r>
              <w:rPr>
                <w:rFonts w:ascii="宋体" w:hAnsi="宋体"/>
              </w:rPr>
              <w:t>①</w:t>
            </w:r>
            <w:r>
              <w:t>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w:t>
            </w:r>
          </w:p>
          <w:p>
            <w:pPr>
              <w:pStyle w:val="877"/>
              <w:adjustRightInd w:val="0"/>
              <w:snapToGrid w:val="0"/>
              <w:spacing w:line="360" w:lineRule="auto"/>
              <w:ind w:firstLine="420"/>
              <w:rPr>
                <w:sz w:val="21"/>
              </w:rPr>
            </w:pPr>
            <w:r>
              <w:rPr>
                <w:sz w:val="21"/>
              </w:rPr>
              <w:t>②建立环境风险应急预案，开展环境应急预案的培训、宣传和必要的应急演练。</w:t>
            </w:r>
          </w:p>
          <w:p>
            <w:pPr>
              <w:widowControl/>
              <w:adjustRightInd w:val="0"/>
              <w:snapToGrid w:val="0"/>
              <w:spacing w:line="360" w:lineRule="auto"/>
              <w:ind w:firstLine="420" w:firstLineChars="200"/>
              <w:rPr>
                <w:snapToGrid w:val="0"/>
                <w:sz w:val="30"/>
                <w:szCs w:val="30"/>
              </w:rPr>
            </w:pPr>
            <w:r>
              <w:t>根据项目风险分析，项目在严格落实环评提出各项措施和要求的前提下，项目风险事故的影响在可恢复范围内，项目环境风险是可以接受的。</w:t>
            </w:r>
          </w:p>
        </w:tc>
      </w:tr>
    </w:tbl>
    <w:p>
      <w:pPr>
        <w:pStyle w:val="93"/>
        <w:jc w:val="center"/>
        <w:rPr>
          <w:rFonts w:ascii="Times New Roman" w:hAnsi="Times New Roman"/>
          <w:snapToGrid w:val="0"/>
          <w:color w:val="000000" w:themeColor="text1"/>
          <w:sz w:val="30"/>
          <w:szCs w:val="30"/>
          <w14:textFill>
            <w14:solidFill>
              <w14:schemeClr w14:val="tx1"/>
            </w14:solidFill>
          </w14:textFill>
        </w:rPr>
        <w:sectPr>
          <w:pgSz w:w="11906" w:h="16838"/>
          <w:pgMar w:top="1440" w:right="1080" w:bottom="1440" w:left="1080" w:header="851" w:footer="851" w:gutter="0"/>
          <w:cols w:space="720" w:num="1"/>
          <w:docGrid w:linePitch="312" w:charSpace="0"/>
        </w:sectPr>
      </w:pPr>
    </w:p>
    <w:p>
      <w:pPr>
        <w:pStyle w:val="93"/>
        <w:jc w:val="center"/>
        <w:outlineLvl w:val="0"/>
        <w:rPr>
          <w:rFonts w:ascii="Times New Roman" w:hAnsi="Times New Roman"/>
          <w:snapToGrid w:val="0"/>
          <w:color w:val="000000" w:themeColor="text1"/>
          <w:sz w:val="30"/>
          <w:szCs w:val="30"/>
          <w14:textFill>
            <w14:solidFill>
              <w14:schemeClr w14:val="tx1"/>
            </w14:solidFill>
          </w14:textFill>
        </w:rPr>
      </w:pPr>
      <w:r>
        <w:rPr>
          <w:rFonts w:hint="eastAsia" w:ascii="Times New Roman" w:hAnsi="Times New Roman"/>
          <w:snapToGrid w:val="0"/>
          <w:color w:val="000000" w:themeColor="text1"/>
          <w:sz w:val="30"/>
          <w:szCs w:val="30"/>
          <w14:textFill>
            <w14:solidFill>
              <w14:schemeClr w14:val="tx1"/>
            </w14:solidFill>
          </w14:textFill>
        </w:rPr>
        <w:t>五、</w:t>
      </w:r>
      <w:bookmarkStart w:id="11" w:name="_Hlk54167917"/>
      <w:r>
        <w:rPr>
          <w:rFonts w:hint="eastAsia" w:ascii="Times New Roman" w:hAnsi="Times New Roman"/>
          <w:snapToGrid w:val="0"/>
          <w:color w:val="000000" w:themeColor="text1"/>
          <w:sz w:val="30"/>
          <w:szCs w:val="30"/>
          <w14:textFill>
            <w14:solidFill>
              <w14:schemeClr w14:val="tx1"/>
            </w14:solidFill>
          </w14:textFill>
        </w:rPr>
        <w:t>环境保护措施监督检查清单</w:t>
      </w:r>
      <w:bookmarkEnd w:id="11"/>
    </w:p>
    <w:tbl>
      <w:tblPr>
        <w:tblStyle w:val="10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808"/>
        <w:gridCol w:w="660"/>
        <w:gridCol w:w="558"/>
        <w:gridCol w:w="941"/>
        <w:gridCol w:w="2162"/>
        <w:gridCol w:w="4833"/>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06" w:type="pct"/>
            <w:tcBorders>
              <w:tl2br w:val="single" w:color="auto" w:sz="4" w:space="0"/>
            </w:tcBorders>
          </w:tcPr>
          <w:p>
            <w:pPr>
              <w:adjustRightInd w:val="0"/>
              <w:snapToGrid w:val="0"/>
              <w:jc w:val="center"/>
              <w:rPr>
                <w:b/>
                <w:bCs/>
              </w:rPr>
            </w:pPr>
            <w:r>
              <w:rPr>
                <w:b/>
                <w:bCs/>
              </w:rPr>
              <w:t>内容</w:t>
            </w:r>
          </w:p>
          <w:p>
            <w:pPr>
              <w:adjustRightInd w:val="0"/>
              <w:snapToGrid w:val="0"/>
              <w:rPr>
                <w:b/>
                <w:bCs/>
              </w:rPr>
            </w:pPr>
            <w:r>
              <w:rPr>
                <w:b/>
                <w:bCs/>
              </w:rPr>
              <w:t>要素</w:t>
            </w:r>
          </w:p>
        </w:tc>
        <w:tc>
          <w:tcPr>
            <w:tcW w:w="611" w:type="pct"/>
            <w:gridSpan w:val="2"/>
            <w:vAlign w:val="center"/>
          </w:tcPr>
          <w:p>
            <w:pPr>
              <w:adjustRightInd w:val="0"/>
              <w:snapToGrid w:val="0"/>
              <w:jc w:val="center"/>
              <w:rPr>
                <w:b/>
                <w:bCs/>
              </w:rPr>
            </w:pPr>
            <w:r>
              <w:rPr>
                <w:b/>
                <w:bCs/>
              </w:rPr>
              <w:t>排放口(编号、名称)/污染源</w:t>
            </w:r>
          </w:p>
        </w:tc>
        <w:tc>
          <w:tcPr>
            <w:tcW w:w="472" w:type="pct"/>
            <w:vAlign w:val="center"/>
          </w:tcPr>
          <w:p>
            <w:pPr>
              <w:adjustRightInd w:val="0"/>
              <w:snapToGrid w:val="0"/>
              <w:jc w:val="center"/>
              <w:rPr>
                <w:b/>
                <w:bCs/>
              </w:rPr>
            </w:pPr>
            <w:r>
              <w:rPr>
                <w:b/>
                <w:bCs/>
              </w:rPr>
              <w:t>污染物项目</w:t>
            </w:r>
          </w:p>
        </w:tc>
        <w:tc>
          <w:tcPr>
            <w:tcW w:w="1085" w:type="pct"/>
            <w:vAlign w:val="center"/>
          </w:tcPr>
          <w:p>
            <w:pPr>
              <w:adjustRightInd w:val="0"/>
              <w:snapToGrid w:val="0"/>
              <w:jc w:val="center"/>
              <w:rPr>
                <w:b/>
                <w:bCs/>
              </w:rPr>
            </w:pPr>
            <w:r>
              <w:rPr>
                <w:b/>
                <w:bCs/>
              </w:rPr>
              <w:t>环境保护措施</w:t>
            </w:r>
          </w:p>
        </w:tc>
        <w:tc>
          <w:tcPr>
            <w:tcW w:w="2424" w:type="pct"/>
            <w:vAlign w:val="center"/>
          </w:tcPr>
          <w:p>
            <w:pPr>
              <w:adjustRightInd w:val="0"/>
              <w:snapToGrid w:val="0"/>
              <w:jc w:val="center"/>
              <w:rPr>
                <w:b/>
                <w:bCs/>
              </w:rPr>
            </w:pPr>
            <w:r>
              <w:rPr>
                <w:b/>
                <w:bCs/>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406" w:type="pct"/>
            <w:vMerge w:val="restart"/>
            <w:vAlign w:val="center"/>
          </w:tcPr>
          <w:p>
            <w:pPr>
              <w:adjustRightInd w:val="0"/>
              <w:snapToGrid w:val="0"/>
              <w:jc w:val="center"/>
            </w:pPr>
            <w:r>
              <w:t>大气环境</w:t>
            </w:r>
          </w:p>
        </w:tc>
        <w:tc>
          <w:tcPr>
            <w:tcW w:w="611" w:type="pct"/>
            <w:gridSpan w:val="2"/>
            <w:vMerge w:val="restart"/>
            <w:vAlign w:val="center"/>
          </w:tcPr>
          <w:p>
            <w:pPr>
              <w:snapToGrid w:val="0"/>
              <w:jc w:val="center"/>
              <w:rPr>
                <w:bCs/>
              </w:rPr>
            </w:pPr>
            <w:r>
              <w:rPr>
                <w:bCs/>
              </w:rPr>
              <w:t>DA001</w:t>
            </w:r>
          </w:p>
          <w:p>
            <w:pPr>
              <w:snapToGrid w:val="0"/>
              <w:jc w:val="center"/>
              <w:rPr>
                <w:bCs/>
              </w:rPr>
            </w:pPr>
            <w:r>
              <w:rPr>
                <w:bCs/>
              </w:rPr>
              <w:t>压铸废气排放口</w:t>
            </w:r>
          </w:p>
        </w:tc>
        <w:tc>
          <w:tcPr>
            <w:tcW w:w="472"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颗粒物</w:t>
            </w:r>
          </w:p>
        </w:tc>
        <w:tc>
          <w:tcPr>
            <w:tcW w:w="1085" w:type="pct"/>
            <w:vMerge w:val="restart"/>
            <w:vAlign w:val="center"/>
          </w:tcPr>
          <w:p>
            <w:pPr>
              <w:snapToGrid w:val="0"/>
              <w:jc w:val="center"/>
              <w:rPr>
                <w:color w:val="FF0000"/>
              </w:rPr>
            </w:pPr>
            <w:r>
              <w:t>管道收集后经水喷淋+二级活性炭吸附装置处理后经15米高排气筒DA001高空排放</w:t>
            </w:r>
          </w:p>
        </w:tc>
        <w:tc>
          <w:tcPr>
            <w:tcW w:w="2424" w:type="pct"/>
            <w:vAlign w:val="center"/>
          </w:tcPr>
          <w:p>
            <w:pPr>
              <w:snapToGrid w:val="0"/>
              <w:jc w:val="center"/>
              <w:rPr>
                <w:color w:val="FF0000"/>
              </w:rPr>
            </w:pPr>
            <w:r>
              <w:rPr>
                <w:lang w:bidi="ar"/>
              </w:rPr>
              <w:t>《铸造工业大气污染物排放标准》（GB39726-2020）表1标准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406" w:type="pct"/>
            <w:vMerge w:val="continue"/>
            <w:vAlign w:val="center"/>
          </w:tcPr>
          <w:p>
            <w:pPr>
              <w:adjustRightInd w:val="0"/>
              <w:snapToGrid w:val="0"/>
              <w:jc w:val="center"/>
            </w:pPr>
          </w:p>
        </w:tc>
        <w:tc>
          <w:tcPr>
            <w:tcW w:w="611" w:type="pct"/>
            <w:gridSpan w:val="2"/>
            <w:vMerge w:val="continue"/>
            <w:vAlign w:val="center"/>
          </w:tcPr>
          <w:p>
            <w:pPr>
              <w:snapToGrid w:val="0"/>
              <w:jc w:val="center"/>
              <w:rPr>
                <w:bCs/>
              </w:rPr>
            </w:pPr>
          </w:p>
        </w:tc>
        <w:tc>
          <w:tcPr>
            <w:tcW w:w="472"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非甲烷总烃</w:t>
            </w:r>
          </w:p>
        </w:tc>
        <w:tc>
          <w:tcPr>
            <w:tcW w:w="1085" w:type="pct"/>
            <w:vMerge w:val="continue"/>
            <w:vAlign w:val="center"/>
          </w:tcPr>
          <w:p>
            <w:pPr>
              <w:snapToGrid w:val="0"/>
              <w:jc w:val="center"/>
              <w:rPr>
                <w:color w:val="FF0000"/>
              </w:rPr>
            </w:pPr>
          </w:p>
        </w:tc>
        <w:tc>
          <w:tcPr>
            <w:tcW w:w="2424" w:type="pct"/>
            <w:vAlign w:val="center"/>
          </w:tcPr>
          <w:p>
            <w:pPr>
              <w:snapToGrid w:val="0"/>
              <w:jc w:val="center"/>
            </w:pPr>
            <w:r>
              <w:rPr>
                <w:bCs/>
              </w:rPr>
              <w:t>广东省《固定污染源挥发性有机物综合排放标准》（DB44/2367-2022）表1挥发性有机物排放限值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406" w:type="pct"/>
            <w:vMerge w:val="continue"/>
            <w:vAlign w:val="center"/>
          </w:tcPr>
          <w:p>
            <w:pPr>
              <w:adjustRightInd w:val="0"/>
              <w:snapToGrid w:val="0"/>
              <w:jc w:val="center"/>
            </w:pPr>
          </w:p>
        </w:tc>
        <w:tc>
          <w:tcPr>
            <w:tcW w:w="611" w:type="pct"/>
            <w:gridSpan w:val="2"/>
            <w:vAlign w:val="center"/>
          </w:tcPr>
          <w:p>
            <w:pPr>
              <w:jc w:val="center"/>
            </w:pPr>
            <w:r>
              <w:rPr>
                <w:shd w:val="clear" w:color="auto" w:fill="FFFFFF"/>
              </w:rPr>
              <w:t>DA002</w:t>
            </w:r>
          </w:p>
          <w:p>
            <w:pPr>
              <w:snapToGrid w:val="0"/>
              <w:jc w:val="center"/>
              <w:rPr>
                <w:bCs/>
                <w:highlight w:val="yellow"/>
              </w:rPr>
            </w:pPr>
            <w:r>
              <w:rPr>
                <w:rFonts w:hint="eastAsia"/>
              </w:rPr>
              <w:t>打磨</w:t>
            </w:r>
            <w:r>
              <w:t>废气排放口</w:t>
            </w:r>
          </w:p>
        </w:tc>
        <w:tc>
          <w:tcPr>
            <w:tcW w:w="472" w:type="pct"/>
            <w:vAlign w:val="center"/>
          </w:tcPr>
          <w:p>
            <w:pPr>
              <w:pStyle w:val="469"/>
              <w:adjustRightInd/>
              <w:spacing w:before="120" w:after="120" w:line="240" w:lineRule="auto"/>
              <w:rPr>
                <w:rFonts w:ascii="Times New Roman" w:hAnsi="Times New Roman" w:eastAsia="宋体" w:cs="Times New Roman"/>
                <w:bCs/>
                <w:color w:val="FF0000"/>
                <w:sz w:val="21"/>
                <w:szCs w:val="21"/>
                <w:lang w:eastAsia="zh-CN"/>
              </w:rPr>
            </w:pPr>
            <w:r>
              <w:rPr>
                <w:rFonts w:ascii="Times New Roman" w:hAnsi="Times New Roman" w:eastAsia="宋体" w:cs="Times New Roman"/>
                <w:bCs/>
                <w:sz w:val="21"/>
                <w:szCs w:val="21"/>
                <w:lang w:eastAsia="zh-CN"/>
              </w:rPr>
              <w:t>颗粒物</w:t>
            </w:r>
          </w:p>
        </w:tc>
        <w:tc>
          <w:tcPr>
            <w:tcW w:w="1085" w:type="pct"/>
            <w:vAlign w:val="center"/>
          </w:tcPr>
          <w:p>
            <w:pPr>
              <w:snapToGrid w:val="0"/>
              <w:jc w:val="center"/>
              <w:rPr>
                <w:color w:val="FF0000"/>
              </w:rPr>
            </w:pPr>
            <w:r>
              <w:t>管道收集后引至旋风除尘+水喷淋装置处理后经15米高排气筒DA002高空排放</w:t>
            </w:r>
          </w:p>
        </w:tc>
        <w:tc>
          <w:tcPr>
            <w:tcW w:w="2424" w:type="pct"/>
            <w:vAlign w:val="center"/>
          </w:tcPr>
          <w:p>
            <w:pPr>
              <w:jc w:val="center"/>
            </w:pPr>
            <w:r>
              <w:rPr>
                <w:lang w:bidi="ar"/>
              </w:rPr>
              <w:t>《铸造工业大气污染物排放标准》（GB39726-2020）表1标准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49" w:hRule="atLeast"/>
          <w:jc w:val="center"/>
        </w:trPr>
        <w:tc>
          <w:tcPr>
            <w:tcW w:w="406" w:type="pct"/>
            <w:vMerge w:val="continue"/>
            <w:vAlign w:val="center"/>
          </w:tcPr>
          <w:p>
            <w:pPr>
              <w:adjustRightInd w:val="0"/>
              <w:snapToGrid w:val="0"/>
              <w:jc w:val="center"/>
            </w:pPr>
          </w:p>
        </w:tc>
        <w:tc>
          <w:tcPr>
            <w:tcW w:w="611" w:type="pct"/>
            <w:gridSpan w:val="2"/>
            <w:vAlign w:val="center"/>
          </w:tcPr>
          <w:p>
            <w:pPr>
              <w:snapToGrid w:val="0"/>
              <w:jc w:val="center"/>
              <w:rPr>
                <w:bCs/>
              </w:rPr>
            </w:pPr>
            <w:r>
              <w:rPr>
                <w:bCs/>
              </w:rPr>
              <w:t>DA003</w:t>
            </w:r>
          </w:p>
          <w:p>
            <w:pPr>
              <w:snapToGrid w:val="0"/>
              <w:jc w:val="center"/>
            </w:pPr>
            <w:r>
              <w:rPr>
                <w:bCs/>
              </w:rPr>
              <w:t>喷粉废气排放口</w:t>
            </w:r>
          </w:p>
        </w:tc>
        <w:tc>
          <w:tcPr>
            <w:tcW w:w="472" w:type="pct"/>
            <w:vAlign w:val="center"/>
          </w:tcPr>
          <w:p>
            <w:pPr>
              <w:pStyle w:val="469"/>
              <w:adjustRightInd/>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颗粒物</w:t>
            </w:r>
          </w:p>
        </w:tc>
        <w:tc>
          <w:tcPr>
            <w:tcW w:w="1085" w:type="pct"/>
            <w:vAlign w:val="center"/>
          </w:tcPr>
          <w:p>
            <w:pPr>
              <w:snapToGrid w:val="0"/>
              <w:jc w:val="center"/>
            </w:pPr>
            <w:r>
              <w:t>管道收集后经布袋除尘器处理后经15米高排气筒DA003高空排放</w:t>
            </w:r>
          </w:p>
        </w:tc>
        <w:tc>
          <w:tcPr>
            <w:tcW w:w="2424" w:type="pct"/>
            <w:vAlign w:val="center"/>
          </w:tcPr>
          <w:p>
            <w:pPr>
              <w:snapToGrid w:val="0"/>
              <w:jc w:val="center"/>
              <w:rPr>
                <w:bCs/>
              </w:rPr>
            </w:pPr>
            <w:r>
              <w:rPr>
                <w:lang w:bidi="ar"/>
              </w:rPr>
              <w:t>《铸造工业大气污染物排放标准》（GB39726-2020）表1</w:t>
            </w:r>
            <w:r>
              <w:t>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89" w:hRule="atLeast"/>
          <w:jc w:val="center"/>
        </w:trPr>
        <w:tc>
          <w:tcPr>
            <w:tcW w:w="406" w:type="pct"/>
            <w:vMerge w:val="continue"/>
            <w:vAlign w:val="center"/>
          </w:tcPr>
          <w:p>
            <w:pPr>
              <w:adjustRightInd w:val="0"/>
              <w:snapToGrid w:val="0"/>
              <w:jc w:val="center"/>
            </w:pPr>
          </w:p>
        </w:tc>
        <w:tc>
          <w:tcPr>
            <w:tcW w:w="611" w:type="pct"/>
            <w:gridSpan w:val="2"/>
            <w:vAlign w:val="center"/>
          </w:tcPr>
          <w:p>
            <w:pPr>
              <w:jc w:val="center"/>
            </w:pPr>
            <w:r>
              <w:rPr>
                <w:shd w:val="clear" w:color="auto" w:fill="FFFFFF"/>
              </w:rPr>
              <w:t>DA004</w:t>
            </w:r>
          </w:p>
          <w:p>
            <w:pPr>
              <w:snapToGrid w:val="0"/>
              <w:jc w:val="center"/>
            </w:pPr>
            <w:r>
              <w:t>烘烤固化废气排放口</w:t>
            </w:r>
          </w:p>
        </w:tc>
        <w:tc>
          <w:tcPr>
            <w:tcW w:w="472" w:type="pct"/>
            <w:vAlign w:val="center"/>
          </w:tcPr>
          <w:p>
            <w:pPr>
              <w:pStyle w:val="469"/>
              <w:adjustRightInd/>
              <w:spacing w:before="120" w:after="120"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总VOCs</w:t>
            </w:r>
          </w:p>
        </w:tc>
        <w:tc>
          <w:tcPr>
            <w:tcW w:w="1085" w:type="pct"/>
            <w:vAlign w:val="center"/>
          </w:tcPr>
          <w:p>
            <w:pPr>
              <w:snapToGrid w:val="0"/>
              <w:jc w:val="center"/>
            </w:pPr>
            <w:r>
              <w:t>管道收集后经水喷淋+二级活性炭吸附装置处理后经15米高排气筒DA004高空排放</w:t>
            </w:r>
          </w:p>
        </w:tc>
        <w:tc>
          <w:tcPr>
            <w:tcW w:w="2424" w:type="pct"/>
            <w:vAlign w:val="center"/>
          </w:tcPr>
          <w:p>
            <w:pPr>
              <w:jc w:val="center"/>
              <w:rPr>
                <w:bCs/>
              </w:rPr>
            </w:pPr>
            <w:r>
              <w:rPr>
                <w:bCs/>
              </w:rPr>
              <w:t>广东省《固定污染源挥发性有机物综合排放标准》（DB44/2367-2022）表1挥发性有机物排放限值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406" w:type="pct"/>
            <w:vMerge w:val="continue"/>
            <w:vAlign w:val="center"/>
          </w:tcPr>
          <w:p>
            <w:pPr>
              <w:adjustRightInd w:val="0"/>
              <w:snapToGrid w:val="0"/>
              <w:jc w:val="center"/>
            </w:pPr>
          </w:p>
        </w:tc>
        <w:tc>
          <w:tcPr>
            <w:tcW w:w="331" w:type="pct"/>
            <w:vMerge w:val="restart"/>
            <w:vAlign w:val="center"/>
          </w:tcPr>
          <w:p>
            <w:pPr>
              <w:jc w:val="center"/>
              <w:rPr>
                <w:shd w:val="clear" w:color="auto" w:fill="FFFFFF"/>
              </w:rPr>
            </w:pPr>
            <w:r>
              <w:rPr>
                <w:shd w:val="clear" w:color="auto" w:fill="FFFFFF"/>
              </w:rPr>
              <w:t>无组织排放</w:t>
            </w:r>
          </w:p>
        </w:tc>
        <w:tc>
          <w:tcPr>
            <w:tcW w:w="280" w:type="pct"/>
            <w:vMerge w:val="restart"/>
            <w:vAlign w:val="center"/>
          </w:tcPr>
          <w:p>
            <w:pPr>
              <w:jc w:val="center"/>
              <w:rPr>
                <w:shd w:val="clear" w:color="auto" w:fill="FFFFFF"/>
              </w:rPr>
            </w:pPr>
            <w:r>
              <w:rPr>
                <w:shd w:val="clear" w:color="auto" w:fill="FFFFFF"/>
              </w:rPr>
              <w:t>厂界</w:t>
            </w:r>
          </w:p>
        </w:tc>
        <w:tc>
          <w:tcPr>
            <w:tcW w:w="472" w:type="pct"/>
            <w:vAlign w:val="center"/>
          </w:tcPr>
          <w:p>
            <w:pPr>
              <w:pStyle w:val="469"/>
              <w:adjustRightInd/>
              <w:spacing w:before="120" w:after="120"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颗粒物</w:t>
            </w:r>
          </w:p>
        </w:tc>
        <w:tc>
          <w:tcPr>
            <w:tcW w:w="1085" w:type="pct"/>
            <w:vAlign w:val="center"/>
          </w:tcPr>
          <w:p>
            <w:pPr>
              <w:snapToGrid w:val="0"/>
              <w:jc w:val="center"/>
            </w:pPr>
            <w:r>
              <w:t>提高工序密闭性，加强车间通风换气</w:t>
            </w:r>
          </w:p>
        </w:tc>
        <w:tc>
          <w:tcPr>
            <w:tcW w:w="2424" w:type="pct"/>
            <w:vAlign w:val="center"/>
          </w:tcPr>
          <w:p>
            <w:pPr>
              <w:pStyle w:val="2"/>
              <w:rPr>
                <w:rFonts w:ascii="Times New Roman" w:hAnsi="Times New Roman" w:cs="Times New Roman"/>
                <w:color w:val="auto"/>
              </w:rPr>
            </w:pPr>
            <w:r>
              <w:rPr>
                <w:rFonts w:ascii="Times New Roman" w:hAnsi="Times New Roman" w:cs="Times New Roman"/>
                <w:bCs/>
                <w:color w:val="auto"/>
                <w:sz w:val="21"/>
                <w:szCs w:val="21"/>
              </w:rPr>
              <w:t>广东省《大气污染物排放限值》（DB44/27-2001）第二时段无组织排放监控浓度限值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51" w:hRule="atLeast"/>
          <w:jc w:val="center"/>
        </w:trPr>
        <w:tc>
          <w:tcPr>
            <w:tcW w:w="406" w:type="pct"/>
            <w:vMerge w:val="continue"/>
            <w:vAlign w:val="center"/>
          </w:tcPr>
          <w:p>
            <w:pPr>
              <w:adjustRightInd w:val="0"/>
              <w:snapToGrid w:val="0"/>
              <w:jc w:val="center"/>
            </w:pPr>
          </w:p>
        </w:tc>
        <w:tc>
          <w:tcPr>
            <w:tcW w:w="331" w:type="pct"/>
            <w:vMerge w:val="continue"/>
            <w:vAlign w:val="center"/>
          </w:tcPr>
          <w:p>
            <w:pPr>
              <w:jc w:val="center"/>
              <w:rPr>
                <w:shd w:val="clear" w:color="auto" w:fill="FFFFFF"/>
              </w:rPr>
            </w:pPr>
          </w:p>
        </w:tc>
        <w:tc>
          <w:tcPr>
            <w:tcW w:w="280" w:type="pct"/>
            <w:vMerge w:val="continue"/>
            <w:vAlign w:val="center"/>
          </w:tcPr>
          <w:p>
            <w:pPr>
              <w:jc w:val="center"/>
              <w:rPr>
                <w:shd w:val="clear" w:color="auto" w:fill="FFFFFF"/>
              </w:rPr>
            </w:pPr>
          </w:p>
        </w:tc>
        <w:tc>
          <w:tcPr>
            <w:tcW w:w="472" w:type="pct"/>
            <w:vAlign w:val="center"/>
          </w:tcPr>
          <w:p>
            <w:pPr>
              <w:pStyle w:val="469"/>
              <w:adjustRightInd/>
              <w:spacing w:before="120" w:after="120"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总VOCs</w:t>
            </w:r>
          </w:p>
        </w:tc>
        <w:tc>
          <w:tcPr>
            <w:tcW w:w="1085" w:type="pct"/>
            <w:vAlign w:val="center"/>
          </w:tcPr>
          <w:p>
            <w:pPr>
              <w:snapToGrid w:val="0"/>
              <w:jc w:val="center"/>
            </w:pPr>
            <w:r>
              <w:t>提高工序密闭性，加强车间通风换气</w:t>
            </w:r>
          </w:p>
        </w:tc>
        <w:tc>
          <w:tcPr>
            <w:tcW w:w="2424" w:type="pct"/>
            <w:vAlign w:val="center"/>
          </w:tcPr>
          <w:p>
            <w:pPr>
              <w:pStyle w:val="2"/>
              <w:rPr>
                <w:rFonts w:ascii="Times New Roman" w:hAnsi="Times New Roman" w:cs="Times New Roman"/>
                <w:bCs/>
                <w:color w:val="auto"/>
                <w:sz w:val="21"/>
                <w:szCs w:val="21"/>
              </w:rPr>
            </w:pPr>
            <w:r>
              <w:rPr>
                <w:rFonts w:ascii="Times New Roman" w:hAnsi="Times New Roman" w:cs="Times New Roman"/>
                <w:bCs/>
                <w:color w:val="auto"/>
                <w:sz w:val="21"/>
                <w:szCs w:val="21"/>
              </w:rPr>
              <w:t>广东省《家具制造行业挥发性有机化合物排放标准》（DB44/814-2010）无组织排放监控点浓度限值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406" w:type="pct"/>
            <w:vMerge w:val="continue"/>
            <w:vAlign w:val="center"/>
          </w:tcPr>
          <w:p>
            <w:pPr>
              <w:adjustRightInd w:val="0"/>
              <w:snapToGrid w:val="0"/>
              <w:jc w:val="center"/>
            </w:pPr>
          </w:p>
        </w:tc>
        <w:tc>
          <w:tcPr>
            <w:tcW w:w="331" w:type="pct"/>
            <w:vMerge w:val="continue"/>
            <w:vAlign w:val="center"/>
          </w:tcPr>
          <w:p>
            <w:pPr>
              <w:jc w:val="center"/>
              <w:rPr>
                <w:shd w:val="clear" w:color="auto" w:fill="FFFFFF"/>
              </w:rPr>
            </w:pPr>
          </w:p>
        </w:tc>
        <w:tc>
          <w:tcPr>
            <w:tcW w:w="280" w:type="pct"/>
            <w:vMerge w:val="restart"/>
            <w:vAlign w:val="center"/>
          </w:tcPr>
          <w:p>
            <w:pPr>
              <w:jc w:val="center"/>
              <w:rPr>
                <w:shd w:val="clear" w:color="auto" w:fill="FFFFFF"/>
              </w:rPr>
            </w:pPr>
            <w:r>
              <w:rPr>
                <w:shd w:val="clear" w:color="auto" w:fill="FFFFFF"/>
              </w:rPr>
              <w:t>厂区内</w:t>
            </w:r>
          </w:p>
        </w:tc>
        <w:tc>
          <w:tcPr>
            <w:tcW w:w="472" w:type="pct"/>
            <w:vAlign w:val="center"/>
          </w:tcPr>
          <w:p>
            <w:pPr>
              <w:pStyle w:val="469"/>
              <w:adjustRightInd/>
              <w:spacing w:before="120" w:after="120" w:line="240" w:lineRule="auto"/>
              <w:rPr>
                <w:rFonts w:ascii="Times New Roman" w:hAnsi="Times New Roman" w:eastAsia="宋体" w:cs="Times New Roman"/>
                <w:sz w:val="21"/>
                <w:szCs w:val="21"/>
              </w:rPr>
            </w:pPr>
            <w:r>
              <w:rPr>
                <w:rFonts w:ascii="Times New Roman" w:hAnsi="Times New Roman" w:eastAsia="宋体" w:cs="Times New Roman"/>
                <w:sz w:val="21"/>
                <w:szCs w:val="21"/>
              </w:rPr>
              <w:t>NMHC</w:t>
            </w:r>
          </w:p>
        </w:tc>
        <w:tc>
          <w:tcPr>
            <w:tcW w:w="1085" w:type="pct"/>
            <w:vMerge w:val="restart"/>
            <w:vAlign w:val="center"/>
          </w:tcPr>
          <w:p>
            <w:pPr>
              <w:snapToGrid w:val="0"/>
              <w:jc w:val="center"/>
            </w:pPr>
            <w:r>
              <w:t>提高工序密闭性，加强车间通风换气</w:t>
            </w:r>
          </w:p>
        </w:tc>
        <w:tc>
          <w:tcPr>
            <w:tcW w:w="2424" w:type="pct"/>
            <w:vAlign w:val="center"/>
          </w:tcPr>
          <w:p>
            <w:pPr>
              <w:pStyle w:val="2"/>
              <w:rPr>
                <w:rFonts w:ascii="Times New Roman" w:hAnsi="Times New Roman" w:cs="Times New Roman"/>
                <w:bCs/>
                <w:color w:val="auto"/>
                <w:sz w:val="21"/>
                <w:szCs w:val="21"/>
              </w:rPr>
            </w:pPr>
            <w:r>
              <w:rPr>
                <w:rFonts w:ascii="Times New Roman" w:hAnsi="Times New Roman" w:cs="Times New Roman"/>
                <w:bCs/>
                <w:color w:val="auto"/>
                <w:sz w:val="21"/>
                <w:szCs w:val="21"/>
              </w:rPr>
              <w:t>广东省《固定污染源挥发性有机物综合排放标准》（DB44/2367-2022）表3厂区内 VOCs 无组织排放限值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406" w:type="pct"/>
            <w:vMerge w:val="continue"/>
            <w:vAlign w:val="center"/>
          </w:tcPr>
          <w:p>
            <w:pPr>
              <w:adjustRightInd w:val="0"/>
              <w:snapToGrid w:val="0"/>
              <w:jc w:val="center"/>
            </w:pPr>
          </w:p>
        </w:tc>
        <w:tc>
          <w:tcPr>
            <w:tcW w:w="331" w:type="pct"/>
            <w:vMerge w:val="continue"/>
            <w:vAlign w:val="center"/>
          </w:tcPr>
          <w:p>
            <w:pPr>
              <w:jc w:val="center"/>
              <w:rPr>
                <w:shd w:val="clear" w:color="auto" w:fill="FFFFFF"/>
              </w:rPr>
            </w:pPr>
          </w:p>
        </w:tc>
        <w:tc>
          <w:tcPr>
            <w:tcW w:w="280" w:type="pct"/>
            <w:vMerge w:val="continue"/>
            <w:vAlign w:val="center"/>
          </w:tcPr>
          <w:p>
            <w:pPr>
              <w:jc w:val="center"/>
              <w:rPr>
                <w:shd w:val="clear" w:color="auto" w:fill="FFFFFF"/>
              </w:rPr>
            </w:pPr>
          </w:p>
        </w:tc>
        <w:tc>
          <w:tcPr>
            <w:tcW w:w="472" w:type="pct"/>
            <w:vAlign w:val="center"/>
          </w:tcPr>
          <w:p>
            <w:pPr>
              <w:pStyle w:val="469"/>
              <w:adjustRightInd/>
              <w:spacing w:before="120" w:after="120" w:line="240" w:lineRule="auto"/>
              <w:rPr>
                <w:rFonts w:ascii="Times New Roman" w:hAnsi="Times New Roman" w:eastAsia="宋体" w:cs="Times New Roman"/>
                <w:sz w:val="21"/>
                <w:szCs w:val="21"/>
              </w:rPr>
            </w:pPr>
            <w:r>
              <w:rPr>
                <w:rFonts w:ascii="Times New Roman" w:hAnsi="Times New Roman" w:eastAsia="宋体" w:cs="Times New Roman"/>
                <w:bCs/>
                <w:sz w:val="21"/>
                <w:szCs w:val="21"/>
                <w:lang w:eastAsia="zh-CN"/>
              </w:rPr>
              <w:t>颗粒物</w:t>
            </w:r>
          </w:p>
        </w:tc>
        <w:tc>
          <w:tcPr>
            <w:tcW w:w="1085" w:type="pct"/>
            <w:vMerge w:val="continue"/>
            <w:vAlign w:val="center"/>
          </w:tcPr>
          <w:p>
            <w:pPr>
              <w:snapToGrid w:val="0"/>
              <w:jc w:val="center"/>
            </w:pPr>
          </w:p>
        </w:tc>
        <w:tc>
          <w:tcPr>
            <w:tcW w:w="2424" w:type="pct"/>
            <w:vAlign w:val="center"/>
          </w:tcPr>
          <w:p>
            <w:pPr>
              <w:pStyle w:val="2"/>
              <w:rPr>
                <w:rFonts w:ascii="Times New Roman" w:hAnsi="Times New Roman" w:cs="Times New Roman"/>
                <w:bCs/>
                <w:color w:val="auto"/>
                <w:sz w:val="21"/>
                <w:szCs w:val="21"/>
              </w:rPr>
            </w:pPr>
            <w:r>
              <w:rPr>
                <w:rFonts w:ascii="Times New Roman" w:hAnsi="Times New Roman" w:cs="Times New Roman"/>
                <w:bCs/>
                <w:color w:val="auto"/>
                <w:sz w:val="21"/>
                <w:szCs w:val="21"/>
              </w:rPr>
              <w:t>《铸造工业大气污染物排放标准》（GB39726-2020）附录A标准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6" w:type="pct"/>
            <w:vMerge w:val="restart"/>
            <w:vAlign w:val="center"/>
          </w:tcPr>
          <w:p>
            <w:pPr>
              <w:adjustRightInd w:val="0"/>
              <w:snapToGrid w:val="0"/>
              <w:jc w:val="center"/>
            </w:pPr>
            <w:r>
              <w:t>地表水环境</w:t>
            </w:r>
          </w:p>
        </w:tc>
        <w:tc>
          <w:tcPr>
            <w:tcW w:w="611" w:type="pct"/>
            <w:gridSpan w:val="2"/>
            <w:vMerge w:val="restart"/>
            <w:vAlign w:val="center"/>
          </w:tcPr>
          <w:p>
            <w:pPr>
              <w:snapToGrid w:val="0"/>
              <w:jc w:val="center"/>
              <w:rPr>
                <w:bCs/>
              </w:rPr>
            </w:pPr>
            <w:r>
              <w:rPr>
                <w:bCs/>
              </w:rPr>
              <w:t>生活污水</w:t>
            </w:r>
          </w:p>
        </w:tc>
        <w:tc>
          <w:tcPr>
            <w:tcW w:w="472" w:type="pct"/>
            <w:vAlign w:val="center"/>
          </w:tcPr>
          <w:p>
            <w:pPr>
              <w:snapToGrid w:val="0"/>
              <w:jc w:val="center"/>
            </w:pPr>
            <w:r>
              <w:rPr>
                <w:bCs/>
              </w:rPr>
              <w:t>COD</w:t>
            </w:r>
            <w:r>
              <w:rPr>
                <w:bCs/>
                <w:vertAlign w:val="subscript"/>
              </w:rPr>
              <w:t>Cr</w:t>
            </w:r>
          </w:p>
        </w:tc>
        <w:tc>
          <w:tcPr>
            <w:tcW w:w="1085" w:type="pct"/>
            <w:vMerge w:val="restart"/>
            <w:vAlign w:val="center"/>
          </w:tcPr>
          <w:p>
            <w:pPr>
              <w:adjustRightInd w:val="0"/>
              <w:snapToGrid w:val="0"/>
              <w:jc w:val="center"/>
            </w:pPr>
            <w:r>
              <w:t>经隔油隔渣池、三级化粪池预处理后经市政管网排入园洲镇第三污水处理厂处理</w:t>
            </w:r>
          </w:p>
        </w:tc>
        <w:tc>
          <w:tcPr>
            <w:tcW w:w="2424" w:type="pct"/>
            <w:vMerge w:val="restart"/>
            <w:vAlign w:val="center"/>
          </w:tcPr>
          <w:p>
            <w:pPr>
              <w:adjustRightInd w:val="0"/>
              <w:snapToGrid w:val="0"/>
              <w:jc w:val="center"/>
            </w:pPr>
            <w:r>
              <w:rPr>
                <w:spacing w:val="-1"/>
                <w:position w:val="-1"/>
              </w:rPr>
              <w:t>《城镇污水处理厂污染物排放标准》（GB18918-2002）一级A标准和《水污染物排放限值》（DB44/26-2001）中第二时段一级标准</w:t>
            </w:r>
            <w:r>
              <w:t>较严值</w:t>
            </w:r>
            <w:r>
              <w:rPr>
                <w:spacing w:val="-1"/>
                <w:position w:val="-1"/>
              </w:rPr>
              <w:t>（</w:t>
            </w:r>
            <w:r>
              <w:t>氨氮、总磷指标达到</w:t>
            </w:r>
            <w:r>
              <w:rPr>
                <w:rFonts w:ascii="宋体" w:hAnsi="宋体"/>
              </w:rPr>
              <w:t>Ⅴ</w:t>
            </w:r>
            <w:r>
              <w:t>类地表水标准</w:t>
            </w:r>
            <w:r>
              <w:rPr>
                <w:spacing w:val="-1"/>
                <w:position w:val="-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6" w:type="pct"/>
            <w:vMerge w:val="continue"/>
            <w:vAlign w:val="center"/>
          </w:tcPr>
          <w:p>
            <w:pPr>
              <w:snapToGrid w:val="0"/>
              <w:jc w:val="center"/>
            </w:pPr>
          </w:p>
        </w:tc>
        <w:tc>
          <w:tcPr>
            <w:tcW w:w="611" w:type="pct"/>
            <w:gridSpan w:val="2"/>
            <w:vMerge w:val="continue"/>
            <w:vAlign w:val="center"/>
          </w:tcPr>
          <w:p>
            <w:pPr>
              <w:snapToGrid w:val="0"/>
              <w:jc w:val="center"/>
            </w:pPr>
          </w:p>
        </w:tc>
        <w:tc>
          <w:tcPr>
            <w:tcW w:w="472" w:type="pct"/>
            <w:vAlign w:val="center"/>
          </w:tcPr>
          <w:p>
            <w:pPr>
              <w:snapToGrid w:val="0"/>
              <w:jc w:val="center"/>
            </w:pPr>
            <w:r>
              <w:rPr>
                <w:bCs/>
              </w:rPr>
              <w:t>BOD</w:t>
            </w:r>
            <w:r>
              <w:rPr>
                <w:bCs/>
                <w:vertAlign w:val="subscript"/>
              </w:rPr>
              <w:t>5</w:t>
            </w:r>
          </w:p>
        </w:tc>
        <w:tc>
          <w:tcPr>
            <w:tcW w:w="1085" w:type="pct"/>
            <w:vMerge w:val="continue"/>
            <w:vAlign w:val="center"/>
          </w:tcPr>
          <w:p>
            <w:pPr>
              <w:snapToGrid w:val="0"/>
              <w:jc w:val="center"/>
            </w:pPr>
          </w:p>
        </w:tc>
        <w:tc>
          <w:tcPr>
            <w:tcW w:w="2424" w:type="pct"/>
            <w:vMerge w:val="continue"/>
            <w:vAlign w:val="center"/>
          </w:tcPr>
          <w:p>
            <w:pPr>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6" w:type="pct"/>
            <w:vMerge w:val="continue"/>
            <w:vAlign w:val="center"/>
          </w:tcPr>
          <w:p>
            <w:pPr>
              <w:snapToGrid w:val="0"/>
              <w:jc w:val="center"/>
            </w:pPr>
          </w:p>
        </w:tc>
        <w:tc>
          <w:tcPr>
            <w:tcW w:w="611" w:type="pct"/>
            <w:gridSpan w:val="2"/>
            <w:vMerge w:val="continue"/>
            <w:vAlign w:val="center"/>
          </w:tcPr>
          <w:p>
            <w:pPr>
              <w:snapToGrid w:val="0"/>
              <w:jc w:val="center"/>
            </w:pPr>
          </w:p>
        </w:tc>
        <w:tc>
          <w:tcPr>
            <w:tcW w:w="472" w:type="pct"/>
            <w:vAlign w:val="center"/>
          </w:tcPr>
          <w:p>
            <w:pPr>
              <w:snapToGrid w:val="0"/>
              <w:jc w:val="center"/>
            </w:pPr>
            <w:r>
              <w:rPr>
                <w:bCs/>
              </w:rPr>
              <w:t>SS</w:t>
            </w:r>
          </w:p>
        </w:tc>
        <w:tc>
          <w:tcPr>
            <w:tcW w:w="1085" w:type="pct"/>
            <w:vMerge w:val="continue"/>
            <w:vAlign w:val="center"/>
          </w:tcPr>
          <w:p>
            <w:pPr>
              <w:snapToGrid w:val="0"/>
              <w:jc w:val="center"/>
            </w:pPr>
          </w:p>
        </w:tc>
        <w:tc>
          <w:tcPr>
            <w:tcW w:w="2424" w:type="pct"/>
            <w:vMerge w:val="continue"/>
            <w:vAlign w:val="center"/>
          </w:tcPr>
          <w:p>
            <w:pPr>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6" w:type="pct"/>
            <w:vMerge w:val="continue"/>
            <w:vAlign w:val="center"/>
          </w:tcPr>
          <w:p>
            <w:pPr>
              <w:snapToGrid w:val="0"/>
              <w:jc w:val="center"/>
            </w:pPr>
          </w:p>
        </w:tc>
        <w:tc>
          <w:tcPr>
            <w:tcW w:w="611" w:type="pct"/>
            <w:gridSpan w:val="2"/>
            <w:vMerge w:val="continue"/>
            <w:vAlign w:val="center"/>
          </w:tcPr>
          <w:p>
            <w:pPr>
              <w:snapToGrid w:val="0"/>
              <w:jc w:val="center"/>
            </w:pPr>
          </w:p>
        </w:tc>
        <w:tc>
          <w:tcPr>
            <w:tcW w:w="472" w:type="pct"/>
            <w:vAlign w:val="center"/>
          </w:tcPr>
          <w:p>
            <w:pPr>
              <w:snapToGrid w:val="0"/>
              <w:jc w:val="center"/>
            </w:pPr>
            <w:r>
              <w:rPr>
                <w:bCs/>
              </w:rPr>
              <w:t>氨氮</w:t>
            </w:r>
          </w:p>
        </w:tc>
        <w:tc>
          <w:tcPr>
            <w:tcW w:w="1085" w:type="pct"/>
            <w:vMerge w:val="continue"/>
            <w:vAlign w:val="center"/>
          </w:tcPr>
          <w:p>
            <w:pPr>
              <w:snapToGrid w:val="0"/>
              <w:jc w:val="center"/>
            </w:pPr>
          </w:p>
        </w:tc>
        <w:tc>
          <w:tcPr>
            <w:tcW w:w="2424" w:type="pct"/>
            <w:vMerge w:val="continue"/>
            <w:vAlign w:val="center"/>
          </w:tcPr>
          <w:p>
            <w:pPr>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95" w:hRule="atLeast"/>
          <w:jc w:val="center"/>
        </w:trPr>
        <w:tc>
          <w:tcPr>
            <w:tcW w:w="406" w:type="pct"/>
            <w:vMerge w:val="continue"/>
            <w:vAlign w:val="center"/>
          </w:tcPr>
          <w:p>
            <w:pPr>
              <w:snapToGrid w:val="0"/>
              <w:jc w:val="center"/>
            </w:pPr>
          </w:p>
        </w:tc>
        <w:tc>
          <w:tcPr>
            <w:tcW w:w="611" w:type="pct"/>
            <w:gridSpan w:val="2"/>
            <w:vMerge w:val="continue"/>
            <w:vAlign w:val="center"/>
          </w:tcPr>
          <w:p>
            <w:pPr>
              <w:snapToGrid w:val="0"/>
              <w:jc w:val="center"/>
            </w:pPr>
          </w:p>
        </w:tc>
        <w:tc>
          <w:tcPr>
            <w:tcW w:w="472" w:type="pct"/>
            <w:vAlign w:val="center"/>
          </w:tcPr>
          <w:p>
            <w:pPr>
              <w:snapToGrid w:val="0"/>
              <w:jc w:val="center"/>
            </w:pPr>
            <w:r>
              <w:rPr>
                <w:bCs/>
              </w:rPr>
              <w:t>TP</w:t>
            </w:r>
          </w:p>
        </w:tc>
        <w:tc>
          <w:tcPr>
            <w:tcW w:w="1085" w:type="pct"/>
            <w:vMerge w:val="continue"/>
            <w:vAlign w:val="center"/>
          </w:tcPr>
          <w:p>
            <w:pPr>
              <w:snapToGrid w:val="0"/>
              <w:jc w:val="center"/>
            </w:pPr>
          </w:p>
        </w:tc>
        <w:tc>
          <w:tcPr>
            <w:tcW w:w="2424" w:type="pct"/>
            <w:vMerge w:val="continue"/>
            <w:vAlign w:val="center"/>
          </w:tcPr>
          <w:p>
            <w:pPr>
              <w:snapToGrid w:val="0"/>
              <w:jc w:val="cente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37" w:hRule="atLeast"/>
          <w:jc w:val="center"/>
        </w:trPr>
        <w:tc>
          <w:tcPr>
            <w:tcW w:w="406" w:type="pct"/>
            <w:vAlign w:val="center"/>
          </w:tcPr>
          <w:p>
            <w:pPr>
              <w:adjustRightInd w:val="0"/>
              <w:snapToGrid w:val="0"/>
              <w:jc w:val="center"/>
            </w:pPr>
            <w:r>
              <w:t>声环境</w:t>
            </w:r>
          </w:p>
        </w:tc>
        <w:tc>
          <w:tcPr>
            <w:tcW w:w="611" w:type="pct"/>
            <w:gridSpan w:val="2"/>
            <w:vAlign w:val="center"/>
          </w:tcPr>
          <w:p>
            <w:pPr>
              <w:snapToGrid w:val="0"/>
              <w:jc w:val="center"/>
            </w:pPr>
            <w:r>
              <w:t>机械设备</w:t>
            </w:r>
          </w:p>
        </w:tc>
        <w:tc>
          <w:tcPr>
            <w:tcW w:w="472" w:type="pct"/>
            <w:vAlign w:val="center"/>
          </w:tcPr>
          <w:p>
            <w:pPr>
              <w:snapToGrid w:val="0"/>
              <w:jc w:val="center"/>
            </w:pPr>
            <w:r>
              <w:t>噪声</w:t>
            </w:r>
          </w:p>
        </w:tc>
        <w:tc>
          <w:tcPr>
            <w:tcW w:w="1085" w:type="pct"/>
            <w:vAlign w:val="center"/>
          </w:tcPr>
          <w:p>
            <w:pPr>
              <w:snapToGrid w:val="0"/>
              <w:jc w:val="center"/>
            </w:pPr>
            <w:r>
              <w:t>采取优化布局、设备合理布置、隔音和减振等措施</w:t>
            </w:r>
          </w:p>
        </w:tc>
        <w:tc>
          <w:tcPr>
            <w:tcW w:w="2424" w:type="pct"/>
            <w:vAlign w:val="center"/>
          </w:tcPr>
          <w:p>
            <w:pPr>
              <w:snapToGrid w:val="0"/>
              <w:jc w:val="center"/>
            </w:pPr>
            <w:r>
              <w:t>《工业企业厂界环境噪声排放标准》(GB12348-2008)中2类标准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3" w:hRule="atLeast"/>
          <w:jc w:val="center"/>
        </w:trPr>
        <w:tc>
          <w:tcPr>
            <w:tcW w:w="406" w:type="pct"/>
            <w:vAlign w:val="center"/>
          </w:tcPr>
          <w:p>
            <w:pPr>
              <w:adjustRightInd w:val="0"/>
              <w:snapToGrid w:val="0"/>
              <w:jc w:val="center"/>
            </w:pPr>
            <w:r>
              <w:t>电磁辐射</w:t>
            </w:r>
          </w:p>
        </w:tc>
        <w:tc>
          <w:tcPr>
            <w:tcW w:w="611" w:type="pct"/>
            <w:gridSpan w:val="2"/>
            <w:vAlign w:val="center"/>
          </w:tcPr>
          <w:p>
            <w:pPr>
              <w:adjustRightInd w:val="0"/>
              <w:snapToGrid w:val="0"/>
              <w:jc w:val="center"/>
            </w:pPr>
            <w:r>
              <w:t>/</w:t>
            </w:r>
          </w:p>
        </w:tc>
        <w:tc>
          <w:tcPr>
            <w:tcW w:w="472" w:type="pct"/>
            <w:vAlign w:val="center"/>
          </w:tcPr>
          <w:p>
            <w:pPr>
              <w:adjustRightInd w:val="0"/>
              <w:snapToGrid w:val="0"/>
              <w:jc w:val="center"/>
            </w:pPr>
            <w:r>
              <w:t>/</w:t>
            </w:r>
          </w:p>
        </w:tc>
        <w:tc>
          <w:tcPr>
            <w:tcW w:w="1085" w:type="pct"/>
            <w:vAlign w:val="center"/>
          </w:tcPr>
          <w:p>
            <w:pPr>
              <w:adjustRightInd w:val="0"/>
              <w:snapToGrid w:val="0"/>
              <w:jc w:val="center"/>
            </w:pPr>
            <w:r>
              <w:t>/</w:t>
            </w:r>
          </w:p>
        </w:tc>
        <w:tc>
          <w:tcPr>
            <w:tcW w:w="2424" w:type="pct"/>
            <w:vAlign w:val="center"/>
          </w:tcPr>
          <w:p>
            <w:pPr>
              <w:adjustRightInd w:val="0"/>
              <w:snapToGrid w:val="0"/>
              <w:jc w:val="center"/>
            </w:pPr>
            <w: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29" w:hRule="atLeast"/>
          <w:jc w:val="center"/>
        </w:trPr>
        <w:tc>
          <w:tcPr>
            <w:tcW w:w="406" w:type="pct"/>
            <w:vAlign w:val="center"/>
          </w:tcPr>
          <w:p>
            <w:pPr>
              <w:adjustRightInd w:val="0"/>
              <w:snapToGrid w:val="0"/>
              <w:jc w:val="center"/>
            </w:pPr>
            <w:r>
              <w:t>固体废物</w:t>
            </w:r>
          </w:p>
        </w:tc>
        <w:tc>
          <w:tcPr>
            <w:tcW w:w="4593" w:type="pct"/>
            <w:gridSpan w:val="5"/>
            <w:vAlign w:val="center"/>
          </w:tcPr>
          <w:p>
            <w:pPr>
              <w:adjustRightInd w:val="0"/>
              <w:snapToGrid w:val="0"/>
              <w:jc w:val="center"/>
            </w:pPr>
            <w:r>
              <w:t>项目产生的生活垃圾交由环卫部门统一清运处理；布袋除尘器收集粉尘、金属碎屑、锌合金渣收集后交由专业公司回收处理；铝合金渣</w:t>
            </w:r>
            <w:r>
              <w:rPr>
                <w:rFonts w:hint="eastAsia"/>
              </w:rPr>
              <w:t>、</w:t>
            </w:r>
            <w:r>
              <w:t>废活性炭、废</w:t>
            </w:r>
            <w:r>
              <w:rPr>
                <w:rFonts w:hint="eastAsia"/>
              </w:rPr>
              <w:t>液压油</w:t>
            </w:r>
            <w:r>
              <w:t>、</w:t>
            </w:r>
            <w:r>
              <w:rPr>
                <w:bCs/>
                <w:lang w:bidi="en-US"/>
              </w:rPr>
              <w:t>废切削液、含切削液碎屑、喷淋废水、喷淋沉渣、废抹布和废手套</w:t>
            </w:r>
            <w:r>
              <w:t>分类收集后交由有危险废物处理资质单位处置。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6" w:type="pct"/>
            <w:vAlign w:val="center"/>
          </w:tcPr>
          <w:p>
            <w:pPr>
              <w:adjustRightInd w:val="0"/>
              <w:snapToGrid w:val="0"/>
              <w:jc w:val="center"/>
            </w:pPr>
            <w:r>
              <w:t>土壤及地下水污染防治措施</w:t>
            </w:r>
          </w:p>
        </w:tc>
        <w:tc>
          <w:tcPr>
            <w:tcW w:w="4593" w:type="pct"/>
            <w:gridSpan w:val="5"/>
            <w:vAlign w:val="center"/>
          </w:tcPr>
          <w:p>
            <w:pPr>
              <w:adjustRightInd w:val="0"/>
              <w:snapToGrid w:val="0"/>
              <w:jc w:val="center"/>
            </w:pPr>
            <w:r>
              <w:t>厂区内应进行硬底化处理，按要求做好防渗措施；生产车间按一般防渗区要求采取防渗措施。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406" w:type="pct"/>
            <w:vAlign w:val="center"/>
          </w:tcPr>
          <w:p>
            <w:pPr>
              <w:adjustRightInd w:val="0"/>
              <w:snapToGrid w:val="0"/>
              <w:jc w:val="center"/>
            </w:pPr>
            <w:r>
              <w:t>生态保护措施</w:t>
            </w:r>
          </w:p>
        </w:tc>
        <w:tc>
          <w:tcPr>
            <w:tcW w:w="4593" w:type="pct"/>
            <w:gridSpan w:val="5"/>
            <w:vAlign w:val="center"/>
          </w:tcPr>
          <w:p>
            <w:pPr>
              <w:adjustRightInd w:val="0"/>
              <w:snapToGrid w:val="0"/>
              <w:jc w:val="center"/>
            </w:pPr>
            <w:r>
              <w:t>不涉及</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06" w:type="pct"/>
            <w:vAlign w:val="center"/>
          </w:tcPr>
          <w:p>
            <w:pPr>
              <w:adjustRightInd w:val="0"/>
              <w:snapToGrid w:val="0"/>
              <w:jc w:val="center"/>
              <w:rPr>
                <w:spacing w:val="-8"/>
              </w:rPr>
            </w:pPr>
            <w:r>
              <w:rPr>
                <w:spacing w:val="-8"/>
              </w:rPr>
              <w:t>环境风险</w:t>
            </w:r>
          </w:p>
          <w:p>
            <w:pPr>
              <w:adjustRightInd w:val="0"/>
              <w:snapToGrid w:val="0"/>
              <w:jc w:val="center"/>
              <w:rPr>
                <w:spacing w:val="-8"/>
              </w:rPr>
            </w:pPr>
            <w:r>
              <w:rPr>
                <w:spacing w:val="-8"/>
              </w:rPr>
              <w:t>防范措施</w:t>
            </w:r>
          </w:p>
        </w:tc>
        <w:tc>
          <w:tcPr>
            <w:tcW w:w="4593" w:type="pct"/>
            <w:gridSpan w:val="5"/>
            <w:vAlign w:val="center"/>
          </w:tcPr>
          <w:p>
            <w:pPr>
              <w:adjustRightInd w:val="0"/>
              <w:snapToGrid w:val="0"/>
            </w:pPr>
            <w:r>
              <w:t>强化防火主观意识、建立健全防火安全规章制度并严格执行、消除着火源、包装材料的贮存要符合消防安全要求。防范火灾环境事故的发生。强化安全生产及环境保护意识的教育，提高职工的素质，加强操作人员的上岗前的培训，进行安全生产、消防、环保、工业卫生等方面的技术培训教育；定期检查安全消防设施的完好性，确保其处于即用状态，以备在事故发生时，能及时、高效率的发挥作用；定期维护废气、废水治理设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17" w:hRule="atLeast"/>
          <w:jc w:val="center"/>
        </w:trPr>
        <w:tc>
          <w:tcPr>
            <w:tcW w:w="406" w:type="pct"/>
            <w:vAlign w:val="center"/>
          </w:tcPr>
          <w:p>
            <w:pPr>
              <w:adjustRightInd w:val="0"/>
              <w:snapToGrid w:val="0"/>
              <w:jc w:val="center"/>
              <w:rPr>
                <w:spacing w:val="-8"/>
              </w:rPr>
            </w:pPr>
            <w:r>
              <w:rPr>
                <w:spacing w:val="-8"/>
              </w:rPr>
              <w:t>其他环境</w:t>
            </w:r>
          </w:p>
          <w:p>
            <w:pPr>
              <w:adjustRightInd w:val="0"/>
              <w:snapToGrid w:val="0"/>
              <w:jc w:val="center"/>
              <w:rPr>
                <w:spacing w:val="-8"/>
              </w:rPr>
            </w:pPr>
            <w:r>
              <w:rPr>
                <w:spacing w:val="-8"/>
              </w:rPr>
              <w:t>管理要求</w:t>
            </w:r>
          </w:p>
        </w:tc>
        <w:tc>
          <w:tcPr>
            <w:tcW w:w="4593" w:type="pct"/>
            <w:gridSpan w:val="5"/>
            <w:vAlign w:val="center"/>
          </w:tcPr>
          <w:p>
            <w:pPr>
              <w:adjustRightInd w:val="0"/>
              <w:snapToGrid w:val="0"/>
            </w:pPr>
            <w:r>
              <w:t>/</w:t>
            </w:r>
          </w:p>
        </w:tc>
      </w:tr>
    </w:tbl>
    <w:p>
      <w:pPr>
        <w:pStyle w:val="93"/>
        <w:jc w:val="center"/>
        <w:outlineLvl w:val="0"/>
        <w:rPr>
          <w:rFonts w:ascii="Times New Roman" w:hAnsi="Times New Roman"/>
          <w:snapToGrid w:val="0"/>
          <w:sz w:val="30"/>
          <w:szCs w:val="30"/>
        </w:rPr>
      </w:pPr>
      <w:r>
        <w:rPr>
          <w:rFonts w:ascii="Times New Roman" w:hAnsi="Times New Roman"/>
          <w:snapToGrid w:val="0"/>
          <w:color w:val="000000" w:themeColor="text1"/>
          <w14:textFill>
            <w14:solidFill>
              <w14:schemeClr w14:val="tx1"/>
            </w14:solidFill>
          </w14:textFill>
        </w:rPr>
        <w:br w:type="page"/>
      </w:r>
      <w:r>
        <w:rPr>
          <w:rFonts w:hint="eastAsia" w:ascii="Times New Roman" w:hAnsi="Times New Roman"/>
          <w:snapToGrid w:val="0"/>
          <w:sz w:val="30"/>
          <w:szCs w:val="30"/>
        </w:rPr>
        <w:t>六、结论</w:t>
      </w:r>
    </w:p>
    <w:tbl>
      <w:tblPr>
        <w:tblStyle w:val="10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96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991" w:hRule="atLeast"/>
          <w:jc w:val="center"/>
        </w:trPr>
        <w:tc>
          <w:tcPr>
            <w:tcW w:w="5000" w:type="pct"/>
            <w:vAlign w:val="center"/>
          </w:tcPr>
          <w:p>
            <w:pPr>
              <w:spacing w:line="360" w:lineRule="auto"/>
              <w:jc w:val="center"/>
              <w:rPr>
                <w:rFonts w:cs="宋体"/>
                <w:sz w:val="24"/>
              </w:rPr>
            </w:pPr>
            <w:r>
              <w:rPr>
                <w:rFonts w:hint="eastAsia" w:cs="宋体"/>
                <w:spacing w:val="-4"/>
              </w:rPr>
              <w:t>综上所述，该项目从环境保护角度分析是可行的。</w:t>
            </w:r>
          </w:p>
        </w:tc>
      </w:tr>
    </w:tbl>
    <w:p>
      <w:pPr>
        <w:rPr>
          <w:color w:val="000000" w:themeColor="text1"/>
          <w14:textFill>
            <w14:solidFill>
              <w14:schemeClr w14:val="tx1"/>
            </w14:solidFill>
          </w14:textFill>
        </w:rPr>
        <w:sectPr>
          <w:pgSz w:w="11906" w:h="16838"/>
          <w:pgMar w:top="1440" w:right="1080" w:bottom="1440" w:left="1080" w:header="851" w:footer="851" w:gutter="0"/>
          <w:cols w:space="720" w:num="1"/>
          <w:docGrid w:linePitch="312" w:charSpace="0"/>
        </w:sectPr>
      </w:pPr>
    </w:p>
    <w:p>
      <w:pPr>
        <w:pStyle w:val="93"/>
        <w:adjustRightInd w:val="0"/>
        <w:snapToGrid w:val="0"/>
        <w:spacing w:before="0" w:beforeAutospacing="0" w:after="0" w:afterAutospacing="0"/>
        <w:outlineLvl w:val="0"/>
        <w:rPr>
          <w:rFonts w:ascii="Times New Roman" w:hAnsi="Times New Roman"/>
          <w:snapToGrid w:val="0"/>
          <w:color w:val="000000" w:themeColor="text1"/>
          <w:sz w:val="32"/>
          <w:szCs w:val="32"/>
          <w14:textFill>
            <w14:solidFill>
              <w14:schemeClr w14:val="tx1"/>
            </w14:solidFill>
          </w14:textFill>
        </w:rPr>
      </w:pPr>
      <w:r>
        <w:rPr>
          <w:rFonts w:hint="eastAsia" w:ascii="Times New Roman" w:hAnsi="Times New Roman"/>
          <w:snapToGrid w:val="0"/>
          <w:color w:val="000000" w:themeColor="text1"/>
          <w:sz w:val="32"/>
          <w:szCs w:val="32"/>
          <w14:textFill>
            <w14:solidFill>
              <w14:schemeClr w14:val="tx1"/>
            </w14:solidFill>
          </w14:textFill>
        </w:rPr>
        <w:t>附表</w:t>
      </w:r>
    </w:p>
    <w:p>
      <w:pPr>
        <w:pStyle w:val="93"/>
        <w:adjustRightInd w:val="0"/>
        <w:snapToGrid w:val="0"/>
        <w:spacing w:before="0" w:beforeAutospacing="0" w:after="0" w:afterAutospacing="0"/>
        <w:jc w:val="center"/>
        <w:outlineLvl w:val="0"/>
        <w:rPr>
          <w:rFonts w:ascii="Times New Roman" w:hAnsi="Times New Roman"/>
          <w:snapToGrid w:val="0"/>
          <w:color w:val="000000" w:themeColor="text1"/>
          <w:sz w:val="38"/>
          <w:szCs w:val="38"/>
          <w14:textFill>
            <w14:solidFill>
              <w14:schemeClr w14:val="tx1"/>
            </w14:solidFill>
          </w14:textFill>
        </w:rPr>
      </w:pPr>
      <w:r>
        <w:rPr>
          <w:rFonts w:hint="eastAsia" w:ascii="Times New Roman" w:hAnsi="Times New Roman"/>
          <w:snapToGrid w:val="0"/>
          <w:color w:val="000000" w:themeColor="text1"/>
          <w:sz w:val="38"/>
          <w:szCs w:val="38"/>
          <w14:textFill>
            <w14:solidFill>
              <w14:schemeClr w14:val="tx1"/>
            </w14:solidFill>
          </w14:textFill>
        </w:rPr>
        <w:t>建设项目污染物排放量汇总表</w:t>
      </w:r>
    </w:p>
    <w:tbl>
      <w:tblPr>
        <w:tblStyle w:val="100"/>
        <w:tblW w:w="4997"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38"/>
        <w:gridCol w:w="866"/>
        <w:gridCol w:w="1579"/>
        <w:gridCol w:w="1376"/>
        <w:gridCol w:w="1124"/>
        <w:gridCol w:w="1730"/>
        <w:gridCol w:w="1585"/>
        <w:gridCol w:w="1646"/>
        <w:gridCol w:w="1620"/>
        <w:gridCol w:w="1811"/>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jc w:val="center"/>
        </w:trPr>
        <w:tc>
          <w:tcPr>
            <w:tcW w:w="393" w:type="pct"/>
            <w:tcBorders>
              <w:tl2br w:val="single" w:color="auto" w:sz="4" w:space="0"/>
            </w:tcBorders>
            <w:tcMar>
              <w:left w:w="28" w:type="dxa"/>
              <w:right w:w="28" w:type="dxa"/>
            </w:tcMar>
            <w:vAlign w:val="center"/>
          </w:tcPr>
          <w:p>
            <w:pPr>
              <w:pStyle w:val="197"/>
              <w:spacing w:beforeLines="0" w:afterLines="0" w:line="240" w:lineRule="auto"/>
              <w:jc w:val="right"/>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项目</w:t>
            </w:r>
          </w:p>
          <w:p>
            <w:pPr>
              <w:pStyle w:val="197"/>
              <w:spacing w:beforeLines="0" w:afterLines="0" w:line="240" w:lineRule="auto"/>
              <w:jc w:val="left"/>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分类</w:t>
            </w:r>
          </w:p>
        </w:tc>
        <w:tc>
          <w:tcPr>
            <w:tcW w:w="844" w:type="pct"/>
            <w:gridSpan w:val="2"/>
            <w:tcMar>
              <w:left w:w="28" w:type="dxa"/>
              <w:right w:w="28" w:type="dxa"/>
            </w:tcMar>
            <w:vAlign w:val="center"/>
          </w:tcPr>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污染物名称</w:t>
            </w:r>
          </w:p>
        </w:tc>
        <w:tc>
          <w:tcPr>
            <w:tcW w:w="475" w:type="pct"/>
            <w:tcMar>
              <w:left w:w="28" w:type="dxa"/>
              <w:right w:w="28" w:type="dxa"/>
            </w:tcMar>
            <w:vAlign w:val="center"/>
          </w:tcPr>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现有工程</w:t>
            </w:r>
          </w:p>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排放量（固体废物产生量）</w:t>
            </w:r>
            <w:r>
              <w:rPr>
                <w:rFonts w:ascii="Times New Roman" w:hAnsi="Times New Roman" w:eastAsia="宋体" w:cs="Times New Roman"/>
                <w:snapToGrid w:val="0"/>
                <w:spacing w:val="-6"/>
                <w:kern w:val="21"/>
                <w:szCs w:val="21"/>
              </w:rPr>
              <w:fldChar w:fldCharType="begin"/>
            </w:r>
            <w:r>
              <w:rPr>
                <w:rFonts w:ascii="Times New Roman" w:hAnsi="Times New Roman" w:eastAsia="宋体" w:cs="Times New Roman"/>
                <w:snapToGrid w:val="0"/>
                <w:spacing w:val="-6"/>
                <w:kern w:val="21"/>
                <w:szCs w:val="21"/>
              </w:rPr>
              <w:instrText xml:space="preserve"> = 1 \* GB3 \* MERGEFORMAT </w:instrText>
            </w:r>
            <w:r>
              <w:rPr>
                <w:rFonts w:ascii="Times New Roman" w:hAnsi="Times New Roman" w:eastAsia="宋体" w:cs="Times New Roman"/>
                <w:snapToGrid w:val="0"/>
                <w:spacing w:val="-6"/>
                <w:kern w:val="21"/>
                <w:szCs w:val="21"/>
              </w:rPr>
              <w:fldChar w:fldCharType="separate"/>
            </w:r>
            <w:r>
              <w:rPr>
                <w:rFonts w:ascii="Times New Roman" w:hAnsi="Times New Roman" w:eastAsia="宋体" w:cs="Times New Roman"/>
                <w:szCs w:val="21"/>
              </w:rPr>
              <w:t>①</w:t>
            </w:r>
            <w:r>
              <w:rPr>
                <w:rFonts w:ascii="Times New Roman" w:hAnsi="Times New Roman" w:eastAsia="宋体" w:cs="Times New Roman"/>
                <w:snapToGrid w:val="0"/>
                <w:spacing w:val="-6"/>
                <w:kern w:val="21"/>
                <w:szCs w:val="21"/>
              </w:rPr>
              <w:fldChar w:fldCharType="end"/>
            </w:r>
          </w:p>
        </w:tc>
        <w:tc>
          <w:tcPr>
            <w:tcW w:w="388" w:type="pct"/>
            <w:tcMar>
              <w:left w:w="28" w:type="dxa"/>
              <w:right w:w="28" w:type="dxa"/>
            </w:tcMar>
            <w:vAlign w:val="center"/>
          </w:tcPr>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现有工程</w:t>
            </w:r>
          </w:p>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许可排放量</w:t>
            </w:r>
          </w:p>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fldChar w:fldCharType="begin"/>
            </w:r>
            <w:r>
              <w:rPr>
                <w:rFonts w:ascii="Times New Roman" w:hAnsi="Times New Roman" w:eastAsia="宋体" w:cs="Times New Roman"/>
                <w:snapToGrid w:val="0"/>
                <w:spacing w:val="-6"/>
                <w:kern w:val="21"/>
                <w:szCs w:val="21"/>
              </w:rPr>
              <w:instrText xml:space="preserve"> = 2 \* GB3 \* MERGEFORMAT </w:instrText>
            </w:r>
            <w:r>
              <w:rPr>
                <w:rFonts w:ascii="Times New Roman" w:hAnsi="Times New Roman" w:eastAsia="宋体" w:cs="Times New Roman"/>
                <w:snapToGrid w:val="0"/>
                <w:spacing w:val="-6"/>
                <w:kern w:val="21"/>
                <w:szCs w:val="21"/>
              </w:rPr>
              <w:fldChar w:fldCharType="separate"/>
            </w:r>
            <w:r>
              <w:rPr>
                <w:rFonts w:ascii="Times New Roman" w:hAnsi="Times New Roman" w:eastAsia="宋体" w:cs="Times New Roman"/>
                <w:snapToGrid w:val="0"/>
                <w:spacing w:val="-6"/>
                <w:kern w:val="21"/>
                <w:szCs w:val="21"/>
              </w:rPr>
              <w:t>②</w:t>
            </w:r>
            <w:r>
              <w:rPr>
                <w:rFonts w:ascii="Times New Roman" w:hAnsi="Times New Roman" w:eastAsia="宋体" w:cs="Times New Roman"/>
                <w:snapToGrid w:val="0"/>
                <w:spacing w:val="-6"/>
                <w:kern w:val="21"/>
                <w:szCs w:val="21"/>
              </w:rPr>
              <w:fldChar w:fldCharType="end"/>
            </w:r>
          </w:p>
        </w:tc>
        <w:tc>
          <w:tcPr>
            <w:tcW w:w="597" w:type="pct"/>
            <w:tcMar>
              <w:left w:w="28" w:type="dxa"/>
              <w:right w:w="28" w:type="dxa"/>
            </w:tcMar>
            <w:vAlign w:val="center"/>
          </w:tcPr>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在建工程</w:t>
            </w:r>
          </w:p>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排放量（固体废物产生量）</w:t>
            </w:r>
            <w:r>
              <w:rPr>
                <w:rFonts w:ascii="Times New Roman" w:hAnsi="Times New Roman" w:eastAsia="宋体" w:cs="Times New Roman"/>
                <w:snapToGrid w:val="0"/>
                <w:spacing w:val="-6"/>
                <w:kern w:val="21"/>
                <w:szCs w:val="21"/>
              </w:rPr>
              <w:fldChar w:fldCharType="begin"/>
            </w:r>
            <w:r>
              <w:rPr>
                <w:rFonts w:ascii="Times New Roman" w:hAnsi="Times New Roman" w:eastAsia="宋体" w:cs="Times New Roman"/>
                <w:snapToGrid w:val="0"/>
                <w:spacing w:val="-6"/>
                <w:kern w:val="21"/>
                <w:szCs w:val="21"/>
              </w:rPr>
              <w:instrText xml:space="preserve"> = 3 \* GB3 \* MERGEFORMAT </w:instrText>
            </w:r>
            <w:r>
              <w:rPr>
                <w:rFonts w:ascii="Times New Roman" w:hAnsi="Times New Roman" w:eastAsia="宋体" w:cs="Times New Roman"/>
                <w:snapToGrid w:val="0"/>
                <w:spacing w:val="-6"/>
                <w:kern w:val="21"/>
                <w:szCs w:val="21"/>
              </w:rPr>
              <w:fldChar w:fldCharType="separate"/>
            </w:r>
            <w:r>
              <w:rPr>
                <w:rFonts w:ascii="Times New Roman" w:hAnsi="Times New Roman" w:eastAsia="宋体" w:cs="Times New Roman"/>
                <w:szCs w:val="21"/>
              </w:rPr>
              <w:t>③</w:t>
            </w:r>
            <w:r>
              <w:rPr>
                <w:rFonts w:ascii="Times New Roman" w:hAnsi="Times New Roman" w:eastAsia="宋体" w:cs="Times New Roman"/>
                <w:snapToGrid w:val="0"/>
                <w:spacing w:val="-6"/>
                <w:kern w:val="21"/>
                <w:szCs w:val="21"/>
              </w:rPr>
              <w:fldChar w:fldCharType="end"/>
            </w:r>
          </w:p>
        </w:tc>
        <w:tc>
          <w:tcPr>
            <w:tcW w:w="547" w:type="pct"/>
            <w:tcMar>
              <w:left w:w="28" w:type="dxa"/>
              <w:right w:w="28" w:type="dxa"/>
            </w:tcMar>
            <w:vAlign w:val="center"/>
          </w:tcPr>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项目</w:t>
            </w:r>
          </w:p>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排放量（固体废物产生量）</w:t>
            </w:r>
            <w:r>
              <w:rPr>
                <w:rFonts w:ascii="Times New Roman" w:hAnsi="Times New Roman" w:eastAsia="宋体" w:cs="Times New Roman"/>
                <w:snapToGrid w:val="0"/>
                <w:spacing w:val="-6"/>
                <w:kern w:val="21"/>
                <w:szCs w:val="21"/>
              </w:rPr>
              <w:fldChar w:fldCharType="begin"/>
            </w:r>
            <w:r>
              <w:rPr>
                <w:rFonts w:ascii="Times New Roman" w:hAnsi="Times New Roman" w:eastAsia="宋体" w:cs="Times New Roman"/>
                <w:snapToGrid w:val="0"/>
                <w:spacing w:val="-6"/>
                <w:kern w:val="21"/>
                <w:szCs w:val="21"/>
              </w:rPr>
              <w:instrText xml:space="preserve"> = 4 \* GB3 \* MERGEFORMAT </w:instrText>
            </w:r>
            <w:r>
              <w:rPr>
                <w:rFonts w:ascii="Times New Roman" w:hAnsi="Times New Roman" w:eastAsia="宋体" w:cs="Times New Roman"/>
                <w:snapToGrid w:val="0"/>
                <w:spacing w:val="-6"/>
                <w:kern w:val="21"/>
                <w:szCs w:val="21"/>
              </w:rPr>
              <w:fldChar w:fldCharType="separate"/>
            </w:r>
            <w:r>
              <w:rPr>
                <w:rFonts w:ascii="Times New Roman" w:hAnsi="Times New Roman" w:eastAsia="宋体" w:cs="Times New Roman"/>
                <w:szCs w:val="21"/>
              </w:rPr>
              <w:t>④</w:t>
            </w:r>
            <w:r>
              <w:rPr>
                <w:rFonts w:ascii="Times New Roman" w:hAnsi="Times New Roman" w:eastAsia="宋体" w:cs="Times New Roman"/>
                <w:snapToGrid w:val="0"/>
                <w:spacing w:val="-6"/>
                <w:kern w:val="21"/>
                <w:szCs w:val="21"/>
              </w:rPr>
              <w:fldChar w:fldCharType="end"/>
            </w:r>
          </w:p>
        </w:tc>
        <w:tc>
          <w:tcPr>
            <w:tcW w:w="568" w:type="pct"/>
            <w:tcMar>
              <w:left w:w="28" w:type="dxa"/>
              <w:right w:w="28" w:type="dxa"/>
            </w:tcMar>
            <w:vAlign w:val="center"/>
          </w:tcPr>
          <w:p>
            <w:pPr>
              <w:pStyle w:val="197"/>
              <w:spacing w:beforeLines="0" w:afterLines="0" w:line="240" w:lineRule="auto"/>
              <w:rPr>
                <w:rFonts w:ascii="Times New Roman" w:hAnsi="Times New Roman" w:eastAsia="宋体" w:cs="Times New Roman"/>
                <w:snapToGrid w:val="0"/>
                <w:spacing w:val="-16"/>
                <w:kern w:val="21"/>
                <w:szCs w:val="21"/>
              </w:rPr>
            </w:pPr>
            <w:r>
              <w:rPr>
                <w:rFonts w:ascii="Times New Roman" w:hAnsi="Times New Roman" w:eastAsia="宋体" w:cs="Times New Roman"/>
                <w:snapToGrid w:val="0"/>
                <w:spacing w:val="-16"/>
                <w:kern w:val="21"/>
                <w:szCs w:val="21"/>
              </w:rPr>
              <w:t>以新带老削减量</w:t>
            </w:r>
          </w:p>
          <w:p>
            <w:pPr>
              <w:pStyle w:val="197"/>
              <w:spacing w:beforeLines="0" w:afterLines="0" w:line="240" w:lineRule="auto"/>
              <w:rPr>
                <w:rFonts w:ascii="Times New Roman" w:hAnsi="Times New Roman" w:eastAsia="宋体" w:cs="Times New Roman"/>
                <w:snapToGrid w:val="0"/>
                <w:spacing w:val="-16"/>
                <w:kern w:val="21"/>
                <w:szCs w:val="21"/>
              </w:rPr>
            </w:pPr>
            <w:r>
              <w:rPr>
                <w:rFonts w:ascii="Times New Roman" w:hAnsi="Times New Roman" w:eastAsia="宋体" w:cs="Times New Roman"/>
                <w:snapToGrid w:val="0"/>
                <w:spacing w:val="-16"/>
                <w:kern w:val="21"/>
                <w:szCs w:val="21"/>
              </w:rPr>
              <w:t>（新建项目不填）</w:t>
            </w:r>
            <w:r>
              <w:rPr>
                <w:rFonts w:ascii="Times New Roman" w:hAnsi="Times New Roman" w:eastAsia="宋体" w:cs="Times New Roman"/>
                <w:snapToGrid w:val="0"/>
                <w:spacing w:val="-16"/>
                <w:kern w:val="21"/>
                <w:szCs w:val="21"/>
              </w:rPr>
              <w:fldChar w:fldCharType="begin"/>
            </w:r>
            <w:r>
              <w:rPr>
                <w:rFonts w:ascii="Times New Roman" w:hAnsi="Times New Roman" w:eastAsia="宋体" w:cs="Times New Roman"/>
                <w:snapToGrid w:val="0"/>
                <w:spacing w:val="-16"/>
                <w:kern w:val="21"/>
                <w:szCs w:val="21"/>
              </w:rPr>
              <w:instrText xml:space="preserve"> = 5 \* GB3 \* MERGEFORMAT </w:instrText>
            </w:r>
            <w:r>
              <w:rPr>
                <w:rFonts w:ascii="Times New Roman" w:hAnsi="Times New Roman" w:eastAsia="宋体" w:cs="Times New Roman"/>
                <w:snapToGrid w:val="0"/>
                <w:spacing w:val="-16"/>
                <w:kern w:val="21"/>
                <w:szCs w:val="21"/>
              </w:rPr>
              <w:fldChar w:fldCharType="separate"/>
            </w:r>
            <w:r>
              <w:rPr>
                <w:rFonts w:ascii="Times New Roman" w:hAnsi="Times New Roman" w:eastAsia="宋体" w:cs="Times New Roman"/>
                <w:szCs w:val="21"/>
              </w:rPr>
              <w:t>⑤</w:t>
            </w:r>
            <w:r>
              <w:rPr>
                <w:rFonts w:ascii="Times New Roman" w:hAnsi="Times New Roman" w:eastAsia="宋体" w:cs="Times New Roman"/>
                <w:snapToGrid w:val="0"/>
                <w:spacing w:val="-16"/>
                <w:kern w:val="21"/>
                <w:szCs w:val="21"/>
              </w:rPr>
              <w:fldChar w:fldCharType="end"/>
            </w:r>
          </w:p>
        </w:tc>
        <w:tc>
          <w:tcPr>
            <w:tcW w:w="559" w:type="pct"/>
            <w:tcMar>
              <w:left w:w="28" w:type="dxa"/>
              <w:right w:w="28" w:type="dxa"/>
            </w:tcMar>
            <w:vAlign w:val="center"/>
          </w:tcPr>
          <w:p>
            <w:pPr>
              <w:pStyle w:val="197"/>
              <w:spacing w:beforeLines="0" w:afterLines="0" w:line="240" w:lineRule="auto"/>
              <w:rPr>
                <w:rFonts w:ascii="Times New Roman" w:hAnsi="Times New Roman" w:eastAsia="宋体" w:cs="Times New Roman"/>
                <w:snapToGrid w:val="0"/>
                <w:spacing w:val="-16"/>
                <w:kern w:val="21"/>
                <w:szCs w:val="21"/>
              </w:rPr>
            </w:pPr>
            <w:r>
              <w:rPr>
                <w:rFonts w:ascii="Times New Roman" w:hAnsi="Times New Roman" w:eastAsia="宋体" w:cs="Times New Roman"/>
                <w:snapToGrid w:val="0"/>
                <w:spacing w:val="-16"/>
                <w:kern w:val="21"/>
                <w:szCs w:val="21"/>
              </w:rPr>
              <w:t>项目建成后</w:t>
            </w:r>
          </w:p>
          <w:p>
            <w:pPr>
              <w:pStyle w:val="197"/>
              <w:spacing w:beforeLines="0" w:afterLines="0" w:line="240" w:lineRule="auto"/>
              <w:rPr>
                <w:rFonts w:ascii="Times New Roman" w:hAnsi="Times New Roman" w:eastAsia="宋体" w:cs="Times New Roman"/>
                <w:snapToGrid w:val="0"/>
                <w:spacing w:val="-16"/>
                <w:kern w:val="21"/>
                <w:szCs w:val="21"/>
              </w:rPr>
            </w:pPr>
            <w:r>
              <w:rPr>
                <w:rFonts w:ascii="Times New Roman" w:hAnsi="Times New Roman" w:eastAsia="宋体" w:cs="Times New Roman"/>
                <w:snapToGrid w:val="0"/>
                <w:spacing w:val="-16"/>
                <w:kern w:val="21"/>
                <w:szCs w:val="21"/>
              </w:rPr>
              <w:t>全厂排放量（固体废物产生量）</w:t>
            </w:r>
            <w:r>
              <w:rPr>
                <w:rFonts w:ascii="Times New Roman" w:hAnsi="Times New Roman" w:eastAsia="宋体" w:cs="Times New Roman"/>
                <w:snapToGrid w:val="0"/>
                <w:spacing w:val="-16"/>
                <w:kern w:val="21"/>
                <w:szCs w:val="21"/>
              </w:rPr>
              <w:fldChar w:fldCharType="begin"/>
            </w:r>
            <w:r>
              <w:rPr>
                <w:rFonts w:ascii="Times New Roman" w:hAnsi="Times New Roman" w:eastAsia="宋体" w:cs="Times New Roman"/>
                <w:snapToGrid w:val="0"/>
                <w:spacing w:val="-16"/>
                <w:kern w:val="21"/>
                <w:szCs w:val="21"/>
              </w:rPr>
              <w:instrText xml:space="preserve"> = 6 \* GB3 \* MERGEFORMAT </w:instrText>
            </w:r>
            <w:r>
              <w:rPr>
                <w:rFonts w:ascii="Times New Roman" w:hAnsi="Times New Roman" w:eastAsia="宋体" w:cs="Times New Roman"/>
                <w:snapToGrid w:val="0"/>
                <w:spacing w:val="-16"/>
                <w:kern w:val="21"/>
                <w:szCs w:val="21"/>
              </w:rPr>
              <w:fldChar w:fldCharType="separate"/>
            </w:r>
            <w:r>
              <w:rPr>
                <w:rFonts w:ascii="Times New Roman" w:hAnsi="Times New Roman" w:eastAsia="宋体" w:cs="Times New Roman"/>
                <w:szCs w:val="21"/>
              </w:rPr>
              <w:t>⑥</w:t>
            </w:r>
            <w:r>
              <w:rPr>
                <w:rFonts w:ascii="Times New Roman" w:hAnsi="Times New Roman" w:eastAsia="宋体" w:cs="Times New Roman"/>
                <w:snapToGrid w:val="0"/>
                <w:spacing w:val="-16"/>
                <w:kern w:val="21"/>
                <w:szCs w:val="21"/>
              </w:rPr>
              <w:fldChar w:fldCharType="end"/>
            </w:r>
          </w:p>
        </w:tc>
        <w:tc>
          <w:tcPr>
            <w:tcW w:w="625" w:type="pct"/>
            <w:tcMar>
              <w:left w:w="28" w:type="dxa"/>
              <w:right w:w="28" w:type="dxa"/>
            </w:tcMar>
            <w:vAlign w:val="center"/>
          </w:tcPr>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t>变化量</w:t>
            </w:r>
          </w:p>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spacing w:val="-6"/>
                <w:kern w:val="21"/>
                <w:szCs w:val="21"/>
              </w:rPr>
              <w:fldChar w:fldCharType="begin"/>
            </w:r>
            <w:r>
              <w:rPr>
                <w:rFonts w:ascii="Times New Roman" w:hAnsi="Times New Roman" w:eastAsia="宋体" w:cs="Times New Roman"/>
                <w:snapToGrid w:val="0"/>
                <w:spacing w:val="-6"/>
                <w:kern w:val="21"/>
                <w:szCs w:val="21"/>
              </w:rPr>
              <w:instrText xml:space="preserve"> = 7 \* GB3 \* MERGEFORMAT </w:instrText>
            </w:r>
            <w:r>
              <w:rPr>
                <w:rFonts w:ascii="Times New Roman" w:hAnsi="Times New Roman" w:eastAsia="宋体" w:cs="Times New Roman"/>
                <w:snapToGrid w:val="0"/>
                <w:spacing w:val="-6"/>
                <w:kern w:val="21"/>
                <w:szCs w:val="21"/>
              </w:rPr>
              <w:fldChar w:fldCharType="separate"/>
            </w:r>
            <w:r>
              <w:rPr>
                <w:rFonts w:ascii="Times New Roman" w:hAnsi="Times New Roman" w:eastAsia="宋体" w:cs="Times New Roman"/>
                <w:szCs w:val="21"/>
              </w:rPr>
              <w:t>⑦</w:t>
            </w:r>
            <w:r>
              <w:rPr>
                <w:rFonts w:ascii="Times New Roman" w:hAnsi="Times New Roman" w:eastAsia="宋体" w:cs="Times New Roman"/>
                <w:snapToGrid w:val="0"/>
                <w:spacing w:val="-6"/>
                <w:kern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1" w:hRule="atLeast"/>
          <w:jc w:val="center"/>
        </w:trPr>
        <w:tc>
          <w:tcPr>
            <w:tcW w:w="393" w:type="pct"/>
            <w:vMerge w:val="restar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废气</w:t>
            </w:r>
          </w:p>
        </w:tc>
        <w:tc>
          <w:tcPr>
            <w:tcW w:w="844" w:type="pct"/>
            <w:gridSpan w:val="2"/>
            <w:vAlign w:val="center"/>
          </w:tcPr>
          <w:p>
            <w:pPr>
              <w:adjustRightInd w:val="0"/>
              <w:snapToGrid w:val="0"/>
              <w:jc w:val="center"/>
            </w:pPr>
            <w:r>
              <w:t>挥发性有机物</w:t>
            </w:r>
          </w:p>
        </w:tc>
        <w:tc>
          <w:tcPr>
            <w:tcW w:w="475" w:type="pct"/>
            <w:vAlign w:val="center"/>
          </w:tcPr>
          <w:p>
            <w:pPr>
              <w:tabs>
                <w:tab w:val="left" w:pos="1081"/>
              </w:tabs>
              <w:adjustRightInd w:val="0"/>
              <w:snapToGrid w:val="0"/>
              <w:jc w:val="center"/>
              <w:textAlignment w:val="baseline"/>
            </w:pPr>
            <w:r>
              <w:rPr>
                <w:snapToGrid w:val="0"/>
                <w:kern w:val="21"/>
              </w:rPr>
              <w:t>/</w:t>
            </w:r>
          </w:p>
        </w:tc>
        <w:tc>
          <w:tcPr>
            <w:tcW w:w="388" w:type="pct"/>
            <w:vAlign w:val="center"/>
          </w:tcPr>
          <w:p>
            <w:pPr>
              <w:tabs>
                <w:tab w:val="left" w:pos="1081"/>
              </w:tabs>
              <w:adjustRightInd w:val="0"/>
              <w:snapToGrid w:val="0"/>
              <w:jc w:val="center"/>
              <w:textAlignment w:val="baseline"/>
            </w:pPr>
            <w:r>
              <w:rPr>
                <w:snapToGrid w:val="0"/>
                <w:kern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pPr>
            <w:r>
              <w:rPr>
                <w:lang w:bidi="ar"/>
              </w:rPr>
              <w:t>0.00455t/a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pPr>
            <w:r>
              <w:rPr>
                <w:lang w:bidi="ar"/>
              </w:rPr>
              <w:t>0.00455t/a</w:t>
            </w:r>
          </w:p>
        </w:tc>
        <w:tc>
          <w:tcPr>
            <w:tcW w:w="625" w:type="pct"/>
            <w:vAlign w:val="center"/>
          </w:tcPr>
          <w:p>
            <w:pPr>
              <w:tabs>
                <w:tab w:val="left" w:pos="1081"/>
              </w:tabs>
              <w:adjustRightInd w:val="0"/>
              <w:snapToGrid w:val="0"/>
              <w:jc w:val="center"/>
              <w:textAlignment w:val="baseline"/>
            </w:pPr>
            <w:r>
              <w:rPr>
                <w:bCs/>
              </w:rPr>
              <w:t>+0.0</w:t>
            </w:r>
            <w:r>
              <w:rPr>
                <w:rFonts w:hint="eastAsia"/>
                <w:bCs/>
              </w:rPr>
              <w:t>0455</w:t>
            </w:r>
            <w:r>
              <w:rPr>
                <w:bCs/>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844" w:type="pct"/>
            <w:gridSpan w:val="2"/>
            <w:vAlign w:val="center"/>
          </w:tcPr>
          <w:p>
            <w:pPr>
              <w:adjustRightInd w:val="0"/>
              <w:snapToGrid w:val="0"/>
              <w:jc w:val="center"/>
              <w:textAlignment w:val="center"/>
            </w:pPr>
            <w:r>
              <w:t>颗粒物</w:t>
            </w:r>
          </w:p>
        </w:tc>
        <w:tc>
          <w:tcPr>
            <w:tcW w:w="475" w:type="pct"/>
            <w:vAlign w:val="center"/>
          </w:tcPr>
          <w:p>
            <w:pPr>
              <w:tabs>
                <w:tab w:val="left" w:pos="1081"/>
              </w:tabs>
              <w:adjustRightInd w:val="0"/>
              <w:snapToGrid w:val="0"/>
              <w:jc w:val="center"/>
              <w:textAlignment w:val="baseline"/>
              <w:rPr>
                <w:highlight w:val="yellow"/>
              </w:rPr>
            </w:pPr>
            <w:r>
              <w:rPr>
                <w:snapToGrid w:val="0"/>
                <w:kern w:val="21"/>
              </w:rPr>
              <w:t>/</w:t>
            </w:r>
          </w:p>
        </w:tc>
        <w:tc>
          <w:tcPr>
            <w:tcW w:w="388" w:type="pct"/>
            <w:vAlign w:val="center"/>
          </w:tcPr>
          <w:p>
            <w:pPr>
              <w:tabs>
                <w:tab w:val="left" w:pos="1081"/>
              </w:tabs>
              <w:adjustRightInd w:val="0"/>
              <w:snapToGrid w:val="0"/>
              <w:jc w:val="center"/>
              <w:textAlignment w:val="baseline"/>
              <w:rPr>
                <w:highlight w:val="yellow"/>
              </w:rPr>
            </w:pPr>
            <w:r>
              <w:rPr>
                <w:snapToGrid w:val="0"/>
                <w:kern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pPr>
            <w:r>
              <w:rPr>
                <w:lang w:bidi="ar"/>
              </w:rPr>
              <w:t>0.92183t/a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pPr>
            <w:r>
              <w:rPr>
                <w:lang w:bidi="ar"/>
              </w:rPr>
              <w:t>0.92183t/a</w:t>
            </w:r>
          </w:p>
        </w:tc>
        <w:tc>
          <w:tcPr>
            <w:tcW w:w="625" w:type="pct"/>
            <w:vAlign w:val="center"/>
          </w:tcPr>
          <w:p>
            <w:pPr>
              <w:tabs>
                <w:tab w:val="left" w:pos="1081"/>
              </w:tabs>
              <w:adjustRightInd w:val="0"/>
              <w:snapToGrid w:val="0"/>
              <w:jc w:val="center"/>
              <w:textAlignment w:val="baseline"/>
            </w:pPr>
            <w:r>
              <w:rPr>
                <w:bCs/>
              </w:rPr>
              <w:t>+0.</w:t>
            </w:r>
            <w:r>
              <w:rPr>
                <w:rFonts w:hint="eastAsia"/>
                <w:bCs/>
              </w:rPr>
              <w:t>92183</w:t>
            </w:r>
            <w:r>
              <w:rPr>
                <w:bCs/>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393" w:type="pct"/>
            <w:vMerge w:val="restar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废水</w:t>
            </w:r>
          </w:p>
        </w:tc>
        <w:tc>
          <w:tcPr>
            <w:tcW w:w="299" w:type="pct"/>
            <w:vMerge w:val="restart"/>
            <w:vAlign w:val="center"/>
          </w:tcPr>
          <w:p>
            <w:pPr>
              <w:pStyle w:val="469"/>
              <w:snapToGrid w:val="0"/>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生活污水</w:t>
            </w:r>
          </w:p>
        </w:tc>
        <w:tc>
          <w:tcPr>
            <w:tcW w:w="545" w:type="pct"/>
            <w:vAlign w:val="center"/>
          </w:tcPr>
          <w:p>
            <w:pPr>
              <w:pStyle w:val="469"/>
              <w:snapToGrid w:val="0"/>
              <w:spacing w:line="240" w:lineRule="auto"/>
              <w:rPr>
                <w:rFonts w:ascii="Times New Roman" w:hAnsi="Times New Roman" w:eastAsia="宋体" w:cs="Times New Roman"/>
                <w:bCs/>
                <w:sz w:val="21"/>
                <w:szCs w:val="21"/>
                <w:vertAlign w:val="subscript"/>
                <w:lang w:eastAsia="zh-CN"/>
              </w:rPr>
            </w:pPr>
            <w:r>
              <w:rPr>
                <w:rFonts w:ascii="Times New Roman" w:hAnsi="Times New Roman" w:eastAsia="宋体" w:cs="Times New Roman"/>
                <w:bCs/>
                <w:sz w:val="21"/>
                <w:szCs w:val="21"/>
                <w:lang w:eastAsia="zh-CN"/>
              </w:rPr>
              <w:t>COD</w:t>
            </w:r>
            <w:r>
              <w:rPr>
                <w:rFonts w:ascii="Times New Roman" w:hAnsi="Times New Roman" w:eastAsia="宋体" w:cs="Times New Roman"/>
                <w:bCs/>
                <w:sz w:val="21"/>
                <w:szCs w:val="21"/>
                <w:vertAlign w:val="subscript"/>
                <w:lang w:eastAsia="zh-CN"/>
              </w:rPr>
              <w:t>Cr</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rPr>
            </w:pPr>
            <w:r>
              <w:rPr>
                <w:lang w:bidi="ar"/>
              </w:rPr>
              <w:t>0.0108t/a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bCs/>
              </w:rPr>
            </w:pPr>
            <w:r>
              <w:rPr>
                <w:lang w:bidi="ar"/>
              </w:rPr>
              <w:t>0.0108t/a</w:t>
            </w:r>
          </w:p>
        </w:tc>
        <w:tc>
          <w:tcPr>
            <w:tcW w:w="625" w:type="pct"/>
            <w:vAlign w:val="center"/>
          </w:tcPr>
          <w:p>
            <w:pPr>
              <w:pStyle w:val="469"/>
              <w:snapToGrid w:val="0"/>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Cs w:val="21"/>
                <w:lang w:eastAsia="zh-CN"/>
              </w:rPr>
              <w:t>+</w:t>
            </w:r>
            <w:r>
              <w:rPr>
                <w:rFonts w:ascii="Times New Roman" w:hAnsi="Times New Roman" w:eastAsia="宋体" w:cs="Times New Roman"/>
                <w:bCs/>
                <w:sz w:val="21"/>
                <w:szCs w:val="21"/>
                <w:lang w:eastAsia="zh-CN"/>
              </w:rPr>
              <w:t>0.0</w:t>
            </w:r>
            <w:r>
              <w:rPr>
                <w:rFonts w:hint="eastAsia" w:ascii="Times New Roman" w:hAnsi="Times New Roman" w:eastAsia="宋体" w:cs="Times New Roman"/>
                <w:bCs/>
                <w:sz w:val="21"/>
                <w:szCs w:val="21"/>
                <w:lang w:eastAsia="zh-CN"/>
              </w:rPr>
              <w:t>108</w:t>
            </w:r>
            <w:r>
              <w:rPr>
                <w:rFonts w:ascii="Times New Roman" w:hAnsi="Times New Roman" w:eastAsia="宋体" w:cs="Times New Roman"/>
                <w:bCs/>
                <w:sz w:val="21"/>
                <w:szCs w:val="21"/>
                <w:lang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299"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545" w:type="pct"/>
            <w:vAlign w:val="center"/>
          </w:tcPr>
          <w:p>
            <w:pPr>
              <w:pStyle w:val="469"/>
              <w:snapToGrid w:val="0"/>
              <w:spacing w:line="240" w:lineRule="auto"/>
              <w:rPr>
                <w:rFonts w:ascii="Times New Roman" w:hAnsi="Times New Roman" w:eastAsia="宋体" w:cs="Times New Roman"/>
                <w:bCs/>
                <w:sz w:val="21"/>
                <w:szCs w:val="21"/>
                <w:vertAlign w:val="subscript"/>
                <w:lang w:eastAsia="zh-CN"/>
              </w:rPr>
            </w:pPr>
            <w:r>
              <w:rPr>
                <w:rFonts w:ascii="Times New Roman" w:hAnsi="Times New Roman" w:eastAsia="宋体" w:cs="Times New Roman"/>
                <w:bCs/>
                <w:sz w:val="21"/>
                <w:szCs w:val="21"/>
                <w:lang w:eastAsia="zh-CN"/>
              </w:rPr>
              <w:t>NH</w:t>
            </w:r>
            <w:r>
              <w:rPr>
                <w:rFonts w:ascii="Times New Roman" w:hAnsi="Times New Roman" w:eastAsia="宋体" w:cs="Times New Roman"/>
                <w:bCs/>
                <w:sz w:val="21"/>
                <w:szCs w:val="21"/>
                <w:vertAlign w:val="subscript"/>
                <w:lang w:eastAsia="zh-CN"/>
              </w:rPr>
              <w:t>3</w:t>
            </w:r>
            <w:r>
              <w:rPr>
                <w:rFonts w:ascii="Times New Roman" w:hAnsi="Times New Roman" w:eastAsia="宋体" w:cs="Times New Roman"/>
                <w:bCs/>
                <w:sz w:val="21"/>
                <w:szCs w:val="21"/>
                <w:lang w:eastAsia="zh-CN"/>
              </w:rPr>
              <w:t>-N</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rPr>
            </w:pPr>
            <w:r>
              <w:rPr>
                <w:lang w:bidi="ar"/>
              </w:rPr>
              <w:t>0.00054t/a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bCs/>
              </w:rPr>
            </w:pPr>
            <w:r>
              <w:rPr>
                <w:lang w:bidi="ar"/>
              </w:rPr>
              <w:t>0.00054t/a</w:t>
            </w:r>
          </w:p>
        </w:tc>
        <w:tc>
          <w:tcPr>
            <w:tcW w:w="625" w:type="pct"/>
            <w:vAlign w:val="center"/>
          </w:tcPr>
          <w:p>
            <w:pPr>
              <w:pStyle w:val="469"/>
              <w:snapToGrid w:val="0"/>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Cs w:val="21"/>
                <w:lang w:eastAsia="zh-CN"/>
              </w:rPr>
              <w:t>+</w:t>
            </w:r>
            <w:r>
              <w:rPr>
                <w:rFonts w:ascii="Times New Roman" w:hAnsi="Times New Roman" w:eastAsia="宋体" w:cs="Times New Roman"/>
                <w:bCs/>
                <w:sz w:val="21"/>
                <w:szCs w:val="21"/>
                <w:lang w:eastAsia="zh-CN"/>
              </w:rPr>
              <w:t>0.000</w:t>
            </w:r>
            <w:r>
              <w:rPr>
                <w:rFonts w:hint="eastAsia" w:ascii="Times New Roman" w:hAnsi="Times New Roman" w:eastAsia="宋体" w:cs="Times New Roman"/>
                <w:bCs/>
                <w:sz w:val="21"/>
                <w:szCs w:val="21"/>
                <w:lang w:eastAsia="zh-CN"/>
              </w:rPr>
              <w:t>54</w:t>
            </w:r>
            <w:r>
              <w:rPr>
                <w:rFonts w:ascii="Times New Roman" w:hAnsi="Times New Roman" w:eastAsia="宋体" w:cs="Times New Roman"/>
                <w:bCs/>
                <w:sz w:val="21"/>
                <w:szCs w:val="21"/>
                <w:lang w:eastAsia="zh-CN"/>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299"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545" w:type="pct"/>
            <w:vAlign w:val="center"/>
          </w:tcPr>
          <w:p>
            <w:pPr>
              <w:pStyle w:val="469"/>
              <w:snapToGrid w:val="0"/>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废水量</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rPr>
            </w:pPr>
            <w:r>
              <w:rPr>
                <w:rFonts w:hint="eastAsia"/>
                <w:lang w:bidi="ar"/>
              </w:rPr>
              <w:t>0.027万吨/年</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bCs/>
              </w:rPr>
            </w:pPr>
            <w:r>
              <w:rPr>
                <w:rFonts w:hint="eastAsia"/>
                <w:lang w:bidi="ar"/>
              </w:rPr>
              <w:t>0.</w:t>
            </w:r>
            <w:r>
              <w:rPr>
                <w:lang w:bidi="ar"/>
              </w:rPr>
              <w:t>0</w:t>
            </w:r>
            <w:r>
              <w:rPr>
                <w:rFonts w:hint="eastAsia"/>
                <w:lang w:bidi="ar"/>
              </w:rPr>
              <w:t>27万吨/年</w:t>
            </w:r>
          </w:p>
        </w:tc>
        <w:tc>
          <w:tcPr>
            <w:tcW w:w="625" w:type="pct"/>
            <w:vAlign w:val="center"/>
          </w:tcPr>
          <w:p>
            <w:pPr>
              <w:pStyle w:val="469"/>
              <w:snapToGrid w:val="0"/>
              <w:spacing w:line="240" w:lineRule="auto"/>
              <w:rPr>
                <w:rFonts w:ascii="Times New Roman" w:hAnsi="Times New Roman" w:eastAsia="宋体" w:cs="Times New Roman"/>
                <w:bCs/>
                <w:sz w:val="21"/>
                <w:szCs w:val="21"/>
                <w:lang w:eastAsia="zh-CN"/>
              </w:rPr>
            </w:pPr>
            <w:r>
              <w:rPr>
                <w:rFonts w:ascii="Times New Roman" w:hAnsi="Times New Roman" w:eastAsia="宋体" w:cs="Times New Roman"/>
                <w:bCs/>
                <w:sz w:val="21"/>
                <w:szCs w:val="21"/>
                <w:lang w:eastAsia="zh-CN"/>
              </w:rPr>
              <w:t>+0.027</w:t>
            </w:r>
            <w:r>
              <w:rPr>
                <w:rFonts w:ascii="Times New Roman" w:hAnsi="Times New Roman" w:eastAsia="宋体" w:cs="Times New Roman"/>
                <w:sz w:val="21"/>
                <w:szCs w:val="21"/>
                <w:lang w:eastAsia="zh-CN" w:bidi="ar"/>
              </w:rPr>
              <w:t>万吨/年</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393" w:type="pct"/>
            <w:vMerge w:val="restar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一般工业</w:t>
            </w:r>
          </w:p>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固体废物</w:t>
            </w:r>
          </w:p>
        </w:tc>
        <w:tc>
          <w:tcPr>
            <w:tcW w:w="844" w:type="pct"/>
            <w:gridSpan w:val="2"/>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bCs/>
                <w:szCs w:val="21"/>
              </w:rPr>
              <w:t>金属碎屑</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rPr>
            </w:pPr>
            <w:r>
              <w:rPr>
                <w:lang w:bidi="ar"/>
              </w:rPr>
              <w:t>5.25t/a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bCs/>
              </w:rPr>
            </w:pPr>
            <w:r>
              <w:rPr>
                <w:lang w:bidi="ar"/>
              </w:rPr>
              <w:t>5.25t/a</w:t>
            </w:r>
          </w:p>
        </w:tc>
        <w:tc>
          <w:tcPr>
            <w:tcW w:w="625" w:type="pct"/>
            <w:vAlign w:val="center"/>
          </w:tcPr>
          <w:p>
            <w:pPr>
              <w:widowControl/>
              <w:adjustRightInd w:val="0"/>
              <w:snapToGrid w:val="0"/>
              <w:jc w:val="center"/>
              <w:textAlignment w:val="center"/>
              <w:rPr>
                <w:bCs/>
              </w:rPr>
            </w:pPr>
            <w:r>
              <w:rPr>
                <w:bCs/>
              </w:rPr>
              <w:t>+</w:t>
            </w:r>
            <w:r>
              <w:rPr>
                <w:rFonts w:hint="eastAsia"/>
                <w:bCs/>
              </w:rPr>
              <w:t>5.25</w:t>
            </w:r>
            <w:r>
              <w:rPr>
                <w:bCs/>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844" w:type="pct"/>
            <w:gridSpan w:val="2"/>
            <w:vAlign w:val="center"/>
          </w:tcPr>
          <w:p>
            <w:pPr>
              <w:pStyle w:val="197"/>
              <w:spacing w:beforeLines="0" w:afterLines="0" w:line="240" w:lineRule="auto"/>
              <w:rPr>
                <w:rFonts w:ascii="Times New Roman" w:hAnsi="Times New Roman" w:eastAsia="宋体" w:cs="Times New Roman"/>
                <w:bCs/>
                <w:szCs w:val="21"/>
              </w:rPr>
            </w:pPr>
            <w:r>
              <w:rPr>
                <w:rFonts w:ascii="Times New Roman" w:hAnsi="Times New Roman" w:eastAsia="宋体" w:cs="Times New Roman"/>
                <w:bCs/>
                <w:szCs w:val="21"/>
              </w:rPr>
              <w:t>布袋除尘器收集的粉尘</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rPr>
            </w:pPr>
            <w:r>
              <w:rPr>
                <w:lang w:bidi="ar"/>
              </w:rPr>
              <w:t>3t/a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bCs/>
              </w:rPr>
            </w:pPr>
            <w:r>
              <w:rPr>
                <w:lang w:bidi="ar"/>
              </w:rPr>
              <w:t>3t/a</w:t>
            </w:r>
          </w:p>
        </w:tc>
        <w:tc>
          <w:tcPr>
            <w:tcW w:w="625" w:type="pct"/>
            <w:vAlign w:val="center"/>
          </w:tcPr>
          <w:p>
            <w:pPr>
              <w:widowControl/>
              <w:adjustRightInd w:val="0"/>
              <w:snapToGrid w:val="0"/>
              <w:jc w:val="center"/>
              <w:textAlignment w:val="center"/>
              <w:rPr>
                <w:bCs/>
              </w:rPr>
            </w:pPr>
            <w:r>
              <w:rPr>
                <w:bCs/>
              </w:rPr>
              <w:t>+</w:t>
            </w:r>
            <w:r>
              <w:rPr>
                <w:rFonts w:hint="eastAsia"/>
                <w:bCs/>
              </w:rPr>
              <w:t>3</w:t>
            </w:r>
            <w:r>
              <w:rPr>
                <w:bCs/>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2"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844" w:type="pct"/>
            <w:gridSpan w:val="2"/>
            <w:vAlign w:val="center"/>
          </w:tcPr>
          <w:p>
            <w:pPr>
              <w:widowControl/>
              <w:adjustRightInd w:val="0"/>
              <w:snapToGrid w:val="0"/>
              <w:jc w:val="center"/>
              <w:textAlignment w:val="center"/>
              <w:rPr>
                <w:bCs/>
              </w:rPr>
            </w:pPr>
            <w:r>
              <w:rPr>
                <w:bCs/>
              </w:rPr>
              <w:t>锌合金渣</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rPr>
            </w:pPr>
            <w:r>
              <w:rPr>
                <w:lang w:bidi="ar"/>
              </w:rPr>
              <w:t>0.917t/a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bCs/>
              </w:rPr>
            </w:pPr>
            <w:r>
              <w:rPr>
                <w:lang w:bidi="ar"/>
              </w:rPr>
              <w:t>0.917t/a</w:t>
            </w:r>
          </w:p>
        </w:tc>
        <w:tc>
          <w:tcPr>
            <w:tcW w:w="625" w:type="pct"/>
            <w:vAlign w:val="center"/>
          </w:tcPr>
          <w:p>
            <w:pPr>
              <w:widowControl/>
              <w:adjustRightInd w:val="0"/>
              <w:snapToGrid w:val="0"/>
              <w:jc w:val="center"/>
              <w:textAlignment w:val="center"/>
              <w:rPr>
                <w:bCs/>
              </w:rPr>
            </w:pPr>
            <w:r>
              <w:rPr>
                <w:bCs/>
              </w:rPr>
              <w:t>+</w:t>
            </w:r>
            <w:r>
              <w:rPr>
                <w:bCs/>
                <w:lang w:bidi="en-US"/>
              </w:rPr>
              <w:t>0.917</w:t>
            </w:r>
            <w:r>
              <w:rPr>
                <w:bCs/>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2" w:hRule="atLeast"/>
          <w:jc w:val="center"/>
        </w:trPr>
        <w:tc>
          <w:tcPr>
            <w:tcW w:w="393" w:type="pct"/>
            <w:vMerge w:val="restar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危险废物</w:t>
            </w:r>
          </w:p>
        </w:tc>
        <w:tc>
          <w:tcPr>
            <w:tcW w:w="844" w:type="pct"/>
            <w:gridSpan w:val="2"/>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bCs/>
                <w:szCs w:val="21"/>
              </w:rPr>
              <w:t>废活性炭</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pPr>
            <w:r>
              <w:rPr>
                <w:lang w:bidi="ar"/>
              </w:rPr>
              <w:t>6.573t/a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pPr>
            <w:r>
              <w:rPr>
                <w:lang w:bidi="ar"/>
              </w:rPr>
              <w:t>6.573t/a</w:t>
            </w:r>
          </w:p>
        </w:tc>
        <w:tc>
          <w:tcPr>
            <w:tcW w:w="625" w:type="pct"/>
            <w:vAlign w:val="center"/>
          </w:tcPr>
          <w:p>
            <w:pPr>
              <w:widowControl/>
              <w:adjustRightInd w:val="0"/>
              <w:snapToGrid w:val="0"/>
              <w:jc w:val="center"/>
              <w:textAlignment w:val="center"/>
            </w:pPr>
            <w:r>
              <w:rPr>
                <w:bCs/>
              </w:rPr>
              <w:t>+</w:t>
            </w:r>
            <w:r>
              <w:rPr>
                <w:rFonts w:hint="eastAsia"/>
                <w:bCs/>
              </w:rPr>
              <w:t>6.573</w:t>
            </w:r>
            <w:r>
              <w:rPr>
                <w:bCs/>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82"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844" w:type="pct"/>
            <w:gridSpan w:val="2"/>
            <w:vAlign w:val="center"/>
          </w:tcPr>
          <w:p>
            <w:pPr>
              <w:pStyle w:val="197"/>
              <w:spacing w:beforeLines="0" w:afterLines="0" w:line="240" w:lineRule="auto"/>
              <w:rPr>
                <w:rFonts w:ascii="Times New Roman" w:hAnsi="Times New Roman" w:eastAsia="宋体" w:cs="Times New Roman"/>
                <w:bCs/>
                <w:szCs w:val="21"/>
              </w:rPr>
            </w:pPr>
            <w:r>
              <w:rPr>
                <w:rFonts w:ascii="Times New Roman" w:hAnsi="Times New Roman" w:eastAsia="宋体" w:cs="Times New Roman"/>
                <w:bCs/>
                <w:szCs w:val="21"/>
              </w:rPr>
              <w:t>废</w:t>
            </w:r>
            <w:r>
              <w:rPr>
                <w:rFonts w:hint="eastAsia" w:ascii="Times New Roman" w:hAnsi="Times New Roman" w:eastAsia="宋体" w:cs="Times New Roman"/>
                <w:bCs/>
                <w:szCs w:val="21"/>
              </w:rPr>
              <w:t>液压油</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rPr>
            </w:pPr>
            <w:r>
              <w:rPr>
                <w:lang w:bidi="ar"/>
              </w:rPr>
              <w:t>0.48t/a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bCs/>
              </w:rPr>
            </w:pPr>
            <w:r>
              <w:rPr>
                <w:lang w:bidi="ar"/>
              </w:rPr>
              <w:t>0.48t/a</w:t>
            </w:r>
          </w:p>
        </w:tc>
        <w:tc>
          <w:tcPr>
            <w:tcW w:w="625" w:type="pct"/>
            <w:vAlign w:val="center"/>
          </w:tcPr>
          <w:p>
            <w:pPr>
              <w:widowControl/>
              <w:adjustRightInd w:val="0"/>
              <w:snapToGrid w:val="0"/>
              <w:jc w:val="center"/>
              <w:textAlignment w:val="center"/>
              <w:rPr>
                <w:bCs/>
              </w:rPr>
            </w:pPr>
            <w:r>
              <w:rPr>
                <w:bCs/>
              </w:rPr>
              <w:t>+</w:t>
            </w:r>
            <w:r>
              <w:rPr>
                <w:bCs/>
                <w:lang w:bidi="en-US"/>
              </w:rPr>
              <w:t>0.48</w:t>
            </w:r>
            <w:r>
              <w:rPr>
                <w:bCs/>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2"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844" w:type="pct"/>
            <w:gridSpan w:val="2"/>
            <w:vAlign w:val="center"/>
          </w:tcPr>
          <w:p>
            <w:pPr>
              <w:pStyle w:val="197"/>
              <w:spacing w:beforeLines="0" w:afterLines="0" w:line="240" w:lineRule="auto"/>
              <w:rPr>
                <w:rFonts w:ascii="Times New Roman" w:hAnsi="Times New Roman" w:eastAsia="宋体" w:cs="Times New Roman"/>
                <w:bCs/>
                <w:szCs w:val="21"/>
              </w:rPr>
            </w:pPr>
            <w:r>
              <w:rPr>
                <w:rFonts w:ascii="Times New Roman" w:hAnsi="Times New Roman" w:eastAsia="宋体" w:cs="Times New Roman"/>
                <w:bCs/>
                <w:szCs w:val="21"/>
              </w:rPr>
              <w:t>喷淋废水</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rPr>
            </w:pPr>
            <w:r>
              <w:rPr>
                <w:rFonts w:hint="eastAsia"/>
                <w:lang w:bidi="ar"/>
              </w:rPr>
              <w:t>9.6</w:t>
            </w:r>
            <w:r>
              <w:rPr>
                <w:lang w:bidi="ar"/>
              </w:rPr>
              <w:t>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bCs/>
              </w:rPr>
            </w:pPr>
            <w:r>
              <w:rPr>
                <w:rFonts w:hint="eastAsia"/>
                <w:lang w:bidi="ar"/>
              </w:rPr>
              <w:t>9.6</w:t>
            </w:r>
            <w:r>
              <w:rPr>
                <w:lang w:bidi="ar"/>
              </w:rPr>
              <w:t>t/a</w:t>
            </w:r>
          </w:p>
        </w:tc>
        <w:tc>
          <w:tcPr>
            <w:tcW w:w="625" w:type="pct"/>
            <w:vAlign w:val="center"/>
          </w:tcPr>
          <w:p>
            <w:pPr>
              <w:widowControl/>
              <w:adjustRightInd w:val="0"/>
              <w:snapToGrid w:val="0"/>
              <w:jc w:val="center"/>
              <w:textAlignment w:val="center"/>
              <w:rPr>
                <w:bCs/>
              </w:rPr>
            </w:pPr>
            <w:r>
              <w:rPr>
                <w:bCs/>
              </w:rPr>
              <w:t>+</w:t>
            </w:r>
            <w:r>
              <w:rPr>
                <w:rFonts w:hint="eastAsia"/>
                <w:bCs/>
              </w:rPr>
              <w:t>9.6</w:t>
            </w:r>
            <w:r>
              <w:rPr>
                <w:bCs/>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2"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844" w:type="pct"/>
            <w:gridSpan w:val="2"/>
            <w:vAlign w:val="center"/>
          </w:tcPr>
          <w:p>
            <w:pPr>
              <w:pStyle w:val="197"/>
              <w:spacing w:beforeLines="0" w:afterLines="0" w:line="240" w:lineRule="auto"/>
              <w:rPr>
                <w:rFonts w:ascii="Times New Roman" w:hAnsi="Times New Roman" w:eastAsia="宋体" w:cs="Times New Roman"/>
                <w:bCs/>
                <w:szCs w:val="21"/>
              </w:rPr>
            </w:pPr>
            <w:r>
              <w:rPr>
                <w:rFonts w:ascii="Times New Roman" w:hAnsi="Times New Roman" w:eastAsia="宋体" w:cs="Times New Roman"/>
                <w:bCs/>
                <w:szCs w:val="21"/>
              </w:rPr>
              <w:t>含切削液碎屑</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rPr>
            </w:pPr>
            <w:r>
              <w:rPr>
                <w:lang w:bidi="ar"/>
              </w:rPr>
              <w:t>0.004t/a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bCs/>
              </w:rPr>
            </w:pPr>
            <w:r>
              <w:rPr>
                <w:lang w:bidi="ar"/>
              </w:rPr>
              <w:t>0.004t/a</w:t>
            </w:r>
          </w:p>
        </w:tc>
        <w:tc>
          <w:tcPr>
            <w:tcW w:w="625" w:type="pct"/>
            <w:vAlign w:val="center"/>
          </w:tcPr>
          <w:p>
            <w:pPr>
              <w:widowControl/>
              <w:adjustRightInd w:val="0"/>
              <w:snapToGrid w:val="0"/>
              <w:jc w:val="center"/>
              <w:textAlignment w:val="center"/>
              <w:rPr>
                <w:bCs/>
              </w:rPr>
            </w:pPr>
            <w:r>
              <w:rPr>
                <w:bCs/>
              </w:rPr>
              <w:t>+0.004</w:t>
            </w:r>
            <w:r>
              <w:rPr>
                <w:bCs/>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844" w:type="pct"/>
            <w:gridSpan w:val="2"/>
            <w:vAlign w:val="center"/>
          </w:tcPr>
          <w:p>
            <w:pPr>
              <w:pStyle w:val="197"/>
              <w:spacing w:beforeLines="0" w:afterLines="0" w:line="240" w:lineRule="auto"/>
              <w:rPr>
                <w:rFonts w:ascii="Times New Roman" w:hAnsi="Times New Roman" w:eastAsia="宋体" w:cs="Times New Roman"/>
                <w:bCs/>
                <w:szCs w:val="21"/>
              </w:rPr>
            </w:pPr>
            <w:r>
              <w:rPr>
                <w:rFonts w:ascii="Times New Roman" w:hAnsi="Times New Roman" w:eastAsia="宋体" w:cs="Times New Roman"/>
                <w:bCs/>
                <w:szCs w:val="21"/>
              </w:rPr>
              <w:t>废切削液</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rPr>
            </w:pPr>
            <w:r>
              <w:rPr>
                <w:lang w:bidi="ar"/>
              </w:rPr>
              <w:t>0.64t/a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bCs/>
              </w:rPr>
            </w:pPr>
            <w:r>
              <w:rPr>
                <w:lang w:bidi="ar"/>
              </w:rPr>
              <w:t>0.64t/a</w:t>
            </w:r>
          </w:p>
        </w:tc>
        <w:tc>
          <w:tcPr>
            <w:tcW w:w="625" w:type="pct"/>
            <w:vAlign w:val="center"/>
          </w:tcPr>
          <w:p>
            <w:pPr>
              <w:widowControl/>
              <w:adjustRightInd w:val="0"/>
              <w:snapToGrid w:val="0"/>
              <w:jc w:val="center"/>
              <w:textAlignment w:val="center"/>
              <w:rPr>
                <w:bCs/>
              </w:rPr>
            </w:pPr>
            <w:r>
              <w:rPr>
                <w:bCs/>
              </w:rPr>
              <w:t>+</w:t>
            </w:r>
            <w:r>
              <w:rPr>
                <w:bCs/>
                <w:lang w:bidi="ar"/>
              </w:rPr>
              <w:t>0.64t/a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844" w:type="pct"/>
            <w:gridSpan w:val="2"/>
            <w:vAlign w:val="center"/>
          </w:tcPr>
          <w:p>
            <w:pPr>
              <w:pStyle w:val="197"/>
              <w:spacing w:beforeLines="0" w:afterLines="0" w:line="240" w:lineRule="auto"/>
              <w:rPr>
                <w:rFonts w:ascii="Times New Roman" w:hAnsi="Times New Roman" w:eastAsia="宋体" w:cs="Times New Roman"/>
                <w:bCs/>
                <w:szCs w:val="21"/>
              </w:rPr>
            </w:pPr>
            <w:r>
              <w:rPr>
                <w:rFonts w:ascii="Times New Roman" w:hAnsi="Times New Roman" w:eastAsia="宋体" w:cs="Times New Roman"/>
                <w:bCs/>
                <w:szCs w:val="21"/>
              </w:rPr>
              <w:t>废抹布和废手套</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lang w:bidi="ar"/>
              </w:rPr>
            </w:pPr>
            <w:r>
              <w:rPr>
                <w:lang w:bidi="ar"/>
              </w:rPr>
              <w:t>0.02t/a</w:t>
            </w:r>
          </w:p>
        </w:tc>
        <w:tc>
          <w:tcPr>
            <w:tcW w:w="568" w:type="pct"/>
            <w:vAlign w:val="center"/>
          </w:tcPr>
          <w:p>
            <w:pPr>
              <w:jc w:val="center"/>
              <w:rPr>
                <w:snapToGrid w:val="0"/>
                <w:kern w:val="21"/>
              </w:rPr>
            </w:pPr>
            <w:r>
              <w:rPr>
                <w:lang w:bidi="ar"/>
              </w:rPr>
              <w:t>/</w:t>
            </w:r>
          </w:p>
        </w:tc>
        <w:tc>
          <w:tcPr>
            <w:tcW w:w="559" w:type="pct"/>
            <w:vAlign w:val="center"/>
          </w:tcPr>
          <w:p>
            <w:pPr>
              <w:widowControl/>
              <w:jc w:val="center"/>
              <w:textAlignment w:val="center"/>
              <w:rPr>
                <w:bCs/>
                <w:lang w:bidi="ar"/>
              </w:rPr>
            </w:pPr>
            <w:r>
              <w:rPr>
                <w:lang w:bidi="ar"/>
              </w:rPr>
              <w:t>0.02t/a</w:t>
            </w:r>
          </w:p>
        </w:tc>
        <w:tc>
          <w:tcPr>
            <w:tcW w:w="625" w:type="pct"/>
            <w:vAlign w:val="center"/>
          </w:tcPr>
          <w:p>
            <w:pPr>
              <w:widowControl/>
              <w:adjustRightInd w:val="0"/>
              <w:snapToGrid w:val="0"/>
              <w:jc w:val="center"/>
              <w:textAlignment w:val="center"/>
              <w:rPr>
                <w:bCs/>
              </w:rPr>
            </w:pPr>
            <w:r>
              <w:rPr>
                <w:bCs/>
              </w:rPr>
              <w:t>+</w:t>
            </w:r>
            <w:r>
              <w:rPr>
                <w:bCs/>
                <w:lang w:bidi="ar"/>
              </w:rPr>
              <w:t>0.02t/a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2" w:hRule="atLeast"/>
          <w:jc w:val="center"/>
        </w:trPr>
        <w:tc>
          <w:tcPr>
            <w:tcW w:w="393" w:type="pct"/>
            <w:vMerge w:val="continue"/>
            <w:vAlign w:val="center"/>
          </w:tcPr>
          <w:p>
            <w:pPr>
              <w:pStyle w:val="197"/>
              <w:spacing w:beforeLines="0" w:afterLines="0" w:line="240" w:lineRule="auto"/>
              <w:rPr>
                <w:rFonts w:ascii="Times New Roman" w:hAnsi="Times New Roman" w:eastAsia="宋体" w:cs="Times New Roman"/>
                <w:snapToGrid w:val="0"/>
                <w:kern w:val="21"/>
                <w:szCs w:val="21"/>
              </w:rPr>
            </w:pPr>
          </w:p>
        </w:tc>
        <w:tc>
          <w:tcPr>
            <w:tcW w:w="844" w:type="pct"/>
            <w:gridSpan w:val="2"/>
            <w:vAlign w:val="center"/>
          </w:tcPr>
          <w:p>
            <w:pPr>
              <w:pStyle w:val="197"/>
              <w:spacing w:beforeLines="0" w:afterLines="0" w:line="240" w:lineRule="auto"/>
              <w:rPr>
                <w:rFonts w:ascii="Times New Roman" w:hAnsi="Times New Roman" w:eastAsia="宋体" w:cs="Times New Roman"/>
                <w:bCs/>
                <w:szCs w:val="21"/>
              </w:rPr>
            </w:pPr>
            <w:r>
              <w:rPr>
                <w:rFonts w:ascii="Times New Roman" w:hAnsi="Times New Roman" w:eastAsia="宋体" w:cs="Times New Roman"/>
                <w:bCs/>
                <w:szCs w:val="21"/>
              </w:rPr>
              <w:t>铝合金渣</w:t>
            </w:r>
          </w:p>
        </w:tc>
        <w:tc>
          <w:tcPr>
            <w:tcW w:w="475"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bCs/>
                <w:lang w:bidi="ar"/>
              </w:rPr>
            </w:pPr>
            <w:r>
              <w:rPr>
                <w:lang w:bidi="ar"/>
              </w:rPr>
              <w:t>4t/a</w:t>
            </w:r>
          </w:p>
        </w:tc>
        <w:tc>
          <w:tcPr>
            <w:tcW w:w="568" w:type="pct"/>
            <w:vAlign w:val="center"/>
          </w:tcPr>
          <w:p>
            <w:pPr>
              <w:jc w:val="center"/>
              <w:rPr>
                <w:snapToGrid w:val="0"/>
                <w:kern w:val="21"/>
              </w:rPr>
            </w:pPr>
            <w:r>
              <w:rPr>
                <w:lang w:bidi="ar"/>
              </w:rPr>
              <w:t>/</w:t>
            </w:r>
          </w:p>
        </w:tc>
        <w:tc>
          <w:tcPr>
            <w:tcW w:w="559" w:type="pct"/>
            <w:vAlign w:val="center"/>
          </w:tcPr>
          <w:p>
            <w:pPr>
              <w:widowControl/>
              <w:jc w:val="center"/>
              <w:textAlignment w:val="center"/>
              <w:rPr>
                <w:bCs/>
                <w:lang w:bidi="ar"/>
              </w:rPr>
            </w:pPr>
            <w:r>
              <w:rPr>
                <w:lang w:bidi="ar"/>
              </w:rPr>
              <w:t>4t/a</w:t>
            </w:r>
          </w:p>
        </w:tc>
        <w:tc>
          <w:tcPr>
            <w:tcW w:w="625" w:type="pct"/>
            <w:vAlign w:val="center"/>
          </w:tcPr>
          <w:p>
            <w:pPr>
              <w:widowControl/>
              <w:adjustRightInd w:val="0"/>
              <w:snapToGrid w:val="0"/>
              <w:jc w:val="center"/>
              <w:textAlignment w:val="center"/>
              <w:rPr>
                <w:bCs/>
              </w:rPr>
            </w:pPr>
            <w:r>
              <w:rPr>
                <w:bCs/>
              </w:rPr>
              <w:t>+</w:t>
            </w:r>
            <w:r>
              <w:rPr>
                <w:rFonts w:hint="eastAsia"/>
                <w:bCs/>
              </w:rPr>
              <w:t>4</w:t>
            </w:r>
            <w:r>
              <w:rPr>
                <w:bCs/>
                <w:lang w:bidi="ar"/>
              </w:rPr>
              <w:t>t/a</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393"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bCs/>
                <w:szCs w:val="21"/>
              </w:rPr>
              <w:t>生活垃圾</w:t>
            </w:r>
          </w:p>
        </w:tc>
        <w:tc>
          <w:tcPr>
            <w:tcW w:w="844" w:type="pct"/>
            <w:gridSpan w:val="2"/>
            <w:vAlign w:val="center"/>
          </w:tcPr>
          <w:p>
            <w:pPr>
              <w:pStyle w:val="197"/>
              <w:spacing w:beforeLines="0" w:afterLines="0" w:line="240" w:lineRule="auto"/>
              <w:rPr>
                <w:rFonts w:ascii="Times New Roman" w:hAnsi="Times New Roman" w:eastAsia="宋体" w:cs="Times New Roman"/>
                <w:bCs/>
                <w:szCs w:val="21"/>
              </w:rPr>
            </w:pPr>
            <w:r>
              <w:rPr>
                <w:rFonts w:ascii="Times New Roman" w:hAnsi="Times New Roman" w:eastAsia="宋体" w:cs="Times New Roman"/>
                <w:bCs/>
                <w:szCs w:val="21"/>
              </w:rPr>
              <w:t>生活垃圾</w:t>
            </w:r>
          </w:p>
        </w:tc>
        <w:tc>
          <w:tcPr>
            <w:tcW w:w="475" w:type="pct"/>
            <w:vAlign w:val="center"/>
          </w:tcPr>
          <w:p>
            <w:pPr>
              <w:pStyle w:val="197"/>
              <w:spacing w:beforeLines="0" w:afterLines="0" w:line="240" w:lineRule="auto"/>
              <w:rPr>
                <w:rFonts w:ascii="Times New Roman" w:hAnsi="Times New Roman" w:eastAsia="宋体" w:cs="Times New Roman"/>
                <w:snapToGrid w:val="0"/>
                <w:spacing w:val="-6"/>
                <w:kern w:val="21"/>
                <w:szCs w:val="21"/>
              </w:rPr>
            </w:pPr>
            <w:r>
              <w:rPr>
                <w:rFonts w:ascii="Times New Roman" w:hAnsi="Times New Roman" w:eastAsia="宋体" w:cs="Times New Roman"/>
                <w:snapToGrid w:val="0"/>
                <w:kern w:val="21"/>
                <w:szCs w:val="21"/>
              </w:rPr>
              <w:t>/</w:t>
            </w:r>
          </w:p>
        </w:tc>
        <w:tc>
          <w:tcPr>
            <w:tcW w:w="388"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97" w:type="pct"/>
            <w:vAlign w:val="center"/>
          </w:tcPr>
          <w:p>
            <w:pPr>
              <w:pStyle w:val="197"/>
              <w:spacing w:beforeLines="0" w:afterLines="0" w:line="240" w:lineRule="auto"/>
              <w:rPr>
                <w:rFonts w:ascii="Times New Roman" w:hAnsi="Times New Roman" w:eastAsia="宋体" w:cs="Times New Roman"/>
                <w:snapToGrid w:val="0"/>
                <w:kern w:val="21"/>
                <w:szCs w:val="21"/>
              </w:rPr>
            </w:pPr>
            <w:r>
              <w:rPr>
                <w:rFonts w:ascii="Times New Roman" w:hAnsi="Times New Roman" w:eastAsia="宋体" w:cs="Times New Roman"/>
                <w:snapToGrid w:val="0"/>
                <w:kern w:val="21"/>
                <w:szCs w:val="21"/>
              </w:rPr>
              <w:t>/</w:t>
            </w:r>
          </w:p>
        </w:tc>
        <w:tc>
          <w:tcPr>
            <w:tcW w:w="547" w:type="pct"/>
            <w:vAlign w:val="center"/>
          </w:tcPr>
          <w:p>
            <w:pPr>
              <w:widowControl/>
              <w:jc w:val="center"/>
              <w:textAlignment w:val="center"/>
              <w:rPr>
                <w:snapToGrid w:val="0"/>
                <w:spacing w:val="-6"/>
                <w:kern w:val="21"/>
              </w:rPr>
            </w:pPr>
            <w:r>
              <w:rPr>
                <w:lang w:bidi="ar"/>
              </w:rPr>
              <w:t>6t/a</w:t>
            </w:r>
          </w:p>
        </w:tc>
        <w:tc>
          <w:tcPr>
            <w:tcW w:w="568" w:type="pct"/>
            <w:vAlign w:val="center"/>
          </w:tcPr>
          <w:p>
            <w:pPr>
              <w:widowControl/>
              <w:jc w:val="center"/>
              <w:textAlignment w:val="center"/>
              <w:rPr>
                <w:snapToGrid w:val="0"/>
                <w:kern w:val="21"/>
              </w:rPr>
            </w:pPr>
            <w:r>
              <w:rPr>
                <w:lang w:bidi="ar"/>
              </w:rPr>
              <w:t>/</w:t>
            </w:r>
          </w:p>
        </w:tc>
        <w:tc>
          <w:tcPr>
            <w:tcW w:w="559" w:type="pct"/>
            <w:vAlign w:val="center"/>
          </w:tcPr>
          <w:p>
            <w:pPr>
              <w:widowControl/>
              <w:jc w:val="center"/>
              <w:textAlignment w:val="center"/>
              <w:rPr>
                <w:snapToGrid w:val="0"/>
                <w:spacing w:val="-6"/>
                <w:kern w:val="21"/>
              </w:rPr>
            </w:pPr>
            <w:r>
              <w:rPr>
                <w:lang w:bidi="ar"/>
              </w:rPr>
              <w:t>6t/a</w:t>
            </w:r>
          </w:p>
        </w:tc>
        <w:tc>
          <w:tcPr>
            <w:tcW w:w="625" w:type="pct"/>
            <w:vAlign w:val="center"/>
          </w:tcPr>
          <w:p>
            <w:pPr>
              <w:tabs>
                <w:tab w:val="left" w:pos="1081"/>
              </w:tabs>
              <w:adjustRightInd w:val="0"/>
              <w:snapToGrid w:val="0"/>
              <w:jc w:val="center"/>
              <w:textAlignment w:val="baseline"/>
              <w:rPr>
                <w:snapToGrid w:val="0"/>
                <w:spacing w:val="-6"/>
                <w:kern w:val="21"/>
              </w:rPr>
            </w:pPr>
            <w:r>
              <w:rPr>
                <w:bCs/>
              </w:rPr>
              <w:t>+</w:t>
            </w:r>
            <w:r>
              <w:rPr>
                <w:rFonts w:hint="eastAsia"/>
                <w:bCs/>
              </w:rPr>
              <w:t>6</w:t>
            </w:r>
            <w:r>
              <w:rPr>
                <w:bCs/>
              </w:rPr>
              <w:t>t/a</w:t>
            </w:r>
          </w:p>
        </w:tc>
      </w:tr>
    </w:tbl>
    <w:p>
      <w:pPr>
        <w:pStyle w:val="197"/>
        <w:spacing w:before="192" w:beforeLines="80" w:after="24"/>
        <w:jc w:val="left"/>
        <w:rPr>
          <w:rFonts w:ascii="Times New Roman" w:hAnsi="Times New Roman" w:eastAsia="宋体"/>
          <w:snapToGrid w:val="0"/>
          <w:color w:val="000000" w:themeColor="text1"/>
          <w:spacing w:val="-6"/>
          <w:kern w:val="21"/>
          <w:szCs w:val="21"/>
          <w14:textFill>
            <w14:solidFill>
              <w14:schemeClr w14:val="tx1"/>
            </w14:solidFill>
          </w14:textFill>
        </w:rPr>
      </w:pPr>
      <w:r>
        <w:rPr>
          <w:rFonts w:ascii="Times New Roman" w:hAnsi="Times New Roman" w:eastAsia="宋体"/>
          <w:snapToGrid w:val="0"/>
          <w:color w:val="000000" w:themeColor="text1"/>
          <w:kern w:val="21"/>
          <w:szCs w:val="21"/>
          <w14:textFill>
            <w14:solidFill>
              <w14:schemeClr w14:val="tx1"/>
            </w14:solidFill>
          </w14:textFill>
        </w:rPr>
        <w:t>注：</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6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⑥</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r>
        <w:rPr>
          <w:rFonts w:ascii="Times New Roman" w:hAnsi="Times New Roman" w:eastAsia="宋体"/>
          <w:snapToGrid w:val="0"/>
          <w:color w:val="000000" w:themeColor="text1"/>
          <w:spacing w:val="-1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1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①</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3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③</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4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④</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5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⑤</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r>
        <w:rPr>
          <w:rFonts w:ascii="Times New Roman" w:hAnsi="Times New Roman" w:eastAsia="宋体"/>
          <w:snapToGrid w:val="0"/>
          <w:color w:val="000000" w:themeColor="text1"/>
          <w:spacing w:val="-1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7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⑦</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r>
        <w:rPr>
          <w:rFonts w:ascii="Times New Roman" w:hAnsi="Times New Roman" w:eastAsia="宋体"/>
          <w:snapToGrid w:val="0"/>
          <w:color w:val="000000" w:themeColor="text1"/>
          <w:spacing w:val="-6"/>
          <w:kern w:val="21"/>
          <w:szCs w:val="21"/>
          <w14:textFill>
            <w14:solidFill>
              <w14:schemeClr w14:val="tx1"/>
            </w14:solidFill>
          </w14:textFill>
        </w:rPr>
        <w:t>=</w:t>
      </w:r>
      <w:r>
        <w:rPr>
          <w:rFonts w:ascii="Times New Roman" w:hAnsi="Times New Roman" w:eastAsia="宋体"/>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snapToGrid w:val="0"/>
          <w:color w:val="000000" w:themeColor="text1"/>
          <w:spacing w:val="-16"/>
          <w:kern w:val="21"/>
          <w:szCs w:val="21"/>
          <w14:textFill>
            <w14:solidFill>
              <w14:schemeClr w14:val="tx1"/>
            </w14:solidFill>
          </w14:textFill>
        </w:rPr>
        <w:instrText xml:space="preserve"> = 6 \* GB3 \* MERGEFORMAT </w:instrText>
      </w:r>
      <w:r>
        <w:rPr>
          <w:rFonts w:ascii="Times New Roman" w:hAnsi="Times New Roman" w:eastAsia="宋体"/>
          <w:snapToGrid w:val="0"/>
          <w:color w:val="000000" w:themeColor="text1"/>
          <w:spacing w:val="-1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⑥</w:t>
      </w:r>
      <w:r>
        <w:rPr>
          <w:rFonts w:ascii="Times New Roman" w:hAnsi="Times New Roman" w:eastAsia="宋体"/>
          <w:snapToGrid w:val="0"/>
          <w:color w:val="000000" w:themeColor="text1"/>
          <w:spacing w:val="-16"/>
          <w:kern w:val="21"/>
          <w:szCs w:val="21"/>
          <w14:textFill>
            <w14:solidFill>
              <w14:schemeClr w14:val="tx1"/>
            </w14:solidFill>
          </w14:textFill>
        </w:rPr>
        <w:fldChar w:fldCharType="end"/>
      </w:r>
      <w:r>
        <w:rPr>
          <w:rFonts w:ascii="Times New Roman" w:hAnsi="Times New Roman" w:eastAsia="宋体"/>
          <w:snapToGrid w:val="0"/>
          <w:color w:val="000000" w:themeColor="text1"/>
          <w:spacing w:val="-16"/>
          <w:kern w:val="21"/>
          <w:szCs w:val="21"/>
          <w14:textFill>
            <w14:solidFill>
              <w14:schemeClr w14:val="tx1"/>
            </w14:solidFill>
          </w14:textFill>
        </w:rPr>
        <w:t>-</w:t>
      </w:r>
      <w:r>
        <w:rPr>
          <w:rFonts w:ascii="Times New Roman" w:hAnsi="Times New Roman" w:eastAsia="宋体"/>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snapToGrid w:val="0"/>
          <w:color w:val="000000" w:themeColor="text1"/>
          <w:spacing w:val="-6"/>
          <w:kern w:val="21"/>
          <w:szCs w:val="21"/>
          <w14:textFill>
            <w14:solidFill>
              <w14:schemeClr w14:val="tx1"/>
            </w14:solidFill>
          </w14:textFill>
        </w:rPr>
        <w:instrText xml:space="preserve"> = 1 \* GB3 \* MERGEFORMAT </w:instrText>
      </w:r>
      <w:r>
        <w:rPr>
          <w:rFonts w:ascii="Times New Roman" w:hAnsi="Times New Roman" w:eastAsia="宋体"/>
          <w:snapToGrid w:val="0"/>
          <w:color w:val="000000" w:themeColor="text1"/>
          <w:spacing w:val="-6"/>
          <w:kern w:val="21"/>
          <w:szCs w:val="21"/>
          <w14:textFill>
            <w14:solidFill>
              <w14:schemeClr w14:val="tx1"/>
            </w14:solidFill>
          </w14:textFill>
        </w:rPr>
        <w:fldChar w:fldCharType="separate"/>
      </w:r>
      <w:r>
        <w:rPr>
          <w:rFonts w:hint="eastAsia" w:ascii="Times New Roman" w:hAnsi="Times New Roman" w:eastAsia="宋体"/>
          <w:color w:val="000000" w:themeColor="text1"/>
          <w:szCs w:val="21"/>
          <w14:textFill>
            <w14:solidFill>
              <w14:schemeClr w14:val="tx1"/>
            </w14:solidFill>
          </w14:textFill>
        </w:rPr>
        <w:t>①</w:t>
      </w:r>
      <w:r>
        <w:rPr>
          <w:rFonts w:ascii="Times New Roman" w:hAnsi="Times New Roman" w:eastAsia="宋体"/>
          <w:snapToGrid w:val="0"/>
          <w:color w:val="000000" w:themeColor="text1"/>
          <w:spacing w:val="-6"/>
          <w:kern w:val="21"/>
          <w:szCs w:val="21"/>
          <w14:textFill>
            <w14:solidFill>
              <w14:schemeClr w14:val="tx1"/>
            </w14:solidFill>
          </w14:textFill>
        </w:rPr>
        <w:fldChar w:fldCharType="end"/>
      </w:r>
    </w:p>
    <w:p>
      <w:pPr>
        <w:pStyle w:val="12"/>
        <w:jc w:val="center"/>
        <w:rPr>
          <w:rFonts w:hint="default"/>
        </w:rPr>
      </w:pPr>
      <w:bookmarkStart w:id="12" w:name="_GoBack"/>
      <w:bookmarkEnd w:id="12"/>
    </w:p>
    <w:sectPr>
      <w:footerReference r:id="rId7" w:type="default"/>
      <w:pgSz w:w="16838" w:h="11906" w:orient="landscape"/>
      <w:pgMar w:top="1440" w:right="1134" w:bottom="1440" w:left="1276" w:header="720" w:footer="720"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MS Mincho">
    <w:altName w:val="Yu Gothic UI"/>
    <w:panose1 w:val="02020609040205080304"/>
    <w:charset w:val="80"/>
    <w:family w:val="modern"/>
    <w:pitch w:val="default"/>
    <w:sig w:usb0="00000000" w:usb1="00000000" w:usb2="00000012" w:usb3="00000000" w:csb0="0002009F" w:csb1="00000000"/>
  </w:font>
  <w:font w:name="Yu Gothic UI">
    <w:panose1 w:val="020B0500000000000000"/>
    <w:charset w:val="80"/>
    <w:family w:val="auto"/>
    <w:pitch w:val="default"/>
    <w:sig w:usb0="E00002FF" w:usb1="2AC7FDFF" w:usb2="00000016" w:usb3="00000000" w:csb0="2002009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Microsoft YaHei UI">
    <w:panose1 w:val="020B0503020204020204"/>
    <w:charset w:val="86"/>
    <w:family w:val="swiss"/>
    <w:pitch w:val="default"/>
    <w:sig w:usb0="80000287" w:usb1="2ACF3C50" w:usb2="00000016" w:usb3="00000000" w:csb0="0004001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Sim Sun">
    <w:altName w:val="宋体"/>
    <w:panose1 w:val="00000000000000000000"/>
    <w:charset w:val="86"/>
    <w:family w:val="auto"/>
    <w:pitch w:val="default"/>
    <w:sig w:usb0="00000000" w:usb1="00000000" w:usb2="00000010" w:usb3="00000000" w:csb0="00040000" w:csb1="00000000"/>
  </w:font>
  <w:font w:name="t">
    <w:altName w:val="Times New Roman"/>
    <w:panose1 w:val="00000000000000000000"/>
    <w:charset w:val="00"/>
    <w:family w:val="roman"/>
    <w:pitch w:val="default"/>
    <w:sig w:usb0="00000000" w:usb1="00000000" w:usb2="00000000" w:usb3="00000000" w:csb0="00000001" w:csb1="00000000"/>
  </w:font>
  <w:font w:name="Roman">
    <w:altName w:val="Times New Roman"/>
    <w:panose1 w:val="00000000000000000000"/>
    <w:charset w:val="00"/>
    <w:family w:val="roman"/>
    <w:pitch w:val="default"/>
    <w:sig w:usb0="00000000" w:usb1="00000000" w:usb2="00000000" w:usb3="00000000" w:csb0="00000001" w:csb1="00000000"/>
  </w:font>
  <w:font w:name="Tahoma">
    <w:panose1 w:val="020B0604030504040204"/>
    <w:charset w:val="00"/>
    <w:family w:val="swiss"/>
    <w:pitch w:val="default"/>
    <w:sig w:usb0="E1002EFF" w:usb1="C000605B" w:usb2="00000029" w:usb3="00000000" w:csb0="200101FF" w:csb1="20280000"/>
  </w:font>
  <w:font w:name="ˎ̥">
    <w:altName w:val="Times New Roman"/>
    <w:panose1 w:val="00000000000000000000"/>
    <w:charset w:val="00"/>
    <w:family w:val="roman"/>
    <w:pitch w:val="default"/>
    <w:sig w:usb0="00000000" w:usb1="00000000" w:usb2="00000000" w:usb3="00000000" w:csb0="00040001" w:csb1="00000000"/>
  </w:font>
  <w:font w:name="楷体_GB2312">
    <w:altName w:val="楷体"/>
    <w:panose1 w:val="00000000000000000000"/>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Impact">
    <w:panose1 w:val="020B0806030902050204"/>
    <w:charset w:val="00"/>
    <w:family w:val="swiss"/>
    <w:pitch w:val="default"/>
    <w:sig w:usb0="00000287" w:usb1="00000000" w:usb2="00000000" w:usb3="00000000" w:csb0="2000009F" w:csb1="DFD70000"/>
  </w:font>
  <w:font w:name="隶书">
    <w:panose1 w:val="0201050906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CG Times (WN)">
    <w:altName w:val="Times New Roman"/>
    <w:panose1 w:val="00000000000000000000"/>
    <w:charset w:val="00"/>
    <w:family w:val="auto"/>
    <w:pitch w:val="default"/>
    <w:sig w:usb0="00000000" w:usb1="00000000" w:usb2="00000000" w:usb3="00000000" w:csb0="00040001" w:csb1="00000000"/>
  </w:font>
  <w:font w:name="TimesNewRomanPSMT">
    <w:altName w:val="Times New Roman"/>
    <w:panose1 w:val="00000000000000000000"/>
    <w:charset w:val="00"/>
    <w:family w:val="auto"/>
    <w:pitch w:val="default"/>
    <w:sig w:usb0="00000000" w:usb1="00000000" w:usb2="00000000" w:usb3="00000000" w:csb0="00040001" w:csb1="00000000"/>
  </w:font>
  <w:font w:name="仿宋体">
    <w:altName w:val="宋体"/>
    <w:panose1 w:val="00000000000000000000"/>
    <w:charset w:val="86"/>
    <w:family w:val="roman"/>
    <w:pitch w:val="default"/>
    <w:sig w:usb0="00000000" w:usb1="00000000" w:usb2="00000010" w:usb3="00000000" w:csb0="00040000" w:csb1="00000000"/>
  </w:font>
  <w:font w:name="MS UI Gothic">
    <w:panose1 w:val="020B0600070205080204"/>
    <w:charset w:val="80"/>
    <w:family w:val="swiss"/>
    <w:pitch w:val="default"/>
    <w:sig w:usb0="E00002FF" w:usb1="6AC7FDFB" w:usb2="08000012" w:usb3="00000000" w:csb0="4002009F" w:csb1="DFD70000"/>
  </w:font>
  <w:font w:name="Calibri Light">
    <w:panose1 w:val="020F0302020204030204"/>
    <w:charset w:val="00"/>
    <w:family w:val="swiss"/>
    <w:pitch w:val="default"/>
    <w:sig w:usb0="E0002AFF" w:usb1="C000247B" w:usb2="00000009" w:usb3="00000000" w:csb0="200001FF" w:csb1="00000000"/>
  </w:font>
  <w:font w:name="Bookman Old Style">
    <w:panose1 w:val="02050604050505020204"/>
    <w:charset w:val="00"/>
    <w:family w:val="roman"/>
    <w:pitch w:val="default"/>
    <w:sig w:usb0="00000287" w:usb1="00000000" w:usb2="00000000" w:usb3="00000000" w:csb0="2000009F" w:csb1="DFD70000"/>
  </w:font>
  <w:font w:name="Verdana">
    <w:panose1 w:val="020B0604030504040204"/>
    <w:charset w:val="00"/>
    <w:family w:val="swiss"/>
    <w:pitch w:val="default"/>
    <w:sig w:usb0="A00006FF" w:usb1="4000205B" w:usb2="00000010" w:usb3="00000000" w:csb0="2000019F" w:csb1="00000000"/>
  </w:font>
  <w:font w:name="Arial Unicode MS">
    <w:panose1 w:val="020B0604020202020204"/>
    <w:charset w:val="86"/>
    <w:family w:val="swiss"/>
    <w:pitch w:val="default"/>
    <w:sig w:usb0="FFFFFFFF" w:usb1="E9FFFFFF" w:usb2="0000003F" w:usb3="00000000" w:csb0="603F01FF" w:csb1="FFFF0000"/>
  </w:font>
  <w:font w:name="隶书体">
    <w:altName w:val="宋体"/>
    <w:panose1 w:val="00000000000000000000"/>
    <w:charset w:val="86"/>
    <w:family w:val="swiss"/>
    <w:pitch w:val="default"/>
    <w:sig w:usb0="00000000" w:usb1="00000000" w:usb2="00000010" w:usb3="00000000" w:csb0="00040000" w:csb1="00000000"/>
  </w:font>
  <w:font w:name="全真楷書">
    <w:altName w:val="宋体"/>
    <w:panose1 w:val="00000000000000000000"/>
    <w:charset w:val="88"/>
    <w:family w:val="modern"/>
    <w:pitch w:val="default"/>
    <w:sig w:usb0="00000000" w:usb1="00000000" w:usb2="00000010" w:usb3="00000000" w:csb0="00100000" w:csb1="00000000"/>
  </w:font>
  <w:font w:name="Dutch801 Rm BT">
    <w:altName w:val="Times New Roman"/>
    <w:panose1 w:val="02020603060505020304"/>
    <w:charset w:val="00"/>
    <w:family w:val="roman"/>
    <w:pitch w:val="default"/>
    <w:sig w:usb0="00000000" w:usb1="00000000" w:usb2="00000000" w:usb3="00000000" w:csb0="0000001B" w:csb1="00000000"/>
  </w:font>
  <w:font w:name="Century Gothic">
    <w:panose1 w:val="020B0502020202020204"/>
    <w:charset w:val="00"/>
    <w:family w:val="swiss"/>
    <w:pitch w:val="default"/>
    <w:sig w:usb0="00000287" w:usb1="00000000" w:usb2="00000000" w:usb3="00000000" w:csb0="2000009F" w:csb1="DFD70000"/>
  </w:font>
  <w:font w:name="Plotter">
    <w:altName w:val="Lucida Console"/>
    <w:panose1 w:val="00000000000000000000"/>
    <w:charset w:val="00"/>
    <w:family w:val="roman"/>
    <w:pitch w:val="default"/>
    <w:sig w:usb0="00000000" w:usb1="00000000" w:usb2="00000000" w:usb3="00000000" w:csb0="00040001" w:csb1="00000000"/>
  </w:font>
  <w:font w:name="Lucida Console">
    <w:panose1 w:val="020B0609040504020204"/>
    <w:charset w:val="00"/>
    <w:family w:val="auto"/>
    <w:pitch w:val="default"/>
    <w:sig w:usb0="8000028F" w:usb1="00001800" w:usb2="00000000" w:usb3="00000000" w:csb0="0000001F" w:csb1="D7D70000"/>
  </w:font>
  <w:font w:name="Estrangelo Edessa">
    <w:altName w:val="Mongolian Baiti"/>
    <w:panose1 w:val="03080600000000000000"/>
    <w:charset w:val="00"/>
    <w:family w:val="script"/>
    <w:pitch w:val="default"/>
    <w:sig w:usb0="00000000" w:usb1="00000000" w:usb2="00000080" w:usb3="00000000" w:csb0="00000001" w:csb1="00000000"/>
  </w:font>
  <w:font w:name="Mongolian Baiti">
    <w:panose1 w:val="03000500000000000000"/>
    <w:charset w:val="00"/>
    <w:family w:val="auto"/>
    <w:pitch w:val="default"/>
    <w:sig w:usb0="80000023" w:usb1="00000000" w:usb2="00020000" w:usb3="00000000" w:csb0="00000001"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方正仿宋_GBK">
    <w:altName w:val="宋体"/>
    <w:panose1 w:val="00000000000000000000"/>
    <w:charset w:val="86"/>
    <w:family w:val="script"/>
    <w:pitch w:val="default"/>
    <w:sig w:usb0="00000000" w:usb1="00000000" w:usb2="00000000" w:usb3="00000000" w:csb0="00040000" w:csb1="00000000"/>
  </w:font>
  <w:font w:name="Wingdings 2">
    <w:panose1 w:val="05020102010507070707"/>
    <w:charset w:val="02"/>
    <w:family w:val="roman"/>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0"/>
      <w:ind w:right="360" w:firstLine="360"/>
      <w:jc w:val="cente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52" name="文本框 15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0"/>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2zWLAtAgAAWQQAAA4AAABkcnMvZTJvRG9jLnhtbK1UzY7TMBC+I/EO&#10;lu80bdGuqqrpqmxVhFSxKy2Is+s4TST/yXablAeAN+DEhTvP1efYz07SRQuHPXBxxp7xN/6+mcni&#10;plWSHIXztdE5nYzGlAjNTVHrfU4/f9q8mVHiA9MFk0aLnJ6EpzfL168WjZ2LqamMLIQjANF+3tic&#10;ViHYeZZ5XgnF/MhYoeEsjVMsYOv2WeFYA3Qls+l4fJ01xhXWGS68x+m6c9Ie0b0E0JRlzcXa8IMS&#10;OnSoTkgWQMlXtfV0mV5bloKHu7L0IhCZUzANaUUS2Lu4ZssFm+8ds1XN+yewlzzhGSfFao2kF6g1&#10;C4wcXP0XlKq5M96UYcSNyjoiSRGwmIyfafNQMSsSF0jt7UV0//9g+cfjvSN1gU64mlKimULJzz++&#10;n3/+Pv/6RuIhJGqsnyPywSI2tO9Mi/Dh3OMwMm9Lp+IXnAj8EPh0EVi0gfB4aTadzcZwcfiGDfCz&#10;p+vW+fBeGEWikVOHCiZh2XHrQxc6hMRs2mxqKVMVpSZNTq/fXo3ThYsH4FIjRyTRPTZaod21PbOd&#10;KU4g5kzXHd7yTY3kW+bDPXNoBzwYAxPusJTSIInpLUoq477+6zzGo0rwUtKgvXKqMU2UyA8a1QNg&#10;GAw3GLvB0Ad1a9CvEwyi5cnEBRfkYJbOqC+YolXMARfTHJlyGgbzNnQtjinkYrVKQeg3y8JWP1ge&#10;oaN43q4OAQImXaMonRK9Vui4VJl+OmJL/7lPUU9/hOUj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I2zWLAtAgAAWQQAAA4AAAAAAAAAAQAgAAAAHwEAAGRycy9lMm9Eb2MueG1sUEsFBgAAAAAG&#10;AAYAWQEAAL4FAAAAAA==&#10;">
              <v:fill on="f" focussize="0,0"/>
              <v:stroke on="f" weight="0.5pt"/>
              <v:imagedata o:title=""/>
              <o:lock v:ext="edit" aspectratio="f"/>
              <v:textbox inset="0mm,0mm,0mm,0mm" style="mso-fit-shape-to-text:t;">
                <w:txbxContent>
                  <w:p>
                    <w:pPr>
                      <w:pStyle w:val="70"/>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0"/>
      <w:framePr w:wrap="around" w:vAnchor="text" w:hAnchor="margin" w:xAlign="center" w:y="1"/>
      <w:rPr>
        <w:rStyle w:val="108"/>
      </w:rPr>
    </w:pPr>
    <w:r>
      <w:fldChar w:fldCharType="begin"/>
    </w:r>
    <w:r>
      <w:rPr>
        <w:rStyle w:val="108"/>
      </w:rPr>
      <w:instrText xml:space="preserve">PAGE  </w:instrText>
    </w:r>
    <w:r>
      <w:fldChar w:fldCharType="end"/>
    </w:r>
  </w:p>
  <w:p>
    <w:pPr>
      <w:pStyle w:val="70"/>
      <w:ind w:right="360"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0"/>
      <w:ind w:right="360"/>
      <w:jc w:val="both"/>
    </w:pPr>
    <w:r>
      <mc:AlternateContent>
        <mc:Choice Requires="wps">
          <w:drawing>
            <wp:anchor distT="0" distB="0" distL="114300" distR="114300" simplePos="0" relativeHeight="251661312" behindDoc="0" locked="0" layoutInCell="1" allowOverlap="1">
              <wp:simplePos x="0" y="0"/>
              <wp:positionH relativeFrom="margin">
                <wp:posOffset>2836545</wp:posOffset>
              </wp:positionH>
              <wp:positionV relativeFrom="paragraph">
                <wp:posOffset>-220345</wp:posOffset>
              </wp:positionV>
              <wp:extent cx="1828800" cy="1828800"/>
              <wp:effectExtent l="0" t="0" r="0" b="0"/>
              <wp:wrapNone/>
              <wp:docPr id="161" name="文本框 16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0"/>
                            <w:jc w:val="both"/>
                            <w:rPr>
                              <w:rStyle w:val="108"/>
                              <w:rFonts w:ascii="宋体" w:hAnsi="宋体"/>
                              <w:sz w:val="28"/>
                              <w:szCs w:val="28"/>
                            </w:rPr>
                          </w:pPr>
                          <w:r>
                            <w:rPr>
                              <w:rStyle w:val="108"/>
                              <w:rFonts w:hint="eastAsia" w:ascii="宋体" w:hAnsi="宋体"/>
                              <w:sz w:val="28"/>
                              <w:szCs w:val="28"/>
                            </w:rPr>
                            <w:t>—</w:t>
                          </w:r>
                          <w:r>
                            <w:rPr>
                              <w:rStyle w:val="108"/>
                              <w:rFonts w:hint="eastAsia" w:ascii="宋体" w:hAnsi="宋体"/>
                              <w:sz w:val="20"/>
                            </w:rPr>
                            <w:t xml:space="preserve">  </w:t>
                          </w:r>
                          <w:r>
                            <w:rPr>
                              <w:rStyle w:val="108"/>
                              <w:rFonts w:ascii="宋体" w:hAnsi="宋体"/>
                              <w:sz w:val="26"/>
                              <w:szCs w:val="26"/>
                            </w:rPr>
                            <w:fldChar w:fldCharType="begin"/>
                          </w:r>
                          <w:r>
                            <w:rPr>
                              <w:rStyle w:val="108"/>
                              <w:rFonts w:ascii="宋体" w:hAnsi="宋体"/>
                              <w:sz w:val="26"/>
                              <w:szCs w:val="26"/>
                            </w:rPr>
                            <w:instrText xml:space="preserve">PAGE  </w:instrText>
                          </w:r>
                          <w:r>
                            <w:rPr>
                              <w:rStyle w:val="108"/>
                              <w:rFonts w:ascii="宋体" w:hAnsi="宋体"/>
                              <w:sz w:val="26"/>
                              <w:szCs w:val="26"/>
                            </w:rPr>
                            <w:fldChar w:fldCharType="separate"/>
                          </w:r>
                          <w:r>
                            <w:rPr>
                              <w:rStyle w:val="108"/>
                              <w:rFonts w:ascii="宋体" w:hAnsi="宋体"/>
                              <w:sz w:val="26"/>
                              <w:szCs w:val="26"/>
                            </w:rPr>
                            <w:t>57</w:t>
                          </w:r>
                          <w:r>
                            <w:rPr>
                              <w:rStyle w:val="108"/>
                              <w:rFonts w:ascii="宋体" w:hAnsi="宋体"/>
                              <w:sz w:val="26"/>
                              <w:szCs w:val="26"/>
                            </w:rPr>
                            <w:fldChar w:fldCharType="end"/>
                          </w:r>
                          <w:r>
                            <w:rPr>
                              <w:rStyle w:val="108"/>
                              <w:rFonts w:hint="eastAsia" w:ascii="宋体" w:hAnsi="宋体"/>
                              <w:sz w:val="20"/>
                            </w:rPr>
                            <w:t xml:space="preserve">  </w:t>
                          </w:r>
                          <w:r>
                            <w:rPr>
                              <w:rStyle w:val="108"/>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left:223.35pt;margin-top:-17.35pt;height:144pt;width:144pt;mso-position-horizontal-relative:margin;mso-wrap-style:none;z-index:251661312;mso-width-relative:page;mso-height-relative:page;" filled="f" stroked="f" coordsize="21600,21600" o:gfxdata="UEsDBAoAAAAAAIdO4kAAAAAAAAAAAAAAAAAEAAAAZHJzL1BLAwQUAAAACACHTuJAS5oUf9cAAAAL&#10;AQAADwAAAGRycy9kb3ducmV2LnhtbE2PwU7DMAyG70i8Q2Qkblu6tWyoNJ3ERDkisXLgmDWmLTRO&#10;lWRdeXsMl3H7LX/6/bnYzXYQE/rQO1KwWiYgkBpnemoVvNXV4h5EiJqMHhyhgm8MsCuvrwqdG3em&#10;V5wOsRVcQiHXCroYx1zK0HRodVi6EYl3H85bHXn0rTRen7ncDnKdJBtpdU98odMj7jtsvg4nq2Bf&#10;1bWfMPjhHZ+r9PPlMcOnWanbm1XyACLiHC8w/OqzOpTsdHQnMkEMCrJss2VUwSLNODCx/QtHBeu7&#10;NAVZFvL/D+UPUEsDBBQAAAAIAIdO4kDfdhyfLAIAAFkEAAAOAAAAZHJzL2Uyb0RvYy54bWytVM2O&#10;0zAQviPxDpbvNG0RVVU1XZWtipAqdqUFcXYdp4nkP9luk/IA8AacuHDnufocfHaSLlo47IGLM/aM&#10;v5nvm3GWN62S5CScr43O6WQ0pkRobopaH3L66eP21ZwSH5gumDRa5PQsPL1ZvXyxbOxCTE1lZCEc&#10;AYj2i8bmtArBLrLM80oo5kfGCg1naZxiAVt3yArHGqArmU3H41nWGFdYZ7jwHqebzkl7RPccQFOW&#10;NRcbw49K6NChOiFZACVf1dbTVaq2LAUPd2XpRSAyp2Aa0ooksPdxzVZLtjg4Zqua9yWw55TwhJNi&#10;tUbSK9SGBUaOrv4LStXcGW/KMOJGZR2RpAhYTMZPtHmomBWJC6T29iq6/3+w/MPp3pG6wCTMJpRo&#10;ptDyy/dvlx+/Lj+/kngIiRrrF4h8sIgN7VvTInw49ziMzNvSqfgFJwI/BD5fBRZtIDxemk/n8zFc&#10;HL5hA/zs8bp1PrwTRpFo5NShg0lYdtr50IUOITGbNttaytRFqUmT09nrN+N04eoBuNTIEUl0xUYr&#10;tPu2Z7Y3xRnEnOmmw1u+rZF8x3y4Zw7jgILxYMIdllIaJDG9RUll3Jd/ncd4dAleShqMV041XhMl&#10;8r1G9wAYBsMNxn4w9FHdGswr+oFakokLLsjBLJ1Rn/GK1jEHXExzZMppGMzb0I04XiEX63UKwrxZ&#10;Fnb6wfIIHcXzdn0MEDDpGkXplOi1wsSlzvSvI470n/sU9fhHWP0G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5oUf9cAAAALAQAADwAAAAAAAAABACAAAAAiAAAAZHJzL2Rvd25yZXYueG1sUEsBAhQA&#10;FAAAAAgAh07iQN92HJ8sAgAAWQQAAA4AAAAAAAAAAQAgAAAAJgEAAGRycy9lMm9Eb2MueG1sUEsF&#10;BgAAAAAGAAYAWQEAAMQFAAAAAA==&#10;">
              <v:fill on="f" focussize="0,0"/>
              <v:stroke on="f" weight="0.5pt"/>
              <v:imagedata o:title=""/>
              <o:lock v:ext="edit" aspectratio="f"/>
              <v:textbox inset="0mm,0mm,0mm,0mm" style="mso-fit-shape-to-text:t;">
                <w:txbxContent>
                  <w:p>
                    <w:pPr>
                      <w:pStyle w:val="70"/>
                      <w:jc w:val="both"/>
                      <w:rPr>
                        <w:rStyle w:val="108"/>
                        <w:rFonts w:ascii="宋体" w:hAnsi="宋体"/>
                        <w:sz w:val="28"/>
                        <w:szCs w:val="28"/>
                      </w:rPr>
                    </w:pPr>
                    <w:r>
                      <w:rPr>
                        <w:rStyle w:val="108"/>
                        <w:rFonts w:hint="eastAsia" w:ascii="宋体" w:hAnsi="宋体"/>
                        <w:sz w:val="28"/>
                        <w:szCs w:val="28"/>
                      </w:rPr>
                      <w:t>—</w:t>
                    </w:r>
                    <w:r>
                      <w:rPr>
                        <w:rStyle w:val="108"/>
                        <w:rFonts w:hint="eastAsia" w:ascii="宋体" w:hAnsi="宋体"/>
                        <w:sz w:val="20"/>
                      </w:rPr>
                      <w:t xml:space="preserve">  </w:t>
                    </w:r>
                    <w:r>
                      <w:rPr>
                        <w:rStyle w:val="108"/>
                        <w:rFonts w:ascii="宋体" w:hAnsi="宋体"/>
                        <w:sz w:val="26"/>
                        <w:szCs w:val="26"/>
                      </w:rPr>
                      <w:fldChar w:fldCharType="begin"/>
                    </w:r>
                    <w:r>
                      <w:rPr>
                        <w:rStyle w:val="108"/>
                        <w:rFonts w:ascii="宋体" w:hAnsi="宋体"/>
                        <w:sz w:val="26"/>
                        <w:szCs w:val="26"/>
                      </w:rPr>
                      <w:instrText xml:space="preserve">PAGE  </w:instrText>
                    </w:r>
                    <w:r>
                      <w:rPr>
                        <w:rStyle w:val="108"/>
                        <w:rFonts w:ascii="宋体" w:hAnsi="宋体"/>
                        <w:sz w:val="26"/>
                        <w:szCs w:val="26"/>
                      </w:rPr>
                      <w:fldChar w:fldCharType="separate"/>
                    </w:r>
                    <w:r>
                      <w:rPr>
                        <w:rStyle w:val="108"/>
                        <w:rFonts w:ascii="宋体" w:hAnsi="宋体"/>
                        <w:sz w:val="26"/>
                        <w:szCs w:val="26"/>
                      </w:rPr>
                      <w:t>57</w:t>
                    </w:r>
                    <w:r>
                      <w:rPr>
                        <w:rStyle w:val="108"/>
                        <w:rFonts w:ascii="宋体" w:hAnsi="宋体"/>
                        <w:sz w:val="26"/>
                        <w:szCs w:val="26"/>
                      </w:rPr>
                      <w:fldChar w:fldCharType="end"/>
                    </w:r>
                    <w:r>
                      <w:rPr>
                        <w:rStyle w:val="108"/>
                        <w:rFonts w:hint="eastAsia" w:ascii="宋体" w:hAnsi="宋体"/>
                        <w:sz w:val="20"/>
                      </w:rPr>
                      <w:t xml:space="preserve">  </w:t>
                    </w:r>
                    <w:r>
                      <w:rPr>
                        <w:rStyle w:val="108"/>
                        <w:rFonts w:hint="eastAsia" w:ascii="宋体" w:hAnsi="宋体"/>
                        <w:sz w:val="28"/>
                        <w:szCs w:val="28"/>
                      </w:rPr>
                      <w:t>—</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0"/>
      <w:ind w:right="360" w:firstLine="360"/>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164" name="文本框 16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0"/>
                            <w:rPr>
                              <w:rStyle w:val="108"/>
                              <w:rFonts w:ascii="宋体" w:hAnsi="宋体"/>
                              <w:sz w:val="28"/>
                              <w:szCs w:val="28"/>
                            </w:rPr>
                          </w:pPr>
                          <w:r>
                            <w:rPr>
                              <w:rStyle w:val="108"/>
                              <w:rFonts w:hint="eastAsia" w:ascii="宋体" w:hAnsi="宋体"/>
                              <w:sz w:val="28"/>
                              <w:szCs w:val="28"/>
                            </w:rPr>
                            <w:t>—</w:t>
                          </w:r>
                          <w:r>
                            <w:rPr>
                              <w:rStyle w:val="108"/>
                              <w:rFonts w:hint="eastAsia" w:ascii="宋体" w:hAnsi="宋体"/>
                              <w:sz w:val="20"/>
                            </w:rPr>
                            <w:t xml:space="preserve">  </w:t>
                          </w:r>
                          <w:r>
                            <w:rPr>
                              <w:rStyle w:val="108"/>
                              <w:rFonts w:ascii="宋体" w:hAnsi="宋体"/>
                              <w:sz w:val="26"/>
                              <w:szCs w:val="26"/>
                            </w:rPr>
                            <w:fldChar w:fldCharType="begin"/>
                          </w:r>
                          <w:r>
                            <w:rPr>
                              <w:rStyle w:val="108"/>
                              <w:rFonts w:ascii="宋体" w:hAnsi="宋体"/>
                              <w:sz w:val="26"/>
                              <w:szCs w:val="26"/>
                            </w:rPr>
                            <w:instrText xml:space="preserve">PAGE  </w:instrText>
                          </w:r>
                          <w:r>
                            <w:rPr>
                              <w:rStyle w:val="108"/>
                              <w:rFonts w:ascii="宋体" w:hAnsi="宋体"/>
                              <w:sz w:val="26"/>
                              <w:szCs w:val="26"/>
                            </w:rPr>
                            <w:fldChar w:fldCharType="separate"/>
                          </w:r>
                          <w:r>
                            <w:rPr>
                              <w:rStyle w:val="108"/>
                              <w:rFonts w:ascii="宋体" w:hAnsi="宋体"/>
                              <w:sz w:val="26"/>
                              <w:szCs w:val="26"/>
                            </w:rPr>
                            <w:t>98</w:t>
                          </w:r>
                          <w:r>
                            <w:rPr>
                              <w:rStyle w:val="108"/>
                              <w:rFonts w:ascii="宋体" w:hAnsi="宋体"/>
                              <w:sz w:val="26"/>
                              <w:szCs w:val="26"/>
                            </w:rPr>
                            <w:fldChar w:fldCharType="end"/>
                          </w:r>
                          <w:r>
                            <w:rPr>
                              <w:rStyle w:val="108"/>
                              <w:rFonts w:hint="eastAsia" w:ascii="宋体" w:hAnsi="宋体"/>
                              <w:sz w:val="20"/>
                            </w:rPr>
                            <w:t xml:space="preserve">  </w:t>
                          </w:r>
                          <w:r>
                            <w:rPr>
                              <w:rStyle w:val="108"/>
                              <w:rFonts w:hint="eastAsia" w:ascii="宋体" w:hAnsi="宋体"/>
                              <w:sz w:val="28"/>
                              <w:szCs w:val="28"/>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hQ8G0tAgAAWQQAAA4AAABkcnMvZTJvRG9jLnhtbK1UzY7TMBC+I/EO&#10;lu80aYGqqpquylZFSBW7UkGcXcdpIvlPttukPAC8AScu3Pe5+hx8zk8XLRz2wMUZe8bf+PtmJoub&#10;RklyEs5XRmd0PEopEZqbvNKHjH7+tHk1o8QHpnMmjRYZPQtPb5YvXyxqOxcTUxqZC0cAov28thkt&#10;Q7DzJPG8FIr5kbFCw1kYp1jA1h2S3LEa6EomkzSdJrVxuXWGC+9xuu6ctEd0zwE0RVFxsTb8qIQO&#10;HaoTkgVQ8mVlPV22ry0KwcNdUXgRiMwomIZ2RRLY+7gmywWbHxyzZcX7J7DnPOEJJ8UqjaRXqDUL&#10;jBxd9ReUqrgz3hRhxI1KOiKtImAxTp9osyuZFS0XSO3tVXT//2D5x9O9I1WOTpi+oUQzhZJffny/&#10;/Hy4/PpG4iEkqq2fI3JnERuad6ZB+HDucRiZN4VT8QtOBH4IfL4KLJpAeLw0m8xmKVwcvmED/OTx&#10;unU+vBdGkWhk1KGCrbDstPWhCx1CYjZtNpWUbRWlJnVGp6/fpu2FqwfgUiNHJNE9Nlqh2Tc9s73J&#10;zyDmTNcd3vJNheRb5sM9c2gHPBgDE+6wFNIgiektSkrjvv7rPMajSvBSUqO9MqoxTZTIDxrVA2AY&#10;DDcY+8HQR3Vr0K9jDKLlrYkLLsjBLJxRXzBFq5gDLqY5MmU0DOZt6FocU8jFatUGod8sC1u9szxC&#10;R/G8XR0DBGx1jaJ0SvRaoePayvTTEVv6z30b9fhHWP4G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lgQAAFtDb250ZW50X1R5cGVzXS54bWxQSwEC&#10;FAAKAAAAAACHTuJAAAAAAAAAAAAAAAAABgAAAAAAAAAAABAAAAB4AwAAX3JlbHMvUEsBAhQAFAAA&#10;AAgAh07iQIoUZjzRAAAAlAEAAAsAAAAAAAAAAQAgAAAAnAMAAF9yZWxzLy5yZWxzUEsBAhQACgAA&#10;AAAAh07iQAAAAAAAAAAAAAAAAAQAAAAAAAAAAAAQAAAAAAAAAGRycy9QSwECFAAUAAAACACHTuJA&#10;s0lY7tAAAAAFAQAADwAAAAAAAAABACAAAAAiAAAAZHJzL2Rvd25yZXYueG1sUEsBAhQAFAAAAAgA&#10;h07iQMhQ8G0tAgAAWQQAAA4AAAAAAAAAAQAgAAAAHwEAAGRycy9lMm9Eb2MueG1sUEsFBgAAAAAG&#10;AAYAWQEAAL4FAAAAAA==&#10;">
              <v:fill on="f" focussize="0,0"/>
              <v:stroke on="f" weight="0.5pt"/>
              <v:imagedata o:title=""/>
              <o:lock v:ext="edit" aspectratio="f"/>
              <v:textbox inset="0mm,0mm,0mm,0mm" style="mso-fit-shape-to-text:t;">
                <w:txbxContent>
                  <w:p>
                    <w:pPr>
                      <w:pStyle w:val="70"/>
                      <w:rPr>
                        <w:rStyle w:val="108"/>
                        <w:rFonts w:ascii="宋体" w:hAnsi="宋体"/>
                        <w:sz w:val="28"/>
                        <w:szCs w:val="28"/>
                      </w:rPr>
                    </w:pPr>
                    <w:r>
                      <w:rPr>
                        <w:rStyle w:val="108"/>
                        <w:rFonts w:hint="eastAsia" w:ascii="宋体" w:hAnsi="宋体"/>
                        <w:sz w:val="28"/>
                        <w:szCs w:val="28"/>
                      </w:rPr>
                      <w:t>—</w:t>
                    </w:r>
                    <w:r>
                      <w:rPr>
                        <w:rStyle w:val="108"/>
                        <w:rFonts w:hint="eastAsia" w:ascii="宋体" w:hAnsi="宋体"/>
                        <w:sz w:val="20"/>
                      </w:rPr>
                      <w:t xml:space="preserve">  </w:t>
                    </w:r>
                    <w:r>
                      <w:rPr>
                        <w:rStyle w:val="108"/>
                        <w:rFonts w:ascii="宋体" w:hAnsi="宋体"/>
                        <w:sz w:val="26"/>
                        <w:szCs w:val="26"/>
                      </w:rPr>
                      <w:fldChar w:fldCharType="begin"/>
                    </w:r>
                    <w:r>
                      <w:rPr>
                        <w:rStyle w:val="108"/>
                        <w:rFonts w:ascii="宋体" w:hAnsi="宋体"/>
                        <w:sz w:val="26"/>
                        <w:szCs w:val="26"/>
                      </w:rPr>
                      <w:instrText xml:space="preserve">PAGE  </w:instrText>
                    </w:r>
                    <w:r>
                      <w:rPr>
                        <w:rStyle w:val="108"/>
                        <w:rFonts w:ascii="宋体" w:hAnsi="宋体"/>
                        <w:sz w:val="26"/>
                        <w:szCs w:val="26"/>
                      </w:rPr>
                      <w:fldChar w:fldCharType="separate"/>
                    </w:r>
                    <w:r>
                      <w:rPr>
                        <w:rStyle w:val="108"/>
                        <w:rFonts w:ascii="宋体" w:hAnsi="宋体"/>
                        <w:sz w:val="26"/>
                        <w:szCs w:val="26"/>
                      </w:rPr>
                      <w:t>98</w:t>
                    </w:r>
                    <w:r>
                      <w:rPr>
                        <w:rStyle w:val="108"/>
                        <w:rFonts w:ascii="宋体" w:hAnsi="宋体"/>
                        <w:sz w:val="26"/>
                        <w:szCs w:val="26"/>
                      </w:rPr>
                      <w:fldChar w:fldCharType="end"/>
                    </w:r>
                    <w:r>
                      <w:rPr>
                        <w:rStyle w:val="108"/>
                        <w:rFonts w:hint="eastAsia" w:ascii="宋体" w:hAnsi="宋体"/>
                        <w:sz w:val="20"/>
                      </w:rPr>
                      <w:t xml:space="preserve">  </w:t>
                    </w:r>
                    <w:r>
                      <w:rPr>
                        <w:rStyle w:val="108"/>
                        <w:rFonts w:hint="eastAsia" w:ascii="宋体" w:hAnsi="宋体"/>
                        <w:sz w:val="28"/>
                        <w:szCs w:val="28"/>
                      </w:rPr>
                      <w:t>—</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2"/>
      <w:pBdr>
        <w:bottom w:val="none" w:color="auto" w:sz="0" w:space="1"/>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690DBD3"/>
    <w:multiLevelType w:val="singleLevel"/>
    <w:tmpl w:val="A690DBD3"/>
    <w:lvl w:ilvl="0" w:tentative="0">
      <w:start w:val="2"/>
      <w:numFmt w:val="upperLetter"/>
      <w:suff w:val="nothing"/>
      <w:lvlText w:val="%1、"/>
      <w:lvlJc w:val="left"/>
    </w:lvl>
  </w:abstractNum>
  <w:abstractNum w:abstractNumId="1">
    <w:nsid w:val="BFD3EC27"/>
    <w:multiLevelType w:val="singleLevel"/>
    <w:tmpl w:val="BFD3EC27"/>
    <w:lvl w:ilvl="0" w:tentative="0">
      <w:start w:val="2"/>
      <w:numFmt w:val="decimal"/>
      <w:suff w:val="nothing"/>
      <w:lvlText w:val="（%1）"/>
      <w:lvlJc w:val="left"/>
    </w:lvl>
  </w:abstractNum>
  <w:abstractNum w:abstractNumId="2">
    <w:nsid w:val="C4A46792"/>
    <w:multiLevelType w:val="multilevel"/>
    <w:tmpl w:val="C4A46792"/>
    <w:lvl w:ilvl="0" w:tentative="0">
      <w:start w:val="1"/>
      <w:numFmt w:val="decimalEnclosedCircle"/>
      <w:pStyle w:val="31"/>
      <w:lvlText w:val="%1"/>
      <w:lvlJc w:val="left"/>
      <w:pPr>
        <w:tabs>
          <w:tab w:val="left" w:pos="0"/>
        </w:tabs>
        <w:ind w:left="360" w:hanging="360"/>
      </w:pPr>
    </w:lvl>
    <w:lvl w:ilvl="1" w:tentative="0">
      <w:start w:val="1"/>
      <w:numFmt w:val="lowerLetter"/>
      <w:lvlText w:val="%2)"/>
      <w:lvlJc w:val="left"/>
      <w:pPr>
        <w:tabs>
          <w:tab w:val="left" w:pos="0"/>
        </w:tabs>
        <w:ind w:left="840" w:hanging="420"/>
      </w:pPr>
    </w:lvl>
    <w:lvl w:ilvl="2" w:tentative="0">
      <w:start w:val="1"/>
      <w:numFmt w:val="lowerRoman"/>
      <w:lvlText w:val="%3."/>
      <w:lvlJc w:val="right"/>
      <w:pPr>
        <w:tabs>
          <w:tab w:val="left" w:pos="0"/>
        </w:tabs>
        <w:ind w:left="1260" w:hanging="420"/>
      </w:pPr>
    </w:lvl>
    <w:lvl w:ilvl="3" w:tentative="0">
      <w:start w:val="1"/>
      <w:numFmt w:val="decimal"/>
      <w:lvlText w:val="%4."/>
      <w:lvlJc w:val="left"/>
      <w:pPr>
        <w:tabs>
          <w:tab w:val="left" w:pos="0"/>
        </w:tabs>
        <w:ind w:left="1680" w:hanging="420"/>
      </w:pPr>
    </w:lvl>
    <w:lvl w:ilvl="4" w:tentative="0">
      <w:start w:val="1"/>
      <w:numFmt w:val="lowerLetter"/>
      <w:lvlText w:val="%5)"/>
      <w:lvlJc w:val="left"/>
      <w:pPr>
        <w:tabs>
          <w:tab w:val="left" w:pos="0"/>
        </w:tabs>
        <w:ind w:left="2100" w:hanging="420"/>
      </w:pPr>
    </w:lvl>
    <w:lvl w:ilvl="5" w:tentative="0">
      <w:start w:val="1"/>
      <w:numFmt w:val="lowerRoman"/>
      <w:lvlText w:val="%6."/>
      <w:lvlJc w:val="right"/>
      <w:pPr>
        <w:tabs>
          <w:tab w:val="left" w:pos="0"/>
        </w:tabs>
        <w:ind w:left="2520" w:hanging="420"/>
      </w:pPr>
    </w:lvl>
    <w:lvl w:ilvl="6" w:tentative="0">
      <w:start w:val="1"/>
      <w:numFmt w:val="decimal"/>
      <w:lvlText w:val="%7."/>
      <w:lvlJc w:val="left"/>
      <w:pPr>
        <w:tabs>
          <w:tab w:val="left" w:pos="0"/>
        </w:tabs>
        <w:ind w:left="2940" w:hanging="420"/>
      </w:pPr>
    </w:lvl>
    <w:lvl w:ilvl="7" w:tentative="0">
      <w:start w:val="1"/>
      <w:numFmt w:val="lowerLetter"/>
      <w:lvlText w:val="%8)"/>
      <w:lvlJc w:val="left"/>
      <w:pPr>
        <w:tabs>
          <w:tab w:val="left" w:pos="0"/>
        </w:tabs>
        <w:ind w:left="3360" w:hanging="420"/>
      </w:pPr>
    </w:lvl>
    <w:lvl w:ilvl="8" w:tentative="0">
      <w:start w:val="1"/>
      <w:numFmt w:val="lowerRoman"/>
      <w:lvlText w:val="%9."/>
      <w:lvlJc w:val="right"/>
      <w:pPr>
        <w:tabs>
          <w:tab w:val="left" w:pos="0"/>
        </w:tabs>
        <w:ind w:left="3780" w:hanging="420"/>
      </w:pPr>
    </w:lvl>
  </w:abstractNum>
  <w:abstractNum w:abstractNumId="3">
    <w:nsid w:val="D04776DB"/>
    <w:multiLevelType w:val="singleLevel"/>
    <w:tmpl w:val="D04776DB"/>
    <w:lvl w:ilvl="0" w:tentative="0">
      <w:start w:val="2"/>
      <w:numFmt w:val="chineseCounting"/>
      <w:suff w:val="nothing"/>
      <w:lvlText w:val="%1、"/>
      <w:lvlJc w:val="left"/>
      <w:rPr>
        <w:rFonts w:hint="eastAsia"/>
      </w:rPr>
    </w:lvl>
  </w:abstractNum>
  <w:abstractNum w:abstractNumId="4">
    <w:nsid w:val="D1F32719"/>
    <w:multiLevelType w:val="singleLevel"/>
    <w:tmpl w:val="D1F32719"/>
    <w:lvl w:ilvl="0" w:tentative="0">
      <w:start w:val="1"/>
      <w:numFmt w:val="chineseCounting"/>
      <w:pStyle w:val="62"/>
      <w:suff w:val="nothing"/>
      <w:lvlText w:val="%1、"/>
      <w:lvlJc w:val="left"/>
      <w:rPr>
        <w:rFonts w:hint="eastAsia"/>
      </w:rPr>
    </w:lvl>
  </w:abstractNum>
  <w:abstractNum w:abstractNumId="5">
    <w:nsid w:val="D3ABAAEF"/>
    <w:multiLevelType w:val="singleLevel"/>
    <w:tmpl w:val="D3ABAAEF"/>
    <w:lvl w:ilvl="0" w:tentative="0">
      <w:start w:val="1"/>
      <w:numFmt w:val="upperLetter"/>
      <w:suff w:val="nothing"/>
      <w:lvlText w:val="%1、"/>
      <w:lvlJc w:val="left"/>
    </w:lvl>
  </w:abstractNum>
  <w:abstractNum w:abstractNumId="6">
    <w:nsid w:val="E41CAED2"/>
    <w:multiLevelType w:val="singleLevel"/>
    <w:tmpl w:val="E41CAED2"/>
    <w:lvl w:ilvl="0" w:tentative="0">
      <w:start w:val="1"/>
      <w:numFmt w:val="chineseCounting"/>
      <w:suff w:val="nothing"/>
      <w:lvlText w:val="%1、"/>
      <w:lvlJc w:val="left"/>
      <w:rPr>
        <w:rFonts w:hint="eastAsia"/>
      </w:rPr>
    </w:lvl>
  </w:abstractNum>
  <w:abstractNum w:abstractNumId="7">
    <w:nsid w:val="F6563E80"/>
    <w:multiLevelType w:val="singleLevel"/>
    <w:tmpl w:val="F6563E80"/>
    <w:lvl w:ilvl="0" w:tentative="0">
      <w:start w:val="1"/>
      <w:numFmt w:val="decimal"/>
      <w:pStyle w:val="46"/>
      <w:lvlText w:val="%1."/>
      <w:lvlJc w:val="left"/>
      <w:pPr>
        <w:ind w:left="425" w:hanging="425"/>
      </w:pPr>
      <w:rPr>
        <w:rFonts w:hint="default"/>
      </w:rPr>
    </w:lvl>
  </w:abstractNum>
  <w:abstractNum w:abstractNumId="8">
    <w:nsid w:val="14E55163"/>
    <w:multiLevelType w:val="singleLevel"/>
    <w:tmpl w:val="14E55163"/>
    <w:lvl w:ilvl="0" w:tentative="0">
      <w:start w:val="5"/>
      <w:numFmt w:val="decimal"/>
      <w:suff w:val="nothing"/>
      <w:lvlText w:val="%1、"/>
      <w:lvlJc w:val="left"/>
      <w:pPr>
        <w:ind w:left="-2"/>
      </w:pPr>
    </w:lvl>
  </w:abstractNum>
  <w:abstractNum w:abstractNumId="9">
    <w:nsid w:val="1526348D"/>
    <w:multiLevelType w:val="singleLevel"/>
    <w:tmpl w:val="1526348D"/>
    <w:lvl w:ilvl="0" w:tentative="0">
      <w:start w:val="1"/>
      <w:numFmt w:val="decimal"/>
      <w:pStyle w:val="37"/>
      <w:suff w:val="nothing"/>
      <w:lvlText w:val="%1、"/>
      <w:lvlJc w:val="left"/>
    </w:lvl>
  </w:abstractNum>
  <w:abstractNum w:abstractNumId="10">
    <w:nsid w:val="1B41623B"/>
    <w:multiLevelType w:val="singleLevel"/>
    <w:tmpl w:val="1B41623B"/>
    <w:lvl w:ilvl="0" w:tentative="0">
      <w:start w:val="2"/>
      <w:numFmt w:val="upperLetter"/>
      <w:suff w:val="nothing"/>
      <w:lvlText w:val="%1、"/>
      <w:lvlJc w:val="left"/>
    </w:lvl>
  </w:abstractNum>
  <w:abstractNum w:abstractNumId="11">
    <w:nsid w:val="1C7A3C1F"/>
    <w:multiLevelType w:val="multilevel"/>
    <w:tmpl w:val="1C7A3C1F"/>
    <w:lvl w:ilvl="0" w:tentative="0">
      <w:start w:val="1"/>
      <w:numFmt w:val="decimal"/>
      <w:pStyle w:val="49"/>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2">
    <w:nsid w:val="28A32486"/>
    <w:multiLevelType w:val="multilevel"/>
    <w:tmpl w:val="28A32486"/>
    <w:lvl w:ilvl="0" w:tentative="0">
      <w:start w:val="1"/>
      <w:numFmt w:val="decimal"/>
      <w:pStyle w:val="53"/>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398201A0"/>
    <w:multiLevelType w:val="multilevel"/>
    <w:tmpl w:val="398201A0"/>
    <w:lvl w:ilvl="0" w:tentative="0">
      <w:start w:val="2"/>
      <w:numFmt w:val="decimal"/>
      <w:pStyle w:val="28"/>
      <w:suff w:val="nothing"/>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4">
    <w:nsid w:val="3D038E6B"/>
    <w:multiLevelType w:val="singleLevel"/>
    <w:tmpl w:val="3D038E6B"/>
    <w:lvl w:ilvl="0" w:tentative="0">
      <w:start w:val="3"/>
      <w:numFmt w:val="decimal"/>
      <w:suff w:val="nothing"/>
      <w:lvlText w:val="（%1）"/>
      <w:lvlJc w:val="left"/>
    </w:lvl>
  </w:abstractNum>
  <w:abstractNum w:abstractNumId="15">
    <w:nsid w:val="52305015"/>
    <w:multiLevelType w:val="multilevel"/>
    <w:tmpl w:val="52305015"/>
    <w:lvl w:ilvl="0" w:tentative="0">
      <w:start w:val="2"/>
      <w:numFmt w:val="chineseCounting"/>
      <w:pStyle w:val="61"/>
      <w:suff w:val="nothing"/>
      <w:lvlText w:val="%1、"/>
      <w:lvlJc w:val="left"/>
      <w:pPr>
        <w:tabs>
          <w:tab w:val="left" w:pos="0"/>
        </w:tabs>
        <w:ind w:left="0" w:firstLine="0"/>
      </w:pPr>
    </w:lvl>
    <w:lvl w:ilvl="1" w:tentative="0">
      <w:start w:val="1"/>
      <w:numFmt w:val="decimal"/>
      <w:lvlText w:val="%2."/>
      <w:lvlJc w:val="left"/>
      <w:pPr>
        <w:tabs>
          <w:tab w:val="left" w:pos="1440"/>
        </w:tabs>
        <w:ind w:left="1440" w:hanging="360"/>
      </w:pPr>
    </w:lvl>
    <w:lvl w:ilvl="2" w:tentative="0">
      <w:start w:val="1"/>
      <w:numFmt w:val="decimal"/>
      <w:lvlText w:val="%3."/>
      <w:lvlJc w:val="left"/>
      <w:pPr>
        <w:tabs>
          <w:tab w:val="left" w:pos="2160"/>
        </w:tabs>
        <w:ind w:left="2160" w:hanging="360"/>
      </w:pPr>
    </w:lvl>
    <w:lvl w:ilvl="3" w:tentative="0">
      <w:start w:val="1"/>
      <w:numFmt w:val="decimal"/>
      <w:lvlText w:val="%4."/>
      <w:lvlJc w:val="left"/>
      <w:pPr>
        <w:tabs>
          <w:tab w:val="left" w:pos="2880"/>
        </w:tabs>
        <w:ind w:left="2880" w:hanging="360"/>
      </w:pPr>
    </w:lvl>
    <w:lvl w:ilvl="4" w:tentative="0">
      <w:start w:val="1"/>
      <w:numFmt w:val="decimal"/>
      <w:lvlText w:val="%5."/>
      <w:lvlJc w:val="left"/>
      <w:pPr>
        <w:tabs>
          <w:tab w:val="left" w:pos="3600"/>
        </w:tabs>
        <w:ind w:left="3600" w:hanging="360"/>
      </w:pPr>
    </w:lvl>
    <w:lvl w:ilvl="5" w:tentative="0">
      <w:start w:val="1"/>
      <w:numFmt w:val="decimal"/>
      <w:lvlText w:val="%6."/>
      <w:lvlJc w:val="left"/>
      <w:pPr>
        <w:tabs>
          <w:tab w:val="left" w:pos="4320"/>
        </w:tabs>
        <w:ind w:left="4320" w:hanging="360"/>
      </w:pPr>
    </w:lvl>
    <w:lvl w:ilvl="6" w:tentative="0">
      <w:start w:val="1"/>
      <w:numFmt w:val="decimal"/>
      <w:lvlText w:val="%7."/>
      <w:lvlJc w:val="left"/>
      <w:pPr>
        <w:tabs>
          <w:tab w:val="left" w:pos="5040"/>
        </w:tabs>
        <w:ind w:left="5040" w:hanging="360"/>
      </w:pPr>
    </w:lvl>
    <w:lvl w:ilvl="7" w:tentative="0">
      <w:start w:val="1"/>
      <w:numFmt w:val="decimal"/>
      <w:lvlText w:val="%8."/>
      <w:lvlJc w:val="left"/>
      <w:pPr>
        <w:tabs>
          <w:tab w:val="left" w:pos="5760"/>
        </w:tabs>
        <w:ind w:left="5760" w:hanging="360"/>
      </w:pPr>
    </w:lvl>
    <w:lvl w:ilvl="8" w:tentative="0">
      <w:start w:val="1"/>
      <w:numFmt w:val="decimal"/>
      <w:lvlText w:val="%9."/>
      <w:lvlJc w:val="left"/>
      <w:pPr>
        <w:tabs>
          <w:tab w:val="left" w:pos="6480"/>
        </w:tabs>
        <w:ind w:left="6480" w:hanging="360"/>
      </w:pPr>
    </w:lvl>
  </w:abstractNum>
  <w:abstractNum w:abstractNumId="16">
    <w:nsid w:val="57C2759B"/>
    <w:multiLevelType w:val="multilevel"/>
    <w:tmpl w:val="57C2759B"/>
    <w:lvl w:ilvl="0" w:tentative="0">
      <w:start w:val="1"/>
      <w:numFmt w:val="decimal"/>
      <w:pStyle w:val="924"/>
      <w:lvlText w:val="表%1"/>
      <w:lvlJc w:val="left"/>
      <w:pPr>
        <w:ind w:left="2264" w:hanging="420"/>
      </w:pPr>
      <w:rPr>
        <w:rFonts w:ascii="Times New Roman" w:hAnsi="Times New Roman" w:eastAsia="Times New Roman"/>
        <w:b/>
        <w:bCs/>
        <w:i w:val="0"/>
        <w:iCs w:val="0"/>
        <w:caps w:val="0"/>
        <w:smallCaps w:val="0"/>
        <w:strike w:val="0"/>
        <w:dstrike w:val="0"/>
        <w:outline w:val="0"/>
        <w:shadow w:val="0"/>
        <w:emboss w:val="0"/>
        <w:imprint w:val="0"/>
        <w:color w:val="000000"/>
        <w:spacing w:val="0"/>
        <w:w w:val="100"/>
        <w:kern w:val="2"/>
        <w:position w:val="0"/>
        <w:sz w:val="21"/>
        <w:u w:val="none"/>
        <w:shd w:val="clear" w:color="auto" w:fill="auto"/>
        <w:vertAlign w:val="baseline"/>
        <w:lang w:val="en-U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17">
    <w:nsid w:val="58612A30"/>
    <w:multiLevelType w:val="singleLevel"/>
    <w:tmpl w:val="58612A30"/>
    <w:lvl w:ilvl="0" w:tentative="0">
      <w:start w:val="1"/>
      <w:numFmt w:val="decimal"/>
      <w:pStyle w:val="79"/>
      <w:suff w:val="nothing"/>
      <w:lvlText w:val="%1、"/>
      <w:lvlJc w:val="left"/>
    </w:lvl>
  </w:abstractNum>
  <w:abstractNum w:abstractNumId="18">
    <w:nsid w:val="5BDF4E86"/>
    <w:multiLevelType w:val="multilevel"/>
    <w:tmpl w:val="5BDF4E86"/>
    <w:lvl w:ilvl="0" w:tentative="0">
      <w:start w:val="1"/>
      <w:numFmt w:val="decimal"/>
      <w:suff w:val="nothing"/>
      <w:lvlText w:val="%1、"/>
      <w:lvlJc w:val="left"/>
      <w:pPr>
        <w:ind w:left="3691" w:hanging="42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abstractNum w:abstractNumId="19">
    <w:nsid w:val="5FE35C3A"/>
    <w:multiLevelType w:val="singleLevel"/>
    <w:tmpl w:val="5FE35C3A"/>
    <w:lvl w:ilvl="0" w:tentative="0">
      <w:start w:val="1"/>
      <w:numFmt w:val="decimal"/>
      <w:suff w:val="nothing"/>
      <w:lvlText w:val="%1、"/>
      <w:lvlJc w:val="left"/>
      <w:rPr>
        <w:b/>
      </w:rPr>
    </w:lvl>
  </w:abstractNum>
  <w:abstractNum w:abstractNumId="20">
    <w:nsid w:val="6C92710D"/>
    <w:multiLevelType w:val="multilevel"/>
    <w:tmpl w:val="6C92710D"/>
    <w:lvl w:ilvl="0" w:tentative="0">
      <w:start w:val="1"/>
      <w:numFmt w:val="japaneseCounting"/>
      <w:pStyle w:val="33"/>
      <w:lvlText w:val="%1、"/>
      <w:lvlJc w:val="left"/>
      <w:pPr>
        <w:ind w:left="992" w:hanging="510"/>
      </w:pPr>
      <w:rPr>
        <w:rFonts w:hint="default"/>
      </w:rPr>
    </w:lvl>
    <w:lvl w:ilvl="1" w:tentative="0">
      <w:start w:val="1"/>
      <w:numFmt w:val="lowerLetter"/>
      <w:lvlText w:val="%2)"/>
      <w:lvlJc w:val="left"/>
      <w:pPr>
        <w:ind w:left="1322" w:hanging="420"/>
      </w:pPr>
    </w:lvl>
    <w:lvl w:ilvl="2" w:tentative="0">
      <w:start w:val="1"/>
      <w:numFmt w:val="lowerRoman"/>
      <w:lvlText w:val="%3."/>
      <w:lvlJc w:val="right"/>
      <w:pPr>
        <w:ind w:left="1742" w:hanging="420"/>
      </w:pPr>
    </w:lvl>
    <w:lvl w:ilvl="3" w:tentative="0">
      <w:start w:val="1"/>
      <w:numFmt w:val="decimal"/>
      <w:lvlText w:val="%4."/>
      <w:lvlJc w:val="left"/>
      <w:pPr>
        <w:ind w:left="2162" w:hanging="420"/>
      </w:pPr>
    </w:lvl>
    <w:lvl w:ilvl="4" w:tentative="0">
      <w:start w:val="1"/>
      <w:numFmt w:val="lowerLetter"/>
      <w:lvlText w:val="%5)"/>
      <w:lvlJc w:val="left"/>
      <w:pPr>
        <w:ind w:left="2582" w:hanging="420"/>
      </w:pPr>
    </w:lvl>
    <w:lvl w:ilvl="5" w:tentative="0">
      <w:start w:val="1"/>
      <w:numFmt w:val="lowerRoman"/>
      <w:lvlText w:val="%6."/>
      <w:lvlJc w:val="right"/>
      <w:pPr>
        <w:ind w:left="3002" w:hanging="420"/>
      </w:pPr>
    </w:lvl>
    <w:lvl w:ilvl="6" w:tentative="0">
      <w:start w:val="1"/>
      <w:numFmt w:val="decimal"/>
      <w:lvlText w:val="%7."/>
      <w:lvlJc w:val="left"/>
      <w:pPr>
        <w:ind w:left="3422" w:hanging="420"/>
      </w:pPr>
    </w:lvl>
    <w:lvl w:ilvl="7" w:tentative="0">
      <w:start w:val="1"/>
      <w:numFmt w:val="lowerLetter"/>
      <w:lvlText w:val="%8)"/>
      <w:lvlJc w:val="left"/>
      <w:pPr>
        <w:ind w:left="3842" w:hanging="420"/>
      </w:pPr>
    </w:lvl>
    <w:lvl w:ilvl="8" w:tentative="0">
      <w:start w:val="1"/>
      <w:numFmt w:val="lowerRoman"/>
      <w:lvlText w:val="%9."/>
      <w:lvlJc w:val="right"/>
      <w:pPr>
        <w:ind w:left="4262" w:hanging="420"/>
      </w:pPr>
    </w:lvl>
  </w:abstractNum>
  <w:num w:numId="1">
    <w:abstractNumId w:val="13"/>
  </w:num>
  <w:num w:numId="2">
    <w:abstractNumId w:val="2"/>
  </w:num>
  <w:num w:numId="3">
    <w:abstractNumId w:val="20"/>
  </w:num>
  <w:num w:numId="4">
    <w:abstractNumId w:val="9"/>
  </w:num>
  <w:num w:numId="5">
    <w:abstractNumId w:val="7"/>
  </w:num>
  <w:num w:numId="6">
    <w:abstractNumId w:val="11"/>
  </w:num>
  <w:num w:numId="7">
    <w:abstractNumId w:val="12"/>
  </w:num>
  <w:num w:numId="8">
    <w:abstractNumId w:val="15"/>
  </w:num>
  <w:num w:numId="9">
    <w:abstractNumId w:val="4"/>
  </w:num>
  <w:num w:numId="10">
    <w:abstractNumId w:val="17"/>
  </w:num>
  <w:num w:numId="11">
    <w:abstractNumId w:val="16"/>
  </w:num>
  <w:num w:numId="12">
    <w:abstractNumId w:val="8"/>
  </w:num>
  <w:num w:numId="13">
    <w:abstractNumId w:val="3"/>
  </w:num>
  <w:num w:numId="14">
    <w:abstractNumId w:val="5"/>
  </w:num>
  <w:num w:numId="15">
    <w:abstractNumId w:val="1"/>
  </w:num>
  <w:num w:numId="16">
    <w:abstractNumId w:val="6"/>
  </w:num>
  <w:num w:numId="17">
    <w:abstractNumId w:val="14"/>
  </w:num>
  <w:num w:numId="18">
    <w:abstractNumId w:val="18"/>
  </w:num>
  <w:num w:numId="19">
    <w:abstractNumId w:val="19"/>
  </w:num>
  <w:num w:numId="20">
    <w:abstractNumId w:val="0"/>
  </w:num>
  <w:num w:numId="2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hideSpellingErrors/>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2M4ZDM4ZTUyNjEzYTQ4ZDgyMTBkNmQ1MjkzYzA5YTAifQ=="/>
  </w:docVars>
  <w:rsids>
    <w:rsidRoot w:val="00F452AD"/>
    <w:rsid w:val="00000022"/>
    <w:rsid w:val="000071DC"/>
    <w:rsid w:val="000138A7"/>
    <w:rsid w:val="0001632F"/>
    <w:rsid w:val="00017788"/>
    <w:rsid w:val="00031CF9"/>
    <w:rsid w:val="000332E6"/>
    <w:rsid w:val="000338C1"/>
    <w:rsid w:val="00042169"/>
    <w:rsid w:val="000515D7"/>
    <w:rsid w:val="00052614"/>
    <w:rsid w:val="000536C6"/>
    <w:rsid w:val="00056CDC"/>
    <w:rsid w:val="00062349"/>
    <w:rsid w:val="000829BF"/>
    <w:rsid w:val="000846A8"/>
    <w:rsid w:val="00084847"/>
    <w:rsid w:val="00087450"/>
    <w:rsid w:val="000875B6"/>
    <w:rsid w:val="00093915"/>
    <w:rsid w:val="0009566E"/>
    <w:rsid w:val="00096901"/>
    <w:rsid w:val="000A1A88"/>
    <w:rsid w:val="000A7C1D"/>
    <w:rsid w:val="000B1EEF"/>
    <w:rsid w:val="000B5B2F"/>
    <w:rsid w:val="000C187E"/>
    <w:rsid w:val="000C3203"/>
    <w:rsid w:val="000C3781"/>
    <w:rsid w:val="000C5AED"/>
    <w:rsid w:val="000C7040"/>
    <w:rsid w:val="000D3D87"/>
    <w:rsid w:val="000E0494"/>
    <w:rsid w:val="000E3891"/>
    <w:rsid w:val="000F094E"/>
    <w:rsid w:val="001012FD"/>
    <w:rsid w:val="00106EF6"/>
    <w:rsid w:val="001245BF"/>
    <w:rsid w:val="0013191F"/>
    <w:rsid w:val="0013572C"/>
    <w:rsid w:val="001469EE"/>
    <w:rsid w:val="001507AB"/>
    <w:rsid w:val="00152828"/>
    <w:rsid w:val="0015389B"/>
    <w:rsid w:val="00156E84"/>
    <w:rsid w:val="001727FF"/>
    <w:rsid w:val="00177BCB"/>
    <w:rsid w:val="00190B9D"/>
    <w:rsid w:val="001921F8"/>
    <w:rsid w:val="001A0646"/>
    <w:rsid w:val="001A36CD"/>
    <w:rsid w:val="001A6BF0"/>
    <w:rsid w:val="001B01D7"/>
    <w:rsid w:val="001B1FE2"/>
    <w:rsid w:val="001B26C4"/>
    <w:rsid w:val="001B7057"/>
    <w:rsid w:val="001D1302"/>
    <w:rsid w:val="001D2151"/>
    <w:rsid w:val="001D4BD1"/>
    <w:rsid w:val="001D72B5"/>
    <w:rsid w:val="001E6FC5"/>
    <w:rsid w:val="001F3BBF"/>
    <w:rsid w:val="001F4F05"/>
    <w:rsid w:val="00203CD7"/>
    <w:rsid w:val="00210017"/>
    <w:rsid w:val="00216364"/>
    <w:rsid w:val="00216D6F"/>
    <w:rsid w:val="00224426"/>
    <w:rsid w:val="00226586"/>
    <w:rsid w:val="00234B54"/>
    <w:rsid w:val="002355B3"/>
    <w:rsid w:val="00237BCF"/>
    <w:rsid w:val="00241D5F"/>
    <w:rsid w:val="002452D6"/>
    <w:rsid w:val="00245574"/>
    <w:rsid w:val="00262B05"/>
    <w:rsid w:val="0026497C"/>
    <w:rsid w:val="00271C45"/>
    <w:rsid w:val="002770ED"/>
    <w:rsid w:val="00282E45"/>
    <w:rsid w:val="002847FB"/>
    <w:rsid w:val="00287034"/>
    <w:rsid w:val="002875A8"/>
    <w:rsid w:val="00287E7B"/>
    <w:rsid w:val="0029454C"/>
    <w:rsid w:val="002A1995"/>
    <w:rsid w:val="002A1EF8"/>
    <w:rsid w:val="002A3BF1"/>
    <w:rsid w:val="002A5208"/>
    <w:rsid w:val="002B2281"/>
    <w:rsid w:val="002B27FD"/>
    <w:rsid w:val="002D397E"/>
    <w:rsid w:val="002D3FBB"/>
    <w:rsid w:val="002D738E"/>
    <w:rsid w:val="002F2EB8"/>
    <w:rsid w:val="002F475D"/>
    <w:rsid w:val="00303B7B"/>
    <w:rsid w:val="00310C55"/>
    <w:rsid w:val="00316420"/>
    <w:rsid w:val="003237A1"/>
    <w:rsid w:val="00326CA4"/>
    <w:rsid w:val="00327D35"/>
    <w:rsid w:val="0033655C"/>
    <w:rsid w:val="003431A9"/>
    <w:rsid w:val="003451BE"/>
    <w:rsid w:val="0034529A"/>
    <w:rsid w:val="00345ED6"/>
    <w:rsid w:val="0035276F"/>
    <w:rsid w:val="0036061A"/>
    <w:rsid w:val="0036104F"/>
    <w:rsid w:val="00374C60"/>
    <w:rsid w:val="00374DD6"/>
    <w:rsid w:val="0039224F"/>
    <w:rsid w:val="00394BDF"/>
    <w:rsid w:val="00395556"/>
    <w:rsid w:val="0039735A"/>
    <w:rsid w:val="003977F7"/>
    <w:rsid w:val="003A0698"/>
    <w:rsid w:val="003A49B3"/>
    <w:rsid w:val="003A73B9"/>
    <w:rsid w:val="003B478C"/>
    <w:rsid w:val="003B757F"/>
    <w:rsid w:val="003C28DE"/>
    <w:rsid w:val="003D3F59"/>
    <w:rsid w:val="003D6876"/>
    <w:rsid w:val="003E29AA"/>
    <w:rsid w:val="004042A1"/>
    <w:rsid w:val="00406D75"/>
    <w:rsid w:val="00414620"/>
    <w:rsid w:val="0042032D"/>
    <w:rsid w:val="004270AA"/>
    <w:rsid w:val="00432595"/>
    <w:rsid w:val="00432800"/>
    <w:rsid w:val="00437423"/>
    <w:rsid w:val="00440821"/>
    <w:rsid w:val="004440BC"/>
    <w:rsid w:val="00446E53"/>
    <w:rsid w:val="00456151"/>
    <w:rsid w:val="004827A5"/>
    <w:rsid w:val="00490D56"/>
    <w:rsid w:val="00492EE8"/>
    <w:rsid w:val="004944A1"/>
    <w:rsid w:val="004B5A4E"/>
    <w:rsid w:val="004D1B8E"/>
    <w:rsid w:val="004D5455"/>
    <w:rsid w:val="004D7756"/>
    <w:rsid w:val="004E3E70"/>
    <w:rsid w:val="004E455B"/>
    <w:rsid w:val="004E6E25"/>
    <w:rsid w:val="004F49EC"/>
    <w:rsid w:val="00502CC8"/>
    <w:rsid w:val="0050412A"/>
    <w:rsid w:val="00510FD9"/>
    <w:rsid w:val="00512810"/>
    <w:rsid w:val="00516040"/>
    <w:rsid w:val="0051693A"/>
    <w:rsid w:val="00523DA2"/>
    <w:rsid w:val="005301AF"/>
    <w:rsid w:val="005305E7"/>
    <w:rsid w:val="005454FD"/>
    <w:rsid w:val="005505C3"/>
    <w:rsid w:val="00552FD3"/>
    <w:rsid w:val="005546A9"/>
    <w:rsid w:val="005552BD"/>
    <w:rsid w:val="00556AAE"/>
    <w:rsid w:val="005638A1"/>
    <w:rsid w:val="005746C2"/>
    <w:rsid w:val="00583A38"/>
    <w:rsid w:val="00584C18"/>
    <w:rsid w:val="0058527C"/>
    <w:rsid w:val="005876D7"/>
    <w:rsid w:val="00592D17"/>
    <w:rsid w:val="005A0D8B"/>
    <w:rsid w:val="005A3961"/>
    <w:rsid w:val="005A4D25"/>
    <w:rsid w:val="005B543B"/>
    <w:rsid w:val="005C63CD"/>
    <w:rsid w:val="005C65EF"/>
    <w:rsid w:val="005D02FF"/>
    <w:rsid w:val="005E127B"/>
    <w:rsid w:val="005F694D"/>
    <w:rsid w:val="006058A4"/>
    <w:rsid w:val="006072EA"/>
    <w:rsid w:val="00610748"/>
    <w:rsid w:val="006240CA"/>
    <w:rsid w:val="00624B07"/>
    <w:rsid w:val="006269B6"/>
    <w:rsid w:val="0063143E"/>
    <w:rsid w:val="006342B9"/>
    <w:rsid w:val="00634305"/>
    <w:rsid w:val="006446D6"/>
    <w:rsid w:val="00650E53"/>
    <w:rsid w:val="00656DEE"/>
    <w:rsid w:val="006637A7"/>
    <w:rsid w:val="00672336"/>
    <w:rsid w:val="00675B96"/>
    <w:rsid w:val="00676C43"/>
    <w:rsid w:val="00682A02"/>
    <w:rsid w:val="006901D4"/>
    <w:rsid w:val="00690AF8"/>
    <w:rsid w:val="0069304D"/>
    <w:rsid w:val="00693D9B"/>
    <w:rsid w:val="006943BB"/>
    <w:rsid w:val="006B73EA"/>
    <w:rsid w:val="006C081E"/>
    <w:rsid w:val="006D0C5E"/>
    <w:rsid w:val="006D1EFA"/>
    <w:rsid w:val="006D5130"/>
    <w:rsid w:val="006E0085"/>
    <w:rsid w:val="006E320B"/>
    <w:rsid w:val="006E4B8F"/>
    <w:rsid w:val="006E5570"/>
    <w:rsid w:val="006E641B"/>
    <w:rsid w:val="006F03F5"/>
    <w:rsid w:val="006F3CCC"/>
    <w:rsid w:val="006F41E5"/>
    <w:rsid w:val="006F648B"/>
    <w:rsid w:val="00700110"/>
    <w:rsid w:val="00703BF2"/>
    <w:rsid w:val="007053F7"/>
    <w:rsid w:val="00710490"/>
    <w:rsid w:val="00711D56"/>
    <w:rsid w:val="00712038"/>
    <w:rsid w:val="00713508"/>
    <w:rsid w:val="00717742"/>
    <w:rsid w:val="00721FB9"/>
    <w:rsid w:val="0074066E"/>
    <w:rsid w:val="00740775"/>
    <w:rsid w:val="00747BAC"/>
    <w:rsid w:val="0075194C"/>
    <w:rsid w:val="007551A8"/>
    <w:rsid w:val="00755776"/>
    <w:rsid w:val="007574E4"/>
    <w:rsid w:val="007653CE"/>
    <w:rsid w:val="0076632F"/>
    <w:rsid w:val="00770497"/>
    <w:rsid w:val="0077331A"/>
    <w:rsid w:val="00783CA0"/>
    <w:rsid w:val="00784859"/>
    <w:rsid w:val="00786C03"/>
    <w:rsid w:val="007938D7"/>
    <w:rsid w:val="007A34DE"/>
    <w:rsid w:val="007B5C67"/>
    <w:rsid w:val="007B6A9B"/>
    <w:rsid w:val="007C0FDB"/>
    <w:rsid w:val="007C44B1"/>
    <w:rsid w:val="007D4D3E"/>
    <w:rsid w:val="007E1AA7"/>
    <w:rsid w:val="007F4542"/>
    <w:rsid w:val="007F4D85"/>
    <w:rsid w:val="007F7670"/>
    <w:rsid w:val="0080655B"/>
    <w:rsid w:val="0080744D"/>
    <w:rsid w:val="00814063"/>
    <w:rsid w:val="00816B48"/>
    <w:rsid w:val="00816FDF"/>
    <w:rsid w:val="00820202"/>
    <w:rsid w:val="008217FC"/>
    <w:rsid w:val="00822C55"/>
    <w:rsid w:val="00826658"/>
    <w:rsid w:val="00827669"/>
    <w:rsid w:val="008303AF"/>
    <w:rsid w:val="00830EC9"/>
    <w:rsid w:val="00833873"/>
    <w:rsid w:val="0084546C"/>
    <w:rsid w:val="008507AB"/>
    <w:rsid w:val="00851F32"/>
    <w:rsid w:val="008527AB"/>
    <w:rsid w:val="00853054"/>
    <w:rsid w:val="008559D6"/>
    <w:rsid w:val="008569FA"/>
    <w:rsid w:val="008653D1"/>
    <w:rsid w:val="008706E1"/>
    <w:rsid w:val="00872B4F"/>
    <w:rsid w:val="00873506"/>
    <w:rsid w:val="00886B30"/>
    <w:rsid w:val="00895175"/>
    <w:rsid w:val="008A3D3C"/>
    <w:rsid w:val="008A431A"/>
    <w:rsid w:val="008A56B5"/>
    <w:rsid w:val="008A7EC2"/>
    <w:rsid w:val="008B078F"/>
    <w:rsid w:val="008B101F"/>
    <w:rsid w:val="008B13CF"/>
    <w:rsid w:val="008B291F"/>
    <w:rsid w:val="008B3DFD"/>
    <w:rsid w:val="008B5B0F"/>
    <w:rsid w:val="008B7587"/>
    <w:rsid w:val="008C2D97"/>
    <w:rsid w:val="008D39B2"/>
    <w:rsid w:val="008D4F04"/>
    <w:rsid w:val="008D6592"/>
    <w:rsid w:val="008D6F10"/>
    <w:rsid w:val="008E100A"/>
    <w:rsid w:val="008E2D99"/>
    <w:rsid w:val="008E60B7"/>
    <w:rsid w:val="008E61C4"/>
    <w:rsid w:val="008E7E63"/>
    <w:rsid w:val="008F26C6"/>
    <w:rsid w:val="008F32D5"/>
    <w:rsid w:val="008F7058"/>
    <w:rsid w:val="009046A9"/>
    <w:rsid w:val="00912348"/>
    <w:rsid w:val="00912E43"/>
    <w:rsid w:val="00921F57"/>
    <w:rsid w:val="00923CC0"/>
    <w:rsid w:val="00930C69"/>
    <w:rsid w:val="009339F8"/>
    <w:rsid w:val="00943B65"/>
    <w:rsid w:val="00957249"/>
    <w:rsid w:val="00963FCC"/>
    <w:rsid w:val="009641AB"/>
    <w:rsid w:val="009665F4"/>
    <w:rsid w:val="009720E9"/>
    <w:rsid w:val="00976557"/>
    <w:rsid w:val="00987AE7"/>
    <w:rsid w:val="00996239"/>
    <w:rsid w:val="00996246"/>
    <w:rsid w:val="009A03AD"/>
    <w:rsid w:val="009B1013"/>
    <w:rsid w:val="009B65DA"/>
    <w:rsid w:val="009C3308"/>
    <w:rsid w:val="009C4ACA"/>
    <w:rsid w:val="009D4029"/>
    <w:rsid w:val="009F321A"/>
    <w:rsid w:val="009F3E9E"/>
    <w:rsid w:val="009F54E7"/>
    <w:rsid w:val="009F74B7"/>
    <w:rsid w:val="00A006A3"/>
    <w:rsid w:val="00A11914"/>
    <w:rsid w:val="00A16334"/>
    <w:rsid w:val="00A46AEE"/>
    <w:rsid w:val="00A5712C"/>
    <w:rsid w:val="00A6010F"/>
    <w:rsid w:val="00A60364"/>
    <w:rsid w:val="00A77D4C"/>
    <w:rsid w:val="00A92890"/>
    <w:rsid w:val="00A97E04"/>
    <w:rsid w:val="00AA1643"/>
    <w:rsid w:val="00AB4F80"/>
    <w:rsid w:val="00AB5A56"/>
    <w:rsid w:val="00AC0C37"/>
    <w:rsid w:val="00AC42FE"/>
    <w:rsid w:val="00AC5670"/>
    <w:rsid w:val="00AD70F9"/>
    <w:rsid w:val="00AD7430"/>
    <w:rsid w:val="00AE7A08"/>
    <w:rsid w:val="00AF7173"/>
    <w:rsid w:val="00B00343"/>
    <w:rsid w:val="00B0174B"/>
    <w:rsid w:val="00B0291C"/>
    <w:rsid w:val="00B036B1"/>
    <w:rsid w:val="00B049E9"/>
    <w:rsid w:val="00B04EEF"/>
    <w:rsid w:val="00B06896"/>
    <w:rsid w:val="00B07FE6"/>
    <w:rsid w:val="00B220AC"/>
    <w:rsid w:val="00B32F23"/>
    <w:rsid w:val="00B413DF"/>
    <w:rsid w:val="00B47EEB"/>
    <w:rsid w:val="00B631E4"/>
    <w:rsid w:val="00B806F7"/>
    <w:rsid w:val="00B80FAE"/>
    <w:rsid w:val="00B87737"/>
    <w:rsid w:val="00B93AEF"/>
    <w:rsid w:val="00B95807"/>
    <w:rsid w:val="00B96FC6"/>
    <w:rsid w:val="00BA20C6"/>
    <w:rsid w:val="00BA4ACD"/>
    <w:rsid w:val="00BB1E4E"/>
    <w:rsid w:val="00BB324B"/>
    <w:rsid w:val="00BB51FF"/>
    <w:rsid w:val="00BB5B32"/>
    <w:rsid w:val="00BC19BF"/>
    <w:rsid w:val="00BC3090"/>
    <w:rsid w:val="00BC36DE"/>
    <w:rsid w:val="00BC3EDD"/>
    <w:rsid w:val="00BC7547"/>
    <w:rsid w:val="00BC7E5E"/>
    <w:rsid w:val="00BD1AA9"/>
    <w:rsid w:val="00BD3EA5"/>
    <w:rsid w:val="00BD7A94"/>
    <w:rsid w:val="00BE1F94"/>
    <w:rsid w:val="00BE2A7E"/>
    <w:rsid w:val="00BE5281"/>
    <w:rsid w:val="00BF2778"/>
    <w:rsid w:val="00BF2A2C"/>
    <w:rsid w:val="00BF6118"/>
    <w:rsid w:val="00C02522"/>
    <w:rsid w:val="00C13A44"/>
    <w:rsid w:val="00C17E26"/>
    <w:rsid w:val="00C21823"/>
    <w:rsid w:val="00C233AF"/>
    <w:rsid w:val="00C31726"/>
    <w:rsid w:val="00C32C2F"/>
    <w:rsid w:val="00C33AEB"/>
    <w:rsid w:val="00C342F8"/>
    <w:rsid w:val="00C41B42"/>
    <w:rsid w:val="00C43127"/>
    <w:rsid w:val="00C468C2"/>
    <w:rsid w:val="00C52336"/>
    <w:rsid w:val="00C56F0F"/>
    <w:rsid w:val="00C570DE"/>
    <w:rsid w:val="00C6128D"/>
    <w:rsid w:val="00C6254A"/>
    <w:rsid w:val="00C631FF"/>
    <w:rsid w:val="00C642FE"/>
    <w:rsid w:val="00C64CBB"/>
    <w:rsid w:val="00C6577A"/>
    <w:rsid w:val="00C658EE"/>
    <w:rsid w:val="00C65DFF"/>
    <w:rsid w:val="00C7360D"/>
    <w:rsid w:val="00C812AE"/>
    <w:rsid w:val="00C822E0"/>
    <w:rsid w:val="00C83272"/>
    <w:rsid w:val="00C84B06"/>
    <w:rsid w:val="00C92ED6"/>
    <w:rsid w:val="00C96B13"/>
    <w:rsid w:val="00CA1A10"/>
    <w:rsid w:val="00CA43F5"/>
    <w:rsid w:val="00CA6D58"/>
    <w:rsid w:val="00CA7967"/>
    <w:rsid w:val="00CC172A"/>
    <w:rsid w:val="00CC4B12"/>
    <w:rsid w:val="00CD0F10"/>
    <w:rsid w:val="00CD346D"/>
    <w:rsid w:val="00CD3EB0"/>
    <w:rsid w:val="00CE0CBD"/>
    <w:rsid w:val="00CE3B88"/>
    <w:rsid w:val="00CE5753"/>
    <w:rsid w:val="00CE6A21"/>
    <w:rsid w:val="00CE7CC5"/>
    <w:rsid w:val="00CF40A8"/>
    <w:rsid w:val="00CF7291"/>
    <w:rsid w:val="00D007E0"/>
    <w:rsid w:val="00D13BDD"/>
    <w:rsid w:val="00D22FD0"/>
    <w:rsid w:val="00D24AE7"/>
    <w:rsid w:val="00D25A33"/>
    <w:rsid w:val="00D27065"/>
    <w:rsid w:val="00D3172C"/>
    <w:rsid w:val="00D36691"/>
    <w:rsid w:val="00D37DA6"/>
    <w:rsid w:val="00D37E26"/>
    <w:rsid w:val="00D44FD9"/>
    <w:rsid w:val="00D450D7"/>
    <w:rsid w:val="00D463AC"/>
    <w:rsid w:val="00D553B4"/>
    <w:rsid w:val="00D60C13"/>
    <w:rsid w:val="00D62B82"/>
    <w:rsid w:val="00D66B27"/>
    <w:rsid w:val="00D707C3"/>
    <w:rsid w:val="00D72A75"/>
    <w:rsid w:val="00D73145"/>
    <w:rsid w:val="00D815BD"/>
    <w:rsid w:val="00D84845"/>
    <w:rsid w:val="00D84EAE"/>
    <w:rsid w:val="00D9452F"/>
    <w:rsid w:val="00D95A65"/>
    <w:rsid w:val="00D978EA"/>
    <w:rsid w:val="00DA05B8"/>
    <w:rsid w:val="00DA05DE"/>
    <w:rsid w:val="00DB3D22"/>
    <w:rsid w:val="00DB6D01"/>
    <w:rsid w:val="00DC1118"/>
    <w:rsid w:val="00DC20A6"/>
    <w:rsid w:val="00DD0921"/>
    <w:rsid w:val="00DD31C7"/>
    <w:rsid w:val="00DD69DA"/>
    <w:rsid w:val="00DE7746"/>
    <w:rsid w:val="00DF1FA6"/>
    <w:rsid w:val="00E02113"/>
    <w:rsid w:val="00E10BE5"/>
    <w:rsid w:val="00E1224E"/>
    <w:rsid w:val="00E2341C"/>
    <w:rsid w:val="00E2641D"/>
    <w:rsid w:val="00E27161"/>
    <w:rsid w:val="00E277F8"/>
    <w:rsid w:val="00E323DF"/>
    <w:rsid w:val="00E32E22"/>
    <w:rsid w:val="00E37479"/>
    <w:rsid w:val="00E4138B"/>
    <w:rsid w:val="00E430B7"/>
    <w:rsid w:val="00E50FAB"/>
    <w:rsid w:val="00E527D8"/>
    <w:rsid w:val="00E57FEB"/>
    <w:rsid w:val="00E72078"/>
    <w:rsid w:val="00E73B49"/>
    <w:rsid w:val="00E8394A"/>
    <w:rsid w:val="00E923DD"/>
    <w:rsid w:val="00E92E00"/>
    <w:rsid w:val="00EA0B35"/>
    <w:rsid w:val="00EA1E97"/>
    <w:rsid w:val="00EA2B86"/>
    <w:rsid w:val="00EB22B8"/>
    <w:rsid w:val="00EB2361"/>
    <w:rsid w:val="00EB3BAA"/>
    <w:rsid w:val="00EB499B"/>
    <w:rsid w:val="00EC2850"/>
    <w:rsid w:val="00EC50CA"/>
    <w:rsid w:val="00ED049C"/>
    <w:rsid w:val="00ED1F1E"/>
    <w:rsid w:val="00ED53E9"/>
    <w:rsid w:val="00ED677B"/>
    <w:rsid w:val="00EE0651"/>
    <w:rsid w:val="00EE10E3"/>
    <w:rsid w:val="00EE3F3D"/>
    <w:rsid w:val="00EE4B12"/>
    <w:rsid w:val="00EE4B7F"/>
    <w:rsid w:val="00EF4771"/>
    <w:rsid w:val="00EF5084"/>
    <w:rsid w:val="00EF61B9"/>
    <w:rsid w:val="00F12664"/>
    <w:rsid w:val="00F15B80"/>
    <w:rsid w:val="00F207A2"/>
    <w:rsid w:val="00F238E1"/>
    <w:rsid w:val="00F25FF3"/>
    <w:rsid w:val="00F267DF"/>
    <w:rsid w:val="00F41CE1"/>
    <w:rsid w:val="00F452AD"/>
    <w:rsid w:val="00F521F9"/>
    <w:rsid w:val="00F5567F"/>
    <w:rsid w:val="00F56465"/>
    <w:rsid w:val="00F616FD"/>
    <w:rsid w:val="00F648F7"/>
    <w:rsid w:val="00F66768"/>
    <w:rsid w:val="00F67B25"/>
    <w:rsid w:val="00F70B2C"/>
    <w:rsid w:val="00F749FD"/>
    <w:rsid w:val="00F7598B"/>
    <w:rsid w:val="00F776FE"/>
    <w:rsid w:val="00F9051C"/>
    <w:rsid w:val="00FA0161"/>
    <w:rsid w:val="00FA3E25"/>
    <w:rsid w:val="00FA5655"/>
    <w:rsid w:val="00FB0A0F"/>
    <w:rsid w:val="00FB16E4"/>
    <w:rsid w:val="00FB1AEB"/>
    <w:rsid w:val="00FB4503"/>
    <w:rsid w:val="00FC1864"/>
    <w:rsid w:val="00FC3E1B"/>
    <w:rsid w:val="00FD786A"/>
    <w:rsid w:val="00FE4C07"/>
    <w:rsid w:val="01450CD4"/>
    <w:rsid w:val="01871949"/>
    <w:rsid w:val="018C76B2"/>
    <w:rsid w:val="018D1DB1"/>
    <w:rsid w:val="01B55F16"/>
    <w:rsid w:val="01C163DA"/>
    <w:rsid w:val="02007557"/>
    <w:rsid w:val="02063BED"/>
    <w:rsid w:val="02194F8F"/>
    <w:rsid w:val="023A2358"/>
    <w:rsid w:val="02785A04"/>
    <w:rsid w:val="027F3A3B"/>
    <w:rsid w:val="02885019"/>
    <w:rsid w:val="029C1D97"/>
    <w:rsid w:val="02A718E7"/>
    <w:rsid w:val="02D74F5E"/>
    <w:rsid w:val="02E713E5"/>
    <w:rsid w:val="02EF2E2B"/>
    <w:rsid w:val="032A1207"/>
    <w:rsid w:val="034F109B"/>
    <w:rsid w:val="035A7415"/>
    <w:rsid w:val="03712534"/>
    <w:rsid w:val="039F065F"/>
    <w:rsid w:val="03FD650B"/>
    <w:rsid w:val="04374076"/>
    <w:rsid w:val="04416B69"/>
    <w:rsid w:val="04476402"/>
    <w:rsid w:val="044C3046"/>
    <w:rsid w:val="045D5D74"/>
    <w:rsid w:val="046356D4"/>
    <w:rsid w:val="04695794"/>
    <w:rsid w:val="046E00C4"/>
    <w:rsid w:val="047F65B0"/>
    <w:rsid w:val="04952722"/>
    <w:rsid w:val="04BD45D7"/>
    <w:rsid w:val="04C01689"/>
    <w:rsid w:val="04C808C1"/>
    <w:rsid w:val="04EB3546"/>
    <w:rsid w:val="04EE0B20"/>
    <w:rsid w:val="051C0690"/>
    <w:rsid w:val="052524A1"/>
    <w:rsid w:val="052A6B3B"/>
    <w:rsid w:val="053242B0"/>
    <w:rsid w:val="0548176B"/>
    <w:rsid w:val="05614162"/>
    <w:rsid w:val="05695DE7"/>
    <w:rsid w:val="057B60B3"/>
    <w:rsid w:val="057C552B"/>
    <w:rsid w:val="058E021C"/>
    <w:rsid w:val="05AA79C7"/>
    <w:rsid w:val="05EC4CC6"/>
    <w:rsid w:val="05F257ED"/>
    <w:rsid w:val="06006236"/>
    <w:rsid w:val="06032D8D"/>
    <w:rsid w:val="062B1324"/>
    <w:rsid w:val="062B48CF"/>
    <w:rsid w:val="06471FDD"/>
    <w:rsid w:val="06587E4E"/>
    <w:rsid w:val="0665760A"/>
    <w:rsid w:val="06801CBF"/>
    <w:rsid w:val="0681314D"/>
    <w:rsid w:val="06DE531F"/>
    <w:rsid w:val="06E30135"/>
    <w:rsid w:val="06E36574"/>
    <w:rsid w:val="06F171D2"/>
    <w:rsid w:val="07093B7C"/>
    <w:rsid w:val="071D659A"/>
    <w:rsid w:val="07392B4D"/>
    <w:rsid w:val="07481B68"/>
    <w:rsid w:val="0774228E"/>
    <w:rsid w:val="07A16498"/>
    <w:rsid w:val="07A91201"/>
    <w:rsid w:val="07BF6F5A"/>
    <w:rsid w:val="07CA1038"/>
    <w:rsid w:val="081C03A0"/>
    <w:rsid w:val="08297BEC"/>
    <w:rsid w:val="08333FB6"/>
    <w:rsid w:val="0865202A"/>
    <w:rsid w:val="08800498"/>
    <w:rsid w:val="08B44F39"/>
    <w:rsid w:val="08C96CD9"/>
    <w:rsid w:val="08D02F14"/>
    <w:rsid w:val="08D805E2"/>
    <w:rsid w:val="08DA02A1"/>
    <w:rsid w:val="08DB4109"/>
    <w:rsid w:val="08E72C0A"/>
    <w:rsid w:val="08F174DB"/>
    <w:rsid w:val="08FC2CD9"/>
    <w:rsid w:val="09016C65"/>
    <w:rsid w:val="09093AE2"/>
    <w:rsid w:val="09157D89"/>
    <w:rsid w:val="091B515F"/>
    <w:rsid w:val="094F3B0D"/>
    <w:rsid w:val="09571752"/>
    <w:rsid w:val="096F4BC8"/>
    <w:rsid w:val="09713F96"/>
    <w:rsid w:val="09751986"/>
    <w:rsid w:val="097E38FB"/>
    <w:rsid w:val="09A04263"/>
    <w:rsid w:val="09A635E9"/>
    <w:rsid w:val="09AB4F22"/>
    <w:rsid w:val="09C41D45"/>
    <w:rsid w:val="09CE09A5"/>
    <w:rsid w:val="09E07E7F"/>
    <w:rsid w:val="09E9108A"/>
    <w:rsid w:val="09FB1ED5"/>
    <w:rsid w:val="0A083AE3"/>
    <w:rsid w:val="0A39280F"/>
    <w:rsid w:val="0A3B3680"/>
    <w:rsid w:val="0A483686"/>
    <w:rsid w:val="0A4D544C"/>
    <w:rsid w:val="0A5D2B12"/>
    <w:rsid w:val="0A816856"/>
    <w:rsid w:val="0A871FB1"/>
    <w:rsid w:val="0A8E4BBF"/>
    <w:rsid w:val="0AA748CE"/>
    <w:rsid w:val="0AB247F2"/>
    <w:rsid w:val="0AE9096C"/>
    <w:rsid w:val="0B351638"/>
    <w:rsid w:val="0B7168E2"/>
    <w:rsid w:val="0B7D78D4"/>
    <w:rsid w:val="0B933C9B"/>
    <w:rsid w:val="0B966370"/>
    <w:rsid w:val="0C2173C1"/>
    <w:rsid w:val="0C691684"/>
    <w:rsid w:val="0C752CD9"/>
    <w:rsid w:val="0CAB67CB"/>
    <w:rsid w:val="0CF345C8"/>
    <w:rsid w:val="0D1309B4"/>
    <w:rsid w:val="0D1500CF"/>
    <w:rsid w:val="0D2D7657"/>
    <w:rsid w:val="0D3A1724"/>
    <w:rsid w:val="0D596D8D"/>
    <w:rsid w:val="0D6B734C"/>
    <w:rsid w:val="0D6D5FF2"/>
    <w:rsid w:val="0D73581B"/>
    <w:rsid w:val="0D944EB5"/>
    <w:rsid w:val="0DA7707B"/>
    <w:rsid w:val="0DB95619"/>
    <w:rsid w:val="0DD24581"/>
    <w:rsid w:val="0DE0049F"/>
    <w:rsid w:val="0DEC3906"/>
    <w:rsid w:val="0DF8275D"/>
    <w:rsid w:val="0E0452F9"/>
    <w:rsid w:val="0E2D0CE5"/>
    <w:rsid w:val="0E5D5416"/>
    <w:rsid w:val="0E606C70"/>
    <w:rsid w:val="0E621F4B"/>
    <w:rsid w:val="0E6B13D8"/>
    <w:rsid w:val="0EC56BBB"/>
    <w:rsid w:val="0ED6705A"/>
    <w:rsid w:val="0EF51E3F"/>
    <w:rsid w:val="0F006472"/>
    <w:rsid w:val="0F0D7D74"/>
    <w:rsid w:val="0F2A6172"/>
    <w:rsid w:val="0F2E09A0"/>
    <w:rsid w:val="0F323C9D"/>
    <w:rsid w:val="0F375B2B"/>
    <w:rsid w:val="0F4867E1"/>
    <w:rsid w:val="0F67278C"/>
    <w:rsid w:val="0F706AB0"/>
    <w:rsid w:val="0F8730BC"/>
    <w:rsid w:val="0FAD7159"/>
    <w:rsid w:val="0FB53802"/>
    <w:rsid w:val="0FCC70AF"/>
    <w:rsid w:val="0FD01A45"/>
    <w:rsid w:val="0FD37F2A"/>
    <w:rsid w:val="0FFD00F5"/>
    <w:rsid w:val="10344ACE"/>
    <w:rsid w:val="103912E3"/>
    <w:rsid w:val="1041454E"/>
    <w:rsid w:val="10455D10"/>
    <w:rsid w:val="10606F0E"/>
    <w:rsid w:val="108E3427"/>
    <w:rsid w:val="10A149C9"/>
    <w:rsid w:val="10D76955"/>
    <w:rsid w:val="10E57377"/>
    <w:rsid w:val="10E95828"/>
    <w:rsid w:val="110F261A"/>
    <w:rsid w:val="111E14E2"/>
    <w:rsid w:val="1128652B"/>
    <w:rsid w:val="112A6877"/>
    <w:rsid w:val="11514F18"/>
    <w:rsid w:val="115965CC"/>
    <w:rsid w:val="11665A0D"/>
    <w:rsid w:val="11676681"/>
    <w:rsid w:val="117D68B3"/>
    <w:rsid w:val="11865D2D"/>
    <w:rsid w:val="11CF1C83"/>
    <w:rsid w:val="11E25030"/>
    <w:rsid w:val="11E95659"/>
    <w:rsid w:val="12217B86"/>
    <w:rsid w:val="125052D5"/>
    <w:rsid w:val="127203E1"/>
    <w:rsid w:val="128F1141"/>
    <w:rsid w:val="12B77A00"/>
    <w:rsid w:val="12D210A1"/>
    <w:rsid w:val="12DE4889"/>
    <w:rsid w:val="12DE7740"/>
    <w:rsid w:val="12E636D0"/>
    <w:rsid w:val="12EB0F4D"/>
    <w:rsid w:val="12EC4B2C"/>
    <w:rsid w:val="12F208E4"/>
    <w:rsid w:val="13257868"/>
    <w:rsid w:val="13454BC8"/>
    <w:rsid w:val="137B15F2"/>
    <w:rsid w:val="138A2A0C"/>
    <w:rsid w:val="13AB0E93"/>
    <w:rsid w:val="13AE3C12"/>
    <w:rsid w:val="13BD7638"/>
    <w:rsid w:val="13ED355D"/>
    <w:rsid w:val="14065E51"/>
    <w:rsid w:val="14146123"/>
    <w:rsid w:val="143C6AAE"/>
    <w:rsid w:val="145C7342"/>
    <w:rsid w:val="14613F13"/>
    <w:rsid w:val="14894EEB"/>
    <w:rsid w:val="14964900"/>
    <w:rsid w:val="14D27A24"/>
    <w:rsid w:val="14EB4B4D"/>
    <w:rsid w:val="15035321"/>
    <w:rsid w:val="15126972"/>
    <w:rsid w:val="151F722E"/>
    <w:rsid w:val="152F7CC9"/>
    <w:rsid w:val="15456481"/>
    <w:rsid w:val="154C77DD"/>
    <w:rsid w:val="156C4927"/>
    <w:rsid w:val="157879A3"/>
    <w:rsid w:val="158B7A8B"/>
    <w:rsid w:val="159A3D66"/>
    <w:rsid w:val="159D5669"/>
    <w:rsid w:val="15A76121"/>
    <w:rsid w:val="15A84798"/>
    <w:rsid w:val="15AF04A2"/>
    <w:rsid w:val="15B95EF5"/>
    <w:rsid w:val="15D850E2"/>
    <w:rsid w:val="15E2762C"/>
    <w:rsid w:val="1612299B"/>
    <w:rsid w:val="161E73EB"/>
    <w:rsid w:val="162A42DC"/>
    <w:rsid w:val="163E36BB"/>
    <w:rsid w:val="164354F0"/>
    <w:rsid w:val="165878EE"/>
    <w:rsid w:val="168476EB"/>
    <w:rsid w:val="16AF55A1"/>
    <w:rsid w:val="16BA6100"/>
    <w:rsid w:val="16BA6714"/>
    <w:rsid w:val="16E24AD0"/>
    <w:rsid w:val="16E755ED"/>
    <w:rsid w:val="17040AF7"/>
    <w:rsid w:val="172333F2"/>
    <w:rsid w:val="172D016F"/>
    <w:rsid w:val="17426C67"/>
    <w:rsid w:val="17432C9F"/>
    <w:rsid w:val="175627A0"/>
    <w:rsid w:val="17586754"/>
    <w:rsid w:val="175C20AB"/>
    <w:rsid w:val="17805AD6"/>
    <w:rsid w:val="17837F30"/>
    <w:rsid w:val="17937C7E"/>
    <w:rsid w:val="17A50911"/>
    <w:rsid w:val="17AA2D98"/>
    <w:rsid w:val="17BC286C"/>
    <w:rsid w:val="17C67534"/>
    <w:rsid w:val="17CB6D2A"/>
    <w:rsid w:val="17D462F8"/>
    <w:rsid w:val="180D7ADF"/>
    <w:rsid w:val="180F5DA3"/>
    <w:rsid w:val="182905D8"/>
    <w:rsid w:val="184D134D"/>
    <w:rsid w:val="188822F6"/>
    <w:rsid w:val="18946329"/>
    <w:rsid w:val="189D7D0B"/>
    <w:rsid w:val="18BA00FC"/>
    <w:rsid w:val="18D71CFF"/>
    <w:rsid w:val="18DC4807"/>
    <w:rsid w:val="18F45D57"/>
    <w:rsid w:val="190C139E"/>
    <w:rsid w:val="1910046F"/>
    <w:rsid w:val="192A66FB"/>
    <w:rsid w:val="192C6BA8"/>
    <w:rsid w:val="193828BB"/>
    <w:rsid w:val="19747A66"/>
    <w:rsid w:val="19A63F0A"/>
    <w:rsid w:val="19BB68B3"/>
    <w:rsid w:val="19CD7EA1"/>
    <w:rsid w:val="19D6158A"/>
    <w:rsid w:val="19EB1EEE"/>
    <w:rsid w:val="1A096F6B"/>
    <w:rsid w:val="1A186EA9"/>
    <w:rsid w:val="1A1C4A33"/>
    <w:rsid w:val="1A1D4091"/>
    <w:rsid w:val="1A472154"/>
    <w:rsid w:val="1A935399"/>
    <w:rsid w:val="1A9A0657"/>
    <w:rsid w:val="1AB75A02"/>
    <w:rsid w:val="1ABB1E60"/>
    <w:rsid w:val="1ABF12EF"/>
    <w:rsid w:val="1AC059F4"/>
    <w:rsid w:val="1B1377CC"/>
    <w:rsid w:val="1B1F4E7E"/>
    <w:rsid w:val="1B4755B0"/>
    <w:rsid w:val="1B516D3B"/>
    <w:rsid w:val="1B60766C"/>
    <w:rsid w:val="1B7A5C97"/>
    <w:rsid w:val="1B8C4F54"/>
    <w:rsid w:val="1B9B6711"/>
    <w:rsid w:val="1BA03226"/>
    <w:rsid w:val="1BA35B69"/>
    <w:rsid w:val="1BF84678"/>
    <w:rsid w:val="1C06710D"/>
    <w:rsid w:val="1C0A6A96"/>
    <w:rsid w:val="1C0B4517"/>
    <w:rsid w:val="1C4F16D7"/>
    <w:rsid w:val="1C740967"/>
    <w:rsid w:val="1C81771C"/>
    <w:rsid w:val="1C8B1E67"/>
    <w:rsid w:val="1CB47CD2"/>
    <w:rsid w:val="1CD7719E"/>
    <w:rsid w:val="1D124316"/>
    <w:rsid w:val="1D274D79"/>
    <w:rsid w:val="1D522F6E"/>
    <w:rsid w:val="1D5368F9"/>
    <w:rsid w:val="1D646B63"/>
    <w:rsid w:val="1D75574C"/>
    <w:rsid w:val="1D774AFE"/>
    <w:rsid w:val="1D8176CC"/>
    <w:rsid w:val="1DA11892"/>
    <w:rsid w:val="1DB65BE6"/>
    <w:rsid w:val="1DC3306F"/>
    <w:rsid w:val="1DD11ED0"/>
    <w:rsid w:val="1DE3580A"/>
    <w:rsid w:val="1DEE7568"/>
    <w:rsid w:val="1DF8781A"/>
    <w:rsid w:val="1E3A6A91"/>
    <w:rsid w:val="1E3A7ED9"/>
    <w:rsid w:val="1E4E380C"/>
    <w:rsid w:val="1E5935A7"/>
    <w:rsid w:val="1E605592"/>
    <w:rsid w:val="1E6B7F9D"/>
    <w:rsid w:val="1E6D6A63"/>
    <w:rsid w:val="1E7204D5"/>
    <w:rsid w:val="1E77498B"/>
    <w:rsid w:val="1E7E516C"/>
    <w:rsid w:val="1EA7449E"/>
    <w:rsid w:val="1ED64D67"/>
    <w:rsid w:val="1EF84DC8"/>
    <w:rsid w:val="1F0F78AB"/>
    <w:rsid w:val="1F4445F9"/>
    <w:rsid w:val="1F7B7798"/>
    <w:rsid w:val="1F7D096C"/>
    <w:rsid w:val="1F7E2973"/>
    <w:rsid w:val="1F975F30"/>
    <w:rsid w:val="1FAF606A"/>
    <w:rsid w:val="1FF52EBD"/>
    <w:rsid w:val="20042029"/>
    <w:rsid w:val="202A3B12"/>
    <w:rsid w:val="2030693B"/>
    <w:rsid w:val="20337B99"/>
    <w:rsid w:val="204238B8"/>
    <w:rsid w:val="20482477"/>
    <w:rsid w:val="204A3D7B"/>
    <w:rsid w:val="206747FF"/>
    <w:rsid w:val="20842EC4"/>
    <w:rsid w:val="208512E0"/>
    <w:rsid w:val="209C4F8D"/>
    <w:rsid w:val="20AF1106"/>
    <w:rsid w:val="20CA445F"/>
    <w:rsid w:val="20CD5313"/>
    <w:rsid w:val="20E31454"/>
    <w:rsid w:val="21290703"/>
    <w:rsid w:val="21357BB3"/>
    <w:rsid w:val="213D7C27"/>
    <w:rsid w:val="214A641E"/>
    <w:rsid w:val="21812039"/>
    <w:rsid w:val="218C669E"/>
    <w:rsid w:val="21936008"/>
    <w:rsid w:val="21A62929"/>
    <w:rsid w:val="21C23890"/>
    <w:rsid w:val="21F2713B"/>
    <w:rsid w:val="220A23E4"/>
    <w:rsid w:val="222A43EA"/>
    <w:rsid w:val="22343331"/>
    <w:rsid w:val="223F04E2"/>
    <w:rsid w:val="22420D01"/>
    <w:rsid w:val="225B3427"/>
    <w:rsid w:val="22605A98"/>
    <w:rsid w:val="22781B12"/>
    <w:rsid w:val="22A2261D"/>
    <w:rsid w:val="22BC193E"/>
    <w:rsid w:val="22BD7CE9"/>
    <w:rsid w:val="22D31F8D"/>
    <w:rsid w:val="23032F7D"/>
    <w:rsid w:val="23040ECE"/>
    <w:rsid w:val="23126996"/>
    <w:rsid w:val="2316544A"/>
    <w:rsid w:val="23201794"/>
    <w:rsid w:val="232A0F0A"/>
    <w:rsid w:val="232B4CC4"/>
    <w:rsid w:val="23406F13"/>
    <w:rsid w:val="23623044"/>
    <w:rsid w:val="236F114E"/>
    <w:rsid w:val="23817C22"/>
    <w:rsid w:val="23953F3D"/>
    <w:rsid w:val="23A151AC"/>
    <w:rsid w:val="23A979DB"/>
    <w:rsid w:val="23AF1B96"/>
    <w:rsid w:val="23D57F9B"/>
    <w:rsid w:val="241935E6"/>
    <w:rsid w:val="241B478F"/>
    <w:rsid w:val="2423246F"/>
    <w:rsid w:val="242641B0"/>
    <w:rsid w:val="24373CF7"/>
    <w:rsid w:val="244566A1"/>
    <w:rsid w:val="24641846"/>
    <w:rsid w:val="247179A7"/>
    <w:rsid w:val="24741BBA"/>
    <w:rsid w:val="247B3126"/>
    <w:rsid w:val="24925919"/>
    <w:rsid w:val="249441E7"/>
    <w:rsid w:val="24B9055F"/>
    <w:rsid w:val="24D03CD9"/>
    <w:rsid w:val="24D30315"/>
    <w:rsid w:val="24D450C9"/>
    <w:rsid w:val="24DC5D20"/>
    <w:rsid w:val="24E147D3"/>
    <w:rsid w:val="24EF2A8F"/>
    <w:rsid w:val="24F13E0A"/>
    <w:rsid w:val="24F5284D"/>
    <w:rsid w:val="24F77930"/>
    <w:rsid w:val="250056C3"/>
    <w:rsid w:val="250651C0"/>
    <w:rsid w:val="251D3036"/>
    <w:rsid w:val="25331706"/>
    <w:rsid w:val="253E3F9D"/>
    <w:rsid w:val="254706FE"/>
    <w:rsid w:val="254C4EA3"/>
    <w:rsid w:val="25661C03"/>
    <w:rsid w:val="25691621"/>
    <w:rsid w:val="257D0E5A"/>
    <w:rsid w:val="259E29BE"/>
    <w:rsid w:val="25AB17E9"/>
    <w:rsid w:val="25C1100C"/>
    <w:rsid w:val="25F74107"/>
    <w:rsid w:val="260E3750"/>
    <w:rsid w:val="262209E0"/>
    <w:rsid w:val="26247877"/>
    <w:rsid w:val="26377424"/>
    <w:rsid w:val="263F0183"/>
    <w:rsid w:val="26466175"/>
    <w:rsid w:val="26630315"/>
    <w:rsid w:val="26676191"/>
    <w:rsid w:val="26864D41"/>
    <w:rsid w:val="269137DB"/>
    <w:rsid w:val="26941258"/>
    <w:rsid w:val="26A13E79"/>
    <w:rsid w:val="26A55295"/>
    <w:rsid w:val="26A572B0"/>
    <w:rsid w:val="26AC19D6"/>
    <w:rsid w:val="26C12FA3"/>
    <w:rsid w:val="26D1483F"/>
    <w:rsid w:val="26E52AD8"/>
    <w:rsid w:val="270B6E55"/>
    <w:rsid w:val="274C2B57"/>
    <w:rsid w:val="275F6D2E"/>
    <w:rsid w:val="27602BBF"/>
    <w:rsid w:val="278879ED"/>
    <w:rsid w:val="27887A7A"/>
    <w:rsid w:val="27AD2E8F"/>
    <w:rsid w:val="27C97B02"/>
    <w:rsid w:val="27CC3BC0"/>
    <w:rsid w:val="27E47DBE"/>
    <w:rsid w:val="27E91F87"/>
    <w:rsid w:val="27EA53BE"/>
    <w:rsid w:val="280A3990"/>
    <w:rsid w:val="283E0ED7"/>
    <w:rsid w:val="286C7F03"/>
    <w:rsid w:val="28935454"/>
    <w:rsid w:val="289601D1"/>
    <w:rsid w:val="28A905BF"/>
    <w:rsid w:val="28C41874"/>
    <w:rsid w:val="28D750FB"/>
    <w:rsid w:val="28EE033E"/>
    <w:rsid w:val="29126C2E"/>
    <w:rsid w:val="29130308"/>
    <w:rsid w:val="292F7D9C"/>
    <w:rsid w:val="295F19D5"/>
    <w:rsid w:val="2964062C"/>
    <w:rsid w:val="29BD7E79"/>
    <w:rsid w:val="29DB01C2"/>
    <w:rsid w:val="29DE2C71"/>
    <w:rsid w:val="29E14238"/>
    <w:rsid w:val="2A1C1078"/>
    <w:rsid w:val="2A395F4C"/>
    <w:rsid w:val="2A465214"/>
    <w:rsid w:val="2A7158C9"/>
    <w:rsid w:val="2A893932"/>
    <w:rsid w:val="2A8B1446"/>
    <w:rsid w:val="2A9D186C"/>
    <w:rsid w:val="2AB353E5"/>
    <w:rsid w:val="2AD37D2B"/>
    <w:rsid w:val="2AE631A5"/>
    <w:rsid w:val="2AE97BF9"/>
    <w:rsid w:val="2AF51507"/>
    <w:rsid w:val="2B007E24"/>
    <w:rsid w:val="2B016D56"/>
    <w:rsid w:val="2B127FF5"/>
    <w:rsid w:val="2B154A93"/>
    <w:rsid w:val="2B1A0610"/>
    <w:rsid w:val="2B362F86"/>
    <w:rsid w:val="2B531924"/>
    <w:rsid w:val="2B547350"/>
    <w:rsid w:val="2B653354"/>
    <w:rsid w:val="2B734703"/>
    <w:rsid w:val="2B7B1535"/>
    <w:rsid w:val="2B8A7CAB"/>
    <w:rsid w:val="2B9D13A1"/>
    <w:rsid w:val="2BAF6642"/>
    <w:rsid w:val="2BB532F3"/>
    <w:rsid w:val="2BBB5C4A"/>
    <w:rsid w:val="2BD3716A"/>
    <w:rsid w:val="2BDE3AD4"/>
    <w:rsid w:val="2C136339"/>
    <w:rsid w:val="2C285C0F"/>
    <w:rsid w:val="2C2A7A9E"/>
    <w:rsid w:val="2C5740D2"/>
    <w:rsid w:val="2C6F0A0B"/>
    <w:rsid w:val="2C98504E"/>
    <w:rsid w:val="2CDD4252"/>
    <w:rsid w:val="2CE82DE6"/>
    <w:rsid w:val="2D0A3299"/>
    <w:rsid w:val="2D1B708C"/>
    <w:rsid w:val="2D1F25D3"/>
    <w:rsid w:val="2D216834"/>
    <w:rsid w:val="2D714F9C"/>
    <w:rsid w:val="2D797411"/>
    <w:rsid w:val="2D8E5224"/>
    <w:rsid w:val="2DF40DF5"/>
    <w:rsid w:val="2DF46387"/>
    <w:rsid w:val="2E287C99"/>
    <w:rsid w:val="2E382F5C"/>
    <w:rsid w:val="2E4134AE"/>
    <w:rsid w:val="2E63547D"/>
    <w:rsid w:val="2E6C789A"/>
    <w:rsid w:val="2E840E29"/>
    <w:rsid w:val="2E8D1A3A"/>
    <w:rsid w:val="2E8E0293"/>
    <w:rsid w:val="2EA367EC"/>
    <w:rsid w:val="2EBD3D1F"/>
    <w:rsid w:val="2ECA1E1A"/>
    <w:rsid w:val="2ECB059F"/>
    <w:rsid w:val="2F2D5F76"/>
    <w:rsid w:val="2F4A2072"/>
    <w:rsid w:val="2F4A530E"/>
    <w:rsid w:val="2F5C28C2"/>
    <w:rsid w:val="2F7070E5"/>
    <w:rsid w:val="2F755A15"/>
    <w:rsid w:val="2F8844F9"/>
    <w:rsid w:val="2FAC501B"/>
    <w:rsid w:val="2FB02979"/>
    <w:rsid w:val="2FC03366"/>
    <w:rsid w:val="2FE27656"/>
    <w:rsid w:val="2FFB336C"/>
    <w:rsid w:val="301C0574"/>
    <w:rsid w:val="30384C79"/>
    <w:rsid w:val="3064615C"/>
    <w:rsid w:val="30666A6A"/>
    <w:rsid w:val="30714293"/>
    <w:rsid w:val="3080393C"/>
    <w:rsid w:val="30A64ADA"/>
    <w:rsid w:val="30BA68AE"/>
    <w:rsid w:val="30BA7E6B"/>
    <w:rsid w:val="30C85944"/>
    <w:rsid w:val="30D047F9"/>
    <w:rsid w:val="30D42A97"/>
    <w:rsid w:val="31210BB1"/>
    <w:rsid w:val="314D3105"/>
    <w:rsid w:val="3150593A"/>
    <w:rsid w:val="316E2211"/>
    <w:rsid w:val="317738B2"/>
    <w:rsid w:val="319B74FA"/>
    <w:rsid w:val="31A50B9C"/>
    <w:rsid w:val="31A82B82"/>
    <w:rsid w:val="31AF09D3"/>
    <w:rsid w:val="31C8770C"/>
    <w:rsid w:val="31D648EA"/>
    <w:rsid w:val="31EC38DD"/>
    <w:rsid w:val="32283F34"/>
    <w:rsid w:val="325B0FE6"/>
    <w:rsid w:val="32854478"/>
    <w:rsid w:val="32947A36"/>
    <w:rsid w:val="32C81A5F"/>
    <w:rsid w:val="32CB52DE"/>
    <w:rsid w:val="32DD0626"/>
    <w:rsid w:val="32E8374F"/>
    <w:rsid w:val="32EB316F"/>
    <w:rsid w:val="32EB591A"/>
    <w:rsid w:val="330005AC"/>
    <w:rsid w:val="330F6B11"/>
    <w:rsid w:val="3323670F"/>
    <w:rsid w:val="334F04DA"/>
    <w:rsid w:val="337057EE"/>
    <w:rsid w:val="337F567A"/>
    <w:rsid w:val="33836C49"/>
    <w:rsid w:val="33AD2C00"/>
    <w:rsid w:val="33D939C5"/>
    <w:rsid w:val="34050813"/>
    <w:rsid w:val="34076784"/>
    <w:rsid w:val="34194776"/>
    <w:rsid w:val="34242A8F"/>
    <w:rsid w:val="3425197E"/>
    <w:rsid w:val="34277156"/>
    <w:rsid w:val="342A06C4"/>
    <w:rsid w:val="342C7F98"/>
    <w:rsid w:val="3442069E"/>
    <w:rsid w:val="344D4BBE"/>
    <w:rsid w:val="345E597F"/>
    <w:rsid w:val="347D41FC"/>
    <w:rsid w:val="34D36666"/>
    <w:rsid w:val="351235E8"/>
    <w:rsid w:val="351D0A29"/>
    <w:rsid w:val="354833FF"/>
    <w:rsid w:val="35490324"/>
    <w:rsid w:val="35757BCD"/>
    <w:rsid w:val="359369E2"/>
    <w:rsid w:val="3594667F"/>
    <w:rsid w:val="35BA6262"/>
    <w:rsid w:val="35CB6D05"/>
    <w:rsid w:val="35DC76A7"/>
    <w:rsid w:val="35E13004"/>
    <w:rsid w:val="35EE1795"/>
    <w:rsid w:val="36140187"/>
    <w:rsid w:val="3644584B"/>
    <w:rsid w:val="36637AA8"/>
    <w:rsid w:val="36B019E1"/>
    <w:rsid w:val="36D55D6B"/>
    <w:rsid w:val="36F04DE0"/>
    <w:rsid w:val="36F8489C"/>
    <w:rsid w:val="36F95DB6"/>
    <w:rsid w:val="370922E2"/>
    <w:rsid w:val="3729199D"/>
    <w:rsid w:val="372F098C"/>
    <w:rsid w:val="37321D6A"/>
    <w:rsid w:val="373460A1"/>
    <w:rsid w:val="37525A19"/>
    <w:rsid w:val="37657199"/>
    <w:rsid w:val="376A3DBD"/>
    <w:rsid w:val="376B7B7F"/>
    <w:rsid w:val="378F5A7E"/>
    <w:rsid w:val="379B616B"/>
    <w:rsid w:val="379D074C"/>
    <w:rsid w:val="37A17350"/>
    <w:rsid w:val="37A37D2B"/>
    <w:rsid w:val="37A854F2"/>
    <w:rsid w:val="37C3124C"/>
    <w:rsid w:val="37D14649"/>
    <w:rsid w:val="37D512FF"/>
    <w:rsid w:val="37EB7526"/>
    <w:rsid w:val="3806155D"/>
    <w:rsid w:val="38124068"/>
    <w:rsid w:val="38251B90"/>
    <w:rsid w:val="38290817"/>
    <w:rsid w:val="38330DBB"/>
    <w:rsid w:val="383F00A7"/>
    <w:rsid w:val="3841692B"/>
    <w:rsid w:val="38571C58"/>
    <w:rsid w:val="385B0E4C"/>
    <w:rsid w:val="387632D3"/>
    <w:rsid w:val="388C4149"/>
    <w:rsid w:val="38A0405F"/>
    <w:rsid w:val="38BB75B5"/>
    <w:rsid w:val="38D61E41"/>
    <w:rsid w:val="38DE1A7D"/>
    <w:rsid w:val="38F02280"/>
    <w:rsid w:val="38F147F2"/>
    <w:rsid w:val="393F076E"/>
    <w:rsid w:val="394F0E2B"/>
    <w:rsid w:val="395F004C"/>
    <w:rsid w:val="396362C1"/>
    <w:rsid w:val="397744A3"/>
    <w:rsid w:val="399203AA"/>
    <w:rsid w:val="39960536"/>
    <w:rsid w:val="399742A4"/>
    <w:rsid w:val="39CB668F"/>
    <w:rsid w:val="39D05D60"/>
    <w:rsid w:val="39D06EF8"/>
    <w:rsid w:val="39D834D9"/>
    <w:rsid w:val="39FF7EFD"/>
    <w:rsid w:val="3A281DD1"/>
    <w:rsid w:val="3A313DDF"/>
    <w:rsid w:val="3A502ADD"/>
    <w:rsid w:val="3A550F4B"/>
    <w:rsid w:val="3A6D320B"/>
    <w:rsid w:val="3A6D7E6C"/>
    <w:rsid w:val="3A6E2E52"/>
    <w:rsid w:val="3A7D49D9"/>
    <w:rsid w:val="3A9B16E9"/>
    <w:rsid w:val="3ABE79AB"/>
    <w:rsid w:val="3ACC08B0"/>
    <w:rsid w:val="3ACE5B99"/>
    <w:rsid w:val="3AD314C7"/>
    <w:rsid w:val="3AE248FA"/>
    <w:rsid w:val="3AED6AC9"/>
    <w:rsid w:val="3B1E51EE"/>
    <w:rsid w:val="3B3757BB"/>
    <w:rsid w:val="3B882057"/>
    <w:rsid w:val="3B966D48"/>
    <w:rsid w:val="3BCE73EE"/>
    <w:rsid w:val="3BD66A3C"/>
    <w:rsid w:val="3BDB0BDC"/>
    <w:rsid w:val="3BE728E7"/>
    <w:rsid w:val="3C006118"/>
    <w:rsid w:val="3C1C3D7E"/>
    <w:rsid w:val="3C457188"/>
    <w:rsid w:val="3C47058F"/>
    <w:rsid w:val="3C4B2BE6"/>
    <w:rsid w:val="3C4E0BE0"/>
    <w:rsid w:val="3C543D05"/>
    <w:rsid w:val="3C550487"/>
    <w:rsid w:val="3C602601"/>
    <w:rsid w:val="3C6276EB"/>
    <w:rsid w:val="3C6F2B98"/>
    <w:rsid w:val="3C7654DF"/>
    <w:rsid w:val="3C827292"/>
    <w:rsid w:val="3CED4ADC"/>
    <w:rsid w:val="3CF62F92"/>
    <w:rsid w:val="3D235CB1"/>
    <w:rsid w:val="3D247BC8"/>
    <w:rsid w:val="3D2F576D"/>
    <w:rsid w:val="3D3F246B"/>
    <w:rsid w:val="3D404CDE"/>
    <w:rsid w:val="3D714D9C"/>
    <w:rsid w:val="3D7333A9"/>
    <w:rsid w:val="3D8B1CB7"/>
    <w:rsid w:val="3D9C7380"/>
    <w:rsid w:val="3DA548B8"/>
    <w:rsid w:val="3DAE3B66"/>
    <w:rsid w:val="3DC41D73"/>
    <w:rsid w:val="3E12444F"/>
    <w:rsid w:val="3E1C32BB"/>
    <w:rsid w:val="3E29644F"/>
    <w:rsid w:val="3E457B84"/>
    <w:rsid w:val="3E5D1032"/>
    <w:rsid w:val="3E8C07FA"/>
    <w:rsid w:val="3E9560B7"/>
    <w:rsid w:val="3EB80272"/>
    <w:rsid w:val="3EE47E50"/>
    <w:rsid w:val="3EF10E76"/>
    <w:rsid w:val="3EF2616B"/>
    <w:rsid w:val="3EFB58EA"/>
    <w:rsid w:val="3F31220B"/>
    <w:rsid w:val="3F4024F1"/>
    <w:rsid w:val="3F4B39E1"/>
    <w:rsid w:val="3F4D7D24"/>
    <w:rsid w:val="3F5018BE"/>
    <w:rsid w:val="3F5558E0"/>
    <w:rsid w:val="3F6F3151"/>
    <w:rsid w:val="3F826110"/>
    <w:rsid w:val="3FAC6431"/>
    <w:rsid w:val="3FB91F1E"/>
    <w:rsid w:val="3FBC6DA1"/>
    <w:rsid w:val="3FD06369"/>
    <w:rsid w:val="3FD462CB"/>
    <w:rsid w:val="3FD81185"/>
    <w:rsid w:val="3FDD4E17"/>
    <w:rsid w:val="3FDE711A"/>
    <w:rsid w:val="3FF1670B"/>
    <w:rsid w:val="3FF63945"/>
    <w:rsid w:val="403B6638"/>
    <w:rsid w:val="405446C0"/>
    <w:rsid w:val="405A5E8D"/>
    <w:rsid w:val="406953FE"/>
    <w:rsid w:val="406D5354"/>
    <w:rsid w:val="40A51E73"/>
    <w:rsid w:val="40B148F6"/>
    <w:rsid w:val="40B80747"/>
    <w:rsid w:val="40E61FD1"/>
    <w:rsid w:val="40FF45AC"/>
    <w:rsid w:val="41270B4A"/>
    <w:rsid w:val="41300999"/>
    <w:rsid w:val="41455C40"/>
    <w:rsid w:val="414F61FB"/>
    <w:rsid w:val="415A48E7"/>
    <w:rsid w:val="416A7B1A"/>
    <w:rsid w:val="41A654B0"/>
    <w:rsid w:val="41A83335"/>
    <w:rsid w:val="41EB61F5"/>
    <w:rsid w:val="42026587"/>
    <w:rsid w:val="42356146"/>
    <w:rsid w:val="426A1EC4"/>
    <w:rsid w:val="426C1E75"/>
    <w:rsid w:val="427A326D"/>
    <w:rsid w:val="428124BC"/>
    <w:rsid w:val="42837AAD"/>
    <w:rsid w:val="42837D37"/>
    <w:rsid w:val="42B65547"/>
    <w:rsid w:val="42D31A8C"/>
    <w:rsid w:val="432D323D"/>
    <w:rsid w:val="43374301"/>
    <w:rsid w:val="43553A8B"/>
    <w:rsid w:val="43595790"/>
    <w:rsid w:val="43687997"/>
    <w:rsid w:val="436E45C4"/>
    <w:rsid w:val="438100D7"/>
    <w:rsid w:val="43AD04A2"/>
    <w:rsid w:val="440545FC"/>
    <w:rsid w:val="440C6831"/>
    <w:rsid w:val="442112C6"/>
    <w:rsid w:val="443B31AB"/>
    <w:rsid w:val="44520B70"/>
    <w:rsid w:val="44803190"/>
    <w:rsid w:val="4491328F"/>
    <w:rsid w:val="44946070"/>
    <w:rsid w:val="449973FB"/>
    <w:rsid w:val="44B21C25"/>
    <w:rsid w:val="44CF71AB"/>
    <w:rsid w:val="44D725A8"/>
    <w:rsid w:val="44EE3124"/>
    <w:rsid w:val="4514742D"/>
    <w:rsid w:val="4523560D"/>
    <w:rsid w:val="45281C6D"/>
    <w:rsid w:val="45312DE2"/>
    <w:rsid w:val="453248AC"/>
    <w:rsid w:val="454B2190"/>
    <w:rsid w:val="455235D7"/>
    <w:rsid w:val="456244DA"/>
    <w:rsid w:val="456C2437"/>
    <w:rsid w:val="45700811"/>
    <w:rsid w:val="457D2A47"/>
    <w:rsid w:val="45A364CB"/>
    <w:rsid w:val="45B77A7F"/>
    <w:rsid w:val="45F97A3B"/>
    <w:rsid w:val="461E3FED"/>
    <w:rsid w:val="46217D67"/>
    <w:rsid w:val="46330D56"/>
    <w:rsid w:val="463D6E19"/>
    <w:rsid w:val="46435FB5"/>
    <w:rsid w:val="4664220A"/>
    <w:rsid w:val="46845B8C"/>
    <w:rsid w:val="4685178A"/>
    <w:rsid w:val="46AF39B2"/>
    <w:rsid w:val="46C53F32"/>
    <w:rsid w:val="46D279E6"/>
    <w:rsid w:val="46D40D4A"/>
    <w:rsid w:val="46E81166"/>
    <w:rsid w:val="47091192"/>
    <w:rsid w:val="470B71A8"/>
    <w:rsid w:val="470F3D44"/>
    <w:rsid w:val="47240C6D"/>
    <w:rsid w:val="47243E01"/>
    <w:rsid w:val="47347647"/>
    <w:rsid w:val="47360BFD"/>
    <w:rsid w:val="47383A0A"/>
    <w:rsid w:val="476C3FDF"/>
    <w:rsid w:val="476C76F8"/>
    <w:rsid w:val="47821EA2"/>
    <w:rsid w:val="479D6A29"/>
    <w:rsid w:val="47AA594C"/>
    <w:rsid w:val="48185DAA"/>
    <w:rsid w:val="481C76CB"/>
    <w:rsid w:val="48206B2D"/>
    <w:rsid w:val="48251795"/>
    <w:rsid w:val="48654968"/>
    <w:rsid w:val="48A51C8F"/>
    <w:rsid w:val="48A85977"/>
    <w:rsid w:val="48DF30BC"/>
    <w:rsid w:val="48E27431"/>
    <w:rsid w:val="48E456B6"/>
    <w:rsid w:val="493F035C"/>
    <w:rsid w:val="4942011A"/>
    <w:rsid w:val="495A0630"/>
    <w:rsid w:val="4979492D"/>
    <w:rsid w:val="497A68DE"/>
    <w:rsid w:val="498B51B3"/>
    <w:rsid w:val="49934AA1"/>
    <w:rsid w:val="49B836BD"/>
    <w:rsid w:val="49C72786"/>
    <w:rsid w:val="49FA3A3A"/>
    <w:rsid w:val="4A4C47EF"/>
    <w:rsid w:val="4A54324A"/>
    <w:rsid w:val="4A543791"/>
    <w:rsid w:val="4AAB1D95"/>
    <w:rsid w:val="4AD417E9"/>
    <w:rsid w:val="4AD60F74"/>
    <w:rsid w:val="4AE40A60"/>
    <w:rsid w:val="4AE57227"/>
    <w:rsid w:val="4AEB0D99"/>
    <w:rsid w:val="4AF53B0E"/>
    <w:rsid w:val="4AF61EA3"/>
    <w:rsid w:val="4AFA6CB5"/>
    <w:rsid w:val="4B0610EB"/>
    <w:rsid w:val="4B0A3CE8"/>
    <w:rsid w:val="4B1F0B17"/>
    <w:rsid w:val="4B3F5018"/>
    <w:rsid w:val="4B4F78DE"/>
    <w:rsid w:val="4B627E51"/>
    <w:rsid w:val="4B9E17CF"/>
    <w:rsid w:val="4BA202E8"/>
    <w:rsid w:val="4BA4465C"/>
    <w:rsid w:val="4BC75102"/>
    <w:rsid w:val="4BF31821"/>
    <w:rsid w:val="4BF84D7B"/>
    <w:rsid w:val="4C05772D"/>
    <w:rsid w:val="4C093533"/>
    <w:rsid w:val="4C0A5786"/>
    <w:rsid w:val="4C177155"/>
    <w:rsid w:val="4C367C84"/>
    <w:rsid w:val="4C3F3658"/>
    <w:rsid w:val="4C4C6D30"/>
    <w:rsid w:val="4C4D2043"/>
    <w:rsid w:val="4C644A74"/>
    <w:rsid w:val="4C6522B3"/>
    <w:rsid w:val="4C814631"/>
    <w:rsid w:val="4CAF7BEB"/>
    <w:rsid w:val="4CBF5559"/>
    <w:rsid w:val="4CCB1A59"/>
    <w:rsid w:val="4CDE155A"/>
    <w:rsid w:val="4D001445"/>
    <w:rsid w:val="4D1A39D4"/>
    <w:rsid w:val="4D243A3C"/>
    <w:rsid w:val="4D31441A"/>
    <w:rsid w:val="4D3F4582"/>
    <w:rsid w:val="4D626A8D"/>
    <w:rsid w:val="4D7A36CB"/>
    <w:rsid w:val="4D7F2168"/>
    <w:rsid w:val="4D8B3B2A"/>
    <w:rsid w:val="4DAE2CA7"/>
    <w:rsid w:val="4DB1031F"/>
    <w:rsid w:val="4DC55F7E"/>
    <w:rsid w:val="4DD110B1"/>
    <w:rsid w:val="4DD97B58"/>
    <w:rsid w:val="4DDD02CE"/>
    <w:rsid w:val="4DDE02CB"/>
    <w:rsid w:val="4E187038"/>
    <w:rsid w:val="4E23222F"/>
    <w:rsid w:val="4E340E3B"/>
    <w:rsid w:val="4E380649"/>
    <w:rsid w:val="4E5A4A8A"/>
    <w:rsid w:val="4E7F70F3"/>
    <w:rsid w:val="4EB86653"/>
    <w:rsid w:val="4EF04B35"/>
    <w:rsid w:val="4EF26892"/>
    <w:rsid w:val="4EF67834"/>
    <w:rsid w:val="4F0D38E9"/>
    <w:rsid w:val="4F14457A"/>
    <w:rsid w:val="4F3F13D1"/>
    <w:rsid w:val="4F4C621D"/>
    <w:rsid w:val="4F734C9E"/>
    <w:rsid w:val="4F995DC0"/>
    <w:rsid w:val="4F9C7D11"/>
    <w:rsid w:val="4FAF0DEE"/>
    <w:rsid w:val="4FB01EBB"/>
    <w:rsid w:val="4FF5483E"/>
    <w:rsid w:val="4FFC505C"/>
    <w:rsid w:val="4FFF692E"/>
    <w:rsid w:val="501157AB"/>
    <w:rsid w:val="50354221"/>
    <w:rsid w:val="50384DE4"/>
    <w:rsid w:val="50435FA1"/>
    <w:rsid w:val="509076AC"/>
    <w:rsid w:val="50972B52"/>
    <w:rsid w:val="50BD28DE"/>
    <w:rsid w:val="50DC61AD"/>
    <w:rsid w:val="50E43AAD"/>
    <w:rsid w:val="51167646"/>
    <w:rsid w:val="51425228"/>
    <w:rsid w:val="51452314"/>
    <w:rsid w:val="516C0710"/>
    <w:rsid w:val="51946D8F"/>
    <w:rsid w:val="51D074FE"/>
    <w:rsid w:val="51D27066"/>
    <w:rsid w:val="51EA0BE8"/>
    <w:rsid w:val="51F165DD"/>
    <w:rsid w:val="51F80A5F"/>
    <w:rsid w:val="523C1766"/>
    <w:rsid w:val="52441093"/>
    <w:rsid w:val="52470EAD"/>
    <w:rsid w:val="524731FD"/>
    <w:rsid w:val="5247634D"/>
    <w:rsid w:val="525C595A"/>
    <w:rsid w:val="525E3A34"/>
    <w:rsid w:val="526309C2"/>
    <w:rsid w:val="527110B7"/>
    <w:rsid w:val="52727066"/>
    <w:rsid w:val="527A7D19"/>
    <w:rsid w:val="52AF73FC"/>
    <w:rsid w:val="52B707F2"/>
    <w:rsid w:val="52C065CE"/>
    <w:rsid w:val="52DF3B64"/>
    <w:rsid w:val="52EA7300"/>
    <w:rsid w:val="52FA1D7A"/>
    <w:rsid w:val="530B5C1F"/>
    <w:rsid w:val="531A207D"/>
    <w:rsid w:val="53305F49"/>
    <w:rsid w:val="5340295A"/>
    <w:rsid w:val="53432B32"/>
    <w:rsid w:val="538708F0"/>
    <w:rsid w:val="5395352A"/>
    <w:rsid w:val="539C62D1"/>
    <w:rsid w:val="53A4137A"/>
    <w:rsid w:val="53A76688"/>
    <w:rsid w:val="53B52A32"/>
    <w:rsid w:val="53D53F01"/>
    <w:rsid w:val="53E35FEF"/>
    <w:rsid w:val="53EF0E79"/>
    <w:rsid w:val="53F15934"/>
    <w:rsid w:val="53FA7638"/>
    <w:rsid w:val="5411273D"/>
    <w:rsid w:val="54424E4C"/>
    <w:rsid w:val="547A0454"/>
    <w:rsid w:val="54841066"/>
    <w:rsid w:val="54A67842"/>
    <w:rsid w:val="54AB1241"/>
    <w:rsid w:val="54B026F0"/>
    <w:rsid w:val="54BC6BF4"/>
    <w:rsid w:val="54D06140"/>
    <w:rsid w:val="54DA5147"/>
    <w:rsid w:val="54E577FA"/>
    <w:rsid w:val="54EA75AB"/>
    <w:rsid w:val="5516017D"/>
    <w:rsid w:val="554172CF"/>
    <w:rsid w:val="55570E26"/>
    <w:rsid w:val="55574022"/>
    <w:rsid w:val="557B1A6F"/>
    <w:rsid w:val="55901C1B"/>
    <w:rsid w:val="55A1027C"/>
    <w:rsid w:val="55B044A8"/>
    <w:rsid w:val="55B445E8"/>
    <w:rsid w:val="55C2735C"/>
    <w:rsid w:val="55C571C8"/>
    <w:rsid w:val="55D53071"/>
    <w:rsid w:val="561D2CFD"/>
    <w:rsid w:val="5622086D"/>
    <w:rsid w:val="5637484F"/>
    <w:rsid w:val="565C1FAB"/>
    <w:rsid w:val="565E452F"/>
    <w:rsid w:val="565F6F89"/>
    <w:rsid w:val="5674524A"/>
    <w:rsid w:val="56836BFE"/>
    <w:rsid w:val="5684231F"/>
    <w:rsid w:val="568E5D67"/>
    <w:rsid w:val="56951BB6"/>
    <w:rsid w:val="56A6226C"/>
    <w:rsid w:val="56A82087"/>
    <w:rsid w:val="56B24986"/>
    <w:rsid w:val="56B9128B"/>
    <w:rsid w:val="56BB6F37"/>
    <w:rsid w:val="56E0669A"/>
    <w:rsid w:val="56F27AEA"/>
    <w:rsid w:val="56F91B04"/>
    <w:rsid w:val="571E77BD"/>
    <w:rsid w:val="572E529B"/>
    <w:rsid w:val="57476D14"/>
    <w:rsid w:val="57507EBF"/>
    <w:rsid w:val="57911F98"/>
    <w:rsid w:val="57A6539A"/>
    <w:rsid w:val="57AB627A"/>
    <w:rsid w:val="57C26850"/>
    <w:rsid w:val="57D11EF9"/>
    <w:rsid w:val="57DA32F2"/>
    <w:rsid w:val="58054E74"/>
    <w:rsid w:val="5808751C"/>
    <w:rsid w:val="581012CD"/>
    <w:rsid w:val="58133074"/>
    <w:rsid w:val="582B03E3"/>
    <w:rsid w:val="58352241"/>
    <w:rsid w:val="58386272"/>
    <w:rsid w:val="58421289"/>
    <w:rsid w:val="5865530E"/>
    <w:rsid w:val="589E7C43"/>
    <w:rsid w:val="58A106A5"/>
    <w:rsid w:val="58C3061C"/>
    <w:rsid w:val="58C41DEF"/>
    <w:rsid w:val="58E55DE4"/>
    <w:rsid w:val="58F9574A"/>
    <w:rsid w:val="59034E27"/>
    <w:rsid w:val="591D168A"/>
    <w:rsid w:val="59230A0E"/>
    <w:rsid w:val="592D2AA4"/>
    <w:rsid w:val="595032A4"/>
    <w:rsid w:val="596213EC"/>
    <w:rsid w:val="5964405A"/>
    <w:rsid w:val="59905C3D"/>
    <w:rsid w:val="59926854"/>
    <w:rsid w:val="59BC68F2"/>
    <w:rsid w:val="59E41BD5"/>
    <w:rsid w:val="59FA4645"/>
    <w:rsid w:val="5A2D5978"/>
    <w:rsid w:val="5A2E6D3F"/>
    <w:rsid w:val="5A54737F"/>
    <w:rsid w:val="5A9654FD"/>
    <w:rsid w:val="5AA96505"/>
    <w:rsid w:val="5ABA22B0"/>
    <w:rsid w:val="5AC06B8E"/>
    <w:rsid w:val="5ACC4855"/>
    <w:rsid w:val="5AD65EEA"/>
    <w:rsid w:val="5ADD7C96"/>
    <w:rsid w:val="5B345A4A"/>
    <w:rsid w:val="5B3B75E6"/>
    <w:rsid w:val="5B7C4BEC"/>
    <w:rsid w:val="5B8C6F07"/>
    <w:rsid w:val="5B9300F2"/>
    <w:rsid w:val="5BA7240A"/>
    <w:rsid w:val="5BC23C12"/>
    <w:rsid w:val="5BCB77E7"/>
    <w:rsid w:val="5BE87F94"/>
    <w:rsid w:val="5BEF5C4B"/>
    <w:rsid w:val="5C2E0664"/>
    <w:rsid w:val="5C30656F"/>
    <w:rsid w:val="5C481F1F"/>
    <w:rsid w:val="5C514565"/>
    <w:rsid w:val="5C891260"/>
    <w:rsid w:val="5C9F08D4"/>
    <w:rsid w:val="5CA768E6"/>
    <w:rsid w:val="5CC30F42"/>
    <w:rsid w:val="5CD11313"/>
    <w:rsid w:val="5CD775AF"/>
    <w:rsid w:val="5CEC402B"/>
    <w:rsid w:val="5CED7EAB"/>
    <w:rsid w:val="5CEF76FB"/>
    <w:rsid w:val="5CF031A7"/>
    <w:rsid w:val="5CF40C2B"/>
    <w:rsid w:val="5D0E4876"/>
    <w:rsid w:val="5D1002F9"/>
    <w:rsid w:val="5D1F3CE2"/>
    <w:rsid w:val="5D207DA3"/>
    <w:rsid w:val="5D461F16"/>
    <w:rsid w:val="5D4D63F4"/>
    <w:rsid w:val="5D4F6922"/>
    <w:rsid w:val="5D4F7B33"/>
    <w:rsid w:val="5D5F1D5C"/>
    <w:rsid w:val="5D7C65AB"/>
    <w:rsid w:val="5D8F228E"/>
    <w:rsid w:val="5DA06AB1"/>
    <w:rsid w:val="5DB0299B"/>
    <w:rsid w:val="5DB36371"/>
    <w:rsid w:val="5DD874B9"/>
    <w:rsid w:val="5DF04A2B"/>
    <w:rsid w:val="5E012408"/>
    <w:rsid w:val="5E114B41"/>
    <w:rsid w:val="5E292C53"/>
    <w:rsid w:val="5E5321A2"/>
    <w:rsid w:val="5E552A0F"/>
    <w:rsid w:val="5E6A778C"/>
    <w:rsid w:val="5E9554D6"/>
    <w:rsid w:val="5EA1201C"/>
    <w:rsid w:val="5EAC18B3"/>
    <w:rsid w:val="5EB427B5"/>
    <w:rsid w:val="5EC92914"/>
    <w:rsid w:val="5F1A095A"/>
    <w:rsid w:val="5F216C8C"/>
    <w:rsid w:val="5F310079"/>
    <w:rsid w:val="5F506FF2"/>
    <w:rsid w:val="5F653C01"/>
    <w:rsid w:val="5F6E6685"/>
    <w:rsid w:val="5FA26564"/>
    <w:rsid w:val="5FE75CE6"/>
    <w:rsid w:val="5FF87FFC"/>
    <w:rsid w:val="60137F3F"/>
    <w:rsid w:val="6019030E"/>
    <w:rsid w:val="601C5C09"/>
    <w:rsid w:val="603476CB"/>
    <w:rsid w:val="603A003B"/>
    <w:rsid w:val="60614D83"/>
    <w:rsid w:val="6061684C"/>
    <w:rsid w:val="606E537F"/>
    <w:rsid w:val="6071402D"/>
    <w:rsid w:val="60722FC1"/>
    <w:rsid w:val="607A17F1"/>
    <w:rsid w:val="608F5287"/>
    <w:rsid w:val="60A87A87"/>
    <w:rsid w:val="60B63FDF"/>
    <w:rsid w:val="60BD79F5"/>
    <w:rsid w:val="60D164E3"/>
    <w:rsid w:val="61386248"/>
    <w:rsid w:val="61570085"/>
    <w:rsid w:val="617747C7"/>
    <w:rsid w:val="6192496F"/>
    <w:rsid w:val="61A84254"/>
    <w:rsid w:val="61AA2D08"/>
    <w:rsid w:val="61C529CB"/>
    <w:rsid w:val="61CB22EF"/>
    <w:rsid w:val="61E36CFA"/>
    <w:rsid w:val="620D2909"/>
    <w:rsid w:val="62135AA2"/>
    <w:rsid w:val="624344A2"/>
    <w:rsid w:val="62643A48"/>
    <w:rsid w:val="62726C0F"/>
    <w:rsid w:val="62866F94"/>
    <w:rsid w:val="628B6FC0"/>
    <w:rsid w:val="62B66C46"/>
    <w:rsid w:val="62CF39FE"/>
    <w:rsid w:val="62EC2379"/>
    <w:rsid w:val="62F6612C"/>
    <w:rsid w:val="630C3D70"/>
    <w:rsid w:val="630D3B53"/>
    <w:rsid w:val="63204C0B"/>
    <w:rsid w:val="632357AE"/>
    <w:rsid w:val="6325366C"/>
    <w:rsid w:val="633C1D53"/>
    <w:rsid w:val="63461398"/>
    <w:rsid w:val="6361133F"/>
    <w:rsid w:val="638D4B9E"/>
    <w:rsid w:val="639D68B9"/>
    <w:rsid w:val="63A454EE"/>
    <w:rsid w:val="63BC52B5"/>
    <w:rsid w:val="63C35930"/>
    <w:rsid w:val="63E47218"/>
    <w:rsid w:val="63EC5AF3"/>
    <w:rsid w:val="64100904"/>
    <w:rsid w:val="644F6260"/>
    <w:rsid w:val="64637EB9"/>
    <w:rsid w:val="64683A7A"/>
    <w:rsid w:val="64742735"/>
    <w:rsid w:val="6486050A"/>
    <w:rsid w:val="649A4BC6"/>
    <w:rsid w:val="64E96D2A"/>
    <w:rsid w:val="65180DF1"/>
    <w:rsid w:val="651E0B38"/>
    <w:rsid w:val="652463CF"/>
    <w:rsid w:val="65384185"/>
    <w:rsid w:val="654B616B"/>
    <w:rsid w:val="654F54C3"/>
    <w:rsid w:val="655D77BC"/>
    <w:rsid w:val="65600071"/>
    <w:rsid w:val="65637788"/>
    <w:rsid w:val="656B21B3"/>
    <w:rsid w:val="658158F0"/>
    <w:rsid w:val="65940197"/>
    <w:rsid w:val="659A0956"/>
    <w:rsid w:val="65BE2C2B"/>
    <w:rsid w:val="65D606DA"/>
    <w:rsid w:val="65EA2EBA"/>
    <w:rsid w:val="65F067C8"/>
    <w:rsid w:val="65F54D74"/>
    <w:rsid w:val="660C7909"/>
    <w:rsid w:val="66254E02"/>
    <w:rsid w:val="662C053A"/>
    <w:rsid w:val="66353B7A"/>
    <w:rsid w:val="663C67FC"/>
    <w:rsid w:val="66611474"/>
    <w:rsid w:val="667C6A4B"/>
    <w:rsid w:val="66A17AC3"/>
    <w:rsid w:val="66A62076"/>
    <w:rsid w:val="66BA6DBC"/>
    <w:rsid w:val="66D02CE6"/>
    <w:rsid w:val="66D47E98"/>
    <w:rsid w:val="66E906BA"/>
    <w:rsid w:val="673953E1"/>
    <w:rsid w:val="67631A44"/>
    <w:rsid w:val="678E735D"/>
    <w:rsid w:val="67935594"/>
    <w:rsid w:val="6794698A"/>
    <w:rsid w:val="679F6FDF"/>
    <w:rsid w:val="67A54BE1"/>
    <w:rsid w:val="67B6134C"/>
    <w:rsid w:val="67D2593A"/>
    <w:rsid w:val="67D50383"/>
    <w:rsid w:val="6828730F"/>
    <w:rsid w:val="68304FEE"/>
    <w:rsid w:val="684E5A28"/>
    <w:rsid w:val="684F7F91"/>
    <w:rsid w:val="68674743"/>
    <w:rsid w:val="686B66BB"/>
    <w:rsid w:val="686D2566"/>
    <w:rsid w:val="689B2639"/>
    <w:rsid w:val="68E355B5"/>
    <w:rsid w:val="68FE0EF4"/>
    <w:rsid w:val="69020A35"/>
    <w:rsid w:val="692E2DEB"/>
    <w:rsid w:val="69564B94"/>
    <w:rsid w:val="697D287A"/>
    <w:rsid w:val="69BC4B05"/>
    <w:rsid w:val="69CF3912"/>
    <w:rsid w:val="69D22FB6"/>
    <w:rsid w:val="69D529A5"/>
    <w:rsid w:val="69EF32BA"/>
    <w:rsid w:val="6A1441A8"/>
    <w:rsid w:val="6A1516D5"/>
    <w:rsid w:val="6A1E67AC"/>
    <w:rsid w:val="6A401A6E"/>
    <w:rsid w:val="6A53354A"/>
    <w:rsid w:val="6A742635"/>
    <w:rsid w:val="6A800472"/>
    <w:rsid w:val="6A88588B"/>
    <w:rsid w:val="6A971908"/>
    <w:rsid w:val="6AC25DF9"/>
    <w:rsid w:val="6ACD35C3"/>
    <w:rsid w:val="6AFD5F8B"/>
    <w:rsid w:val="6AFF1A6F"/>
    <w:rsid w:val="6B0705B7"/>
    <w:rsid w:val="6B315878"/>
    <w:rsid w:val="6B342B76"/>
    <w:rsid w:val="6B412D55"/>
    <w:rsid w:val="6B443DFD"/>
    <w:rsid w:val="6B44530E"/>
    <w:rsid w:val="6B6146D7"/>
    <w:rsid w:val="6B6F1407"/>
    <w:rsid w:val="6B77378C"/>
    <w:rsid w:val="6B836525"/>
    <w:rsid w:val="6B8A3AE3"/>
    <w:rsid w:val="6B8E5E0F"/>
    <w:rsid w:val="6B9320D0"/>
    <w:rsid w:val="6B9E3D5A"/>
    <w:rsid w:val="6BCC1351"/>
    <w:rsid w:val="6BDB09F1"/>
    <w:rsid w:val="6BE1187F"/>
    <w:rsid w:val="6BF306BC"/>
    <w:rsid w:val="6BF84911"/>
    <w:rsid w:val="6BFB1187"/>
    <w:rsid w:val="6C0D7689"/>
    <w:rsid w:val="6C17564B"/>
    <w:rsid w:val="6C382CCF"/>
    <w:rsid w:val="6C3D385C"/>
    <w:rsid w:val="6C3D727F"/>
    <w:rsid w:val="6C481C7D"/>
    <w:rsid w:val="6C6B0FDD"/>
    <w:rsid w:val="6C6F7725"/>
    <w:rsid w:val="6C881929"/>
    <w:rsid w:val="6C9B697D"/>
    <w:rsid w:val="6CB5605B"/>
    <w:rsid w:val="6CC968AE"/>
    <w:rsid w:val="6CE3610E"/>
    <w:rsid w:val="6D0E4E53"/>
    <w:rsid w:val="6D2867F4"/>
    <w:rsid w:val="6D2B0053"/>
    <w:rsid w:val="6D3109DD"/>
    <w:rsid w:val="6D545394"/>
    <w:rsid w:val="6D750BE9"/>
    <w:rsid w:val="6D761CA9"/>
    <w:rsid w:val="6D851CF8"/>
    <w:rsid w:val="6DA05709"/>
    <w:rsid w:val="6DAF4996"/>
    <w:rsid w:val="6DB309AE"/>
    <w:rsid w:val="6DBB3EA3"/>
    <w:rsid w:val="6DD418DB"/>
    <w:rsid w:val="6DE7202A"/>
    <w:rsid w:val="6DF57072"/>
    <w:rsid w:val="6E0A4B71"/>
    <w:rsid w:val="6E1141AF"/>
    <w:rsid w:val="6E207763"/>
    <w:rsid w:val="6E23688A"/>
    <w:rsid w:val="6E243AD1"/>
    <w:rsid w:val="6E290AC9"/>
    <w:rsid w:val="6E2F7B85"/>
    <w:rsid w:val="6E312989"/>
    <w:rsid w:val="6E533F7A"/>
    <w:rsid w:val="6E662F9A"/>
    <w:rsid w:val="6E6F110A"/>
    <w:rsid w:val="6E8D5196"/>
    <w:rsid w:val="6EB3160E"/>
    <w:rsid w:val="6EBD16DE"/>
    <w:rsid w:val="6ED8076A"/>
    <w:rsid w:val="6F15429C"/>
    <w:rsid w:val="6F164952"/>
    <w:rsid w:val="6F254250"/>
    <w:rsid w:val="6F274BD9"/>
    <w:rsid w:val="6F50368E"/>
    <w:rsid w:val="6F6C576E"/>
    <w:rsid w:val="6F9953BF"/>
    <w:rsid w:val="6FA75F3B"/>
    <w:rsid w:val="6FAA050C"/>
    <w:rsid w:val="6FB3213A"/>
    <w:rsid w:val="6FC45463"/>
    <w:rsid w:val="6FCA19B3"/>
    <w:rsid w:val="6FD4657B"/>
    <w:rsid w:val="6FEA551E"/>
    <w:rsid w:val="7001184F"/>
    <w:rsid w:val="70052E70"/>
    <w:rsid w:val="7029760B"/>
    <w:rsid w:val="70393C48"/>
    <w:rsid w:val="705356DC"/>
    <w:rsid w:val="706E686D"/>
    <w:rsid w:val="709B74E7"/>
    <w:rsid w:val="70B053F2"/>
    <w:rsid w:val="70CA731C"/>
    <w:rsid w:val="70D54400"/>
    <w:rsid w:val="70E227FA"/>
    <w:rsid w:val="70F378D8"/>
    <w:rsid w:val="710906A2"/>
    <w:rsid w:val="7121319C"/>
    <w:rsid w:val="71281A02"/>
    <w:rsid w:val="71602316"/>
    <w:rsid w:val="7164222A"/>
    <w:rsid w:val="71652041"/>
    <w:rsid w:val="717F0F19"/>
    <w:rsid w:val="71A614C1"/>
    <w:rsid w:val="71A672B3"/>
    <w:rsid w:val="71BB6A1B"/>
    <w:rsid w:val="71C67C28"/>
    <w:rsid w:val="71D27C42"/>
    <w:rsid w:val="71F02557"/>
    <w:rsid w:val="71F57420"/>
    <w:rsid w:val="71FD0B25"/>
    <w:rsid w:val="721C238E"/>
    <w:rsid w:val="723C4321"/>
    <w:rsid w:val="72537D3F"/>
    <w:rsid w:val="72B12A07"/>
    <w:rsid w:val="72B64126"/>
    <w:rsid w:val="72C35D7C"/>
    <w:rsid w:val="72CE2C6F"/>
    <w:rsid w:val="72D13AAB"/>
    <w:rsid w:val="732D45D8"/>
    <w:rsid w:val="732F7F24"/>
    <w:rsid w:val="7330098A"/>
    <w:rsid w:val="7338447B"/>
    <w:rsid w:val="735247FA"/>
    <w:rsid w:val="7356403E"/>
    <w:rsid w:val="7358488A"/>
    <w:rsid w:val="735D6897"/>
    <w:rsid w:val="736F539C"/>
    <w:rsid w:val="73796F15"/>
    <w:rsid w:val="73920EBF"/>
    <w:rsid w:val="73C36635"/>
    <w:rsid w:val="73C655E6"/>
    <w:rsid w:val="73EE1318"/>
    <w:rsid w:val="740753EA"/>
    <w:rsid w:val="74390E30"/>
    <w:rsid w:val="743C1812"/>
    <w:rsid w:val="7482049D"/>
    <w:rsid w:val="74AE497F"/>
    <w:rsid w:val="74B40F75"/>
    <w:rsid w:val="74C7348F"/>
    <w:rsid w:val="74E4488E"/>
    <w:rsid w:val="74EB12E2"/>
    <w:rsid w:val="74F63D2B"/>
    <w:rsid w:val="74FF7D24"/>
    <w:rsid w:val="7531637E"/>
    <w:rsid w:val="754461E9"/>
    <w:rsid w:val="754B2930"/>
    <w:rsid w:val="75512E98"/>
    <w:rsid w:val="755E49C7"/>
    <w:rsid w:val="756121CE"/>
    <w:rsid w:val="756175B3"/>
    <w:rsid w:val="756B150E"/>
    <w:rsid w:val="757201D7"/>
    <w:rsid w:val="75734C41"/>
    <w:rsid w:val="75740016"/>
    <w:rsid w:val="75873F57"/>
    <w:rsid w:val="75966E30"/>
    <w:rsid w:val="759E6BB6"/>
    <w:rsid w:val="75B92F4B"/>
    <w:rsid w:val="75DE36EB"/>
    <w:rsid w:val="75E11452"/>
    <w:rsid w:val="75E46588"/>
    <w:rsid w:val="75EA601A"/>
    <w:rsid w:val="75EB64AE"/>
    <w:rsid w:val="75F357CF"/>
    <w:rsid w:val="761E62F4"/>
    <w:rsid w:val="764A3BDF"/>
    <w:rsid w:val="766A201E"/>
    <w:rsid w:val="769905AB"/>
    <w:rsid w:val="76B13D04"/>
    <w:rsid w:val="76C43A85"/>
    <w:rsid w:val="76CE200B"/>
    <w:rsid w:val="76E84BB7"/>
    <w:rsid w:val="77125CF7"/>
    <w:rsid w:val="771A4CEB"/>
    <w:rsid w:val="77213709"/>
    <w:rsid w:val="77583471"/>
    <w:rsid w:val="77692174"/>
    <w:rsid w:val="77845807"/>
    <w:rsid w:val="7787268A"/>
    <w:rsid w:val="77A50B42"/>
    <w:rsid w:val="77A553D2"/>
    <w:rsid w:val="77A85155"/>
    <w:rsid w:val="77D3324D"/>
    <w:rsid w:val="77E35C91"/>
    <w:rsid w:val="77ED12CB"/>
    <w:rsid w:val="78176B40"/>
    <w:rsid w:val="7832164A"/>
    <w:rsid w:val="784548FD"/>
    <w:rsid w:val="785C6067"/>
    <w:rsid w:val="785D12CF"/>
    <w:rsid w:val="78713DC6"/>
    <w:rsid w:val="788E7995"/>
    <w:rsid w:val="78996DBE"/>
    <w:rsid w:val="78A83025"/>
    <w:rsid w:val="78AD3BCE"/>
    <w:rsid w:val="78CD77AD"/>
    <w:rsid w:val="79064DC8"/>
    <w:rsid w:val="7960221C"/>
    <w:rsid w:val="79667D10"/>
    <w:rsid w:val="7999766A"/>
    <w:rsid w:val="79A657D9"/>
    <w:rsid w:val="79A76852"/>
    <w:rsid w:val="79AE7695"/>
    <w:rsid w:val="79BF0612"/>
    <w:rsid w:val="79D6443C"/>
    <w:rsid w:val="79D67B11"/>
    <w:rsid w:val="79DD5C5F"/>
    <w:rsid w:val="79E61C7D"/>
    <w:rsid w:val="7A06746E"/>
    <w:rsid w:val="7A26329A"/>
    <w:rsid w:val="7A2D0961"/>
    <w:rsid w:val="7A2F4268"/>
    <w:rsid w:val="7A321FF1"/>
    <w:rsid w:val="7A6F0D4B"/>
    <w:rsid w:val="7A812A0C"/>
    <w:rsid w:val="7A9324AC"/>
    <w:rsid w:val="7AA67684"/>
    <w:rsid w:val="7AB61937"/>
    <w:rsid w:val="7ABE675F"/>
    <w:rsid w:val="7AE120B4"/>
    <w:rsid w:val="7AE407BB"/>
    <w:rsid w:val="7AF1471D"/>
    <w:rsid w:val="7B1F1AD8"/>
    <w:rsid w:val="7B37531C"/>
    <w:rsid w:val="7B38234C"/>
    <w:rsid w:val="7B4156BF"/>
    <w:rsid w:val="7B4B5CF1"/>
    <w:rsid w:val="7B8423DF"/>
    <w:rsid w:val="7B911884"/>
    <w:rsid w:val="7B923767"/>
    <w:rsid w:val="7BA5383F"/>
    <w:rsid w:val="7BCE645D"/>
    <w:rsid w:val="7BCF17F1"/>
    <w:rsid w:val="7BDE779C"/>
    <w:rsid w:val="7C1F59DF"/>
    <w:rsid w:val="7C22159C"/>
    <w:rsid w:val="7C6302CE"/>
    <w:rsid w:val="7C63117D"/>
    <w:rsid w:val="7C6F0CC8"/>
    <w:rsid w:val="7C7B541B"/>
    <w:rsid w:val="7C7B7792"/>
    <w:rsid w:val="7CA968E2"/>
    <w:rsid w:val="7CB17827"/>
    <w:rsid w:val="7CC77745"/>
    <w:rsid w:val="7CCE4312"/>
    <w:rsid w:val="7CD10CE6"/>
    <w:rsid w:val="7CDB185C"/>
    <w:rsid w:val="7CE24B17"/>
    <w:rsid w:val="7CFF029C"/>
    <w:rsid w:val="7CFF0476"/>
    <w:rsid w:val="7D2211D5"/>
    <w:rsid w:val="7D322549"/>
    <w:rsid w:val="7D480840"/>
    <w:rsid w:val="7D4F7738"/>
    <w:rsid w:val="7D792545"/>
    <w:rsid w:val="7D8D3C0F"/>
    <w:rsid w:val="7D8F646F"/>
    <w:rsid w:val="7D8F73EC"/>
    <w:rsid w:val="7DA63533"/>
    <w:rsid w:val="7DAE36ED"/>
    <w:rsid w:val="7DBA1577"/>
    <w:rsid w:val="7DC41B68"/>
    <w:rsid w:val="7DE306DC"/>
    <w:rsid w:val="7DED6A26"/>
    <w:rsid w:val="7DF578FC"/>
    <w:rsid w:val="7E077E2B"/>
    <w:rsid w:val="7E4B4E4C"/>
    <w:rsid w:val="7E6767C8"/>
    <w:rsid w:val="7E950C0E"/>
    <w:rsid w:val="7EAD464A"/>
    <w:rsid w:val="7ED2433A"/>
    <w:rsid w:val="7EF2506C"/>
    <w:rsid w:val="7EFA0C37"/>
    <w:rsid w:val="7F1E22B4"/>
    <w:rsid w:val="7F2A2B60"/>
    <w:rsid w:val="7F327C03"/>
    <w:rsid w:val="7F4C286A"/>
    <w:rsid w:val="7F537595"/>
    <w:rsid w:val="7F57133E"/>
    <w:rsid w:val="7F592F57"/>
    <w:rsid w:val="7F77418F"/>
    <w:rsid w:val="7F8444E7"/>
    <w:rsid w:val="7F89240C"/>
    <w:rsid w:val="7FC20D7E"/>
    <w:rsid w:val="7FC57185"/>
    <w:rsid w:val="7FE55525"/>
    <w:rsid w:val="7FE62E46"/>
    <w:rsid w:val="7FE9235B"/>
    <w:rsid w:val="7FFE397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nhideWhenUsed="0" w:uiPriority="9" w:semiHidden="0" w:name="heading 5"/>
    <w:lsdException w:qFormat="1" w:unhideWhenUsed="0" w:uiPriority="9" w:semiHidden="0" w:name="heading 6"/>
    <w:lsdException w:qFormat="1" w:unhideWhenUsed="0" w:uiPriority="9" w:semiHidden="0" w:name="heading 7"/>
    <w:lsdException w:qFormat="1" w:unhideWhenUsed="0" w:uiPriority="9" w:semiHidden="0" w:name="heading 8"/>
    <w:lsdException w:qFormat="1" w:unhideWhenUsed="0" w:uiPriority="9" w:semiHidden="0" w:name="heading 9"/>
    <w:lsdException w:qFormat="1" w:uiPriority="99" w:semiHidden="0" w:name="index 1"/>
    <w:lsdException w:qFormat="1" w:uiPriority="99" w:semiHidden="0" w:name="index 2"/>
    <w:lsdException w:qFormat="1" w:uiPriority="99" w:semiHidden="0" w:name="index 3"/>
    <w:lsdException w:qFormat="1" w:uiPriority="99" w:semiHidden="0" w:name="index 4"/>
    <w:lsdException w:qFormat="1" w:uiPriority="99" w:semiHidden="0" w:name="index 5"/>
    <w:lsdException w:qFormat="1" w:uiPriority="99" w:semiHidden="0" w:name="index 6"/>
    <w:lsdException w:qFormat="1" w:uiPriority="99" w:semiHidden="0" w:name="index 7"/>
    <w:lsdException w:qFormat="1" w:uiPriority="99" w:semiHidden="0" w:name="index 8"/>
    <w:lsdException w:qFormat="1" w:uiPriority="99"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nhideWhenUsed="0" w:uiPriority="0" w:semiHidden="0" w:name="Normal Indent"/>
    <w:lsdException w:qFormat="1" w:uiPriority="99" w:semiHidden="0" w:name="footnote text"/>
    <w:lsdException w:qFormat="1" w:unhideWhenUsed="0" w:uiPriority="99" w:semiHidden="0" w:name="annotation text"/>
    <w:lsdException w:qFormat="1" w:uiPriority="99" w:semiHidden="0" w:name="header"/>
    <w:lsdException w:qFormat="1" w:uiPriority="99" w:semiHidden="0" w:name="footer"/>
    <w:lsdException w:qFormat="1" w:uiPriority="99" w:semiHidden="0" w:name="index heading"/>
    <w:lsdException w:qFormat="1" w:unhideWhenUsed="0" w:uiPriority="35" w:semiHidden="0" w:name="caption"/>
    <w:lsdException w:qFormat="1" w:uiPriority="99" w:semiHidden="0" w:name="table of figures"/>
    <w:lsdException w:qFormat="1" w:uiPriority="99" w:semiHidden="0" w:name="envelope address"/>
    <w:lsdException w:qFormat="1" w:uiPriority="99" w:semiHidden="0"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qFormat="1" w:uiPriority="99" w:semiHidden="0" w:name="endnote text"/>
    <w:lsdException w:qFormat="1" w:uiPriority="99" w:semiHidden="0" w:name="table of authorities"/>
    <w:lsdException w:qFormat="1" w:uiPriority="99" w:semiHidden="0" w:name="macro"/>
    <w:lsdException w:qFormat="1" w:uiPriority="99" w:semiHidden="0" w:name="toa heading"/>
    <w:lsdException w:qFormat="1" w:unhideWhenUsed="0" w:uiPriority="0" w:semiHidden="0" w:name="List"/>
    <w:lsdException w:qFormat="1" w:uiPriority="99" w:semiHidden="0" w:name="List Bullet"/>
    <w:lsdException w:qFormat="1" w:uiPriority="99" w:semiHidden="0" w:name="List Number"/>
    <w:lsdException w:qFormat="1" w:uiPriority="99" w:semiHidden="0" w:name="List 2"/>
    <w:lsdException w:qFormat="1" w:unhideWhenUsed="0" w:uiPriority="99" w:semiHidden="0" w:name="List 3"/>
    <w:lsdException w:qFormat="1" w:uiPriority="99" w:semiHidden="0" w:name="List 4"/>
    <w:lsdException w:qFormat="1" w:uiPriority="99" w:semiHidden="0" w:name="List 5"/>
    <w:lsdException w:qFormat="1" w:uiPriority="99" w:semiHidden="0" w:name="List Bullet 2"/>
    <w:lsdException w:qFormat="1" w:uiPriority="99" w:semiHidden="0" w:name="List Bullet 3"/>
    <w:lsdException w:qFormat="1" w:uiPriority="99" w:semiHidden="0" w:name="List Bullet 4"/>
    <w:lsdException w:qFormat="1" w:uiPriority="99" w:semiHidden="0" w:name="List Bullet 5"/>
    <w:lsdException w:qFormat="1" w:uiPriority="99" w:semiHidden="0" w:name="List Number 2"/>
    <w:lsdException w:qFormat="1" w:uiPriority="99" w:semiHidden="0" w:name="List Number 3"/>
    <w:lsdException w:qFormat="1" w:uiPriority="99" w:semiHidden="0" w:name="List Number 4"/>
    <w:lsdException w:qFormat="1" w:uiPriority="99" w:semiHidden="0" w:name="List Number 5"/>
    <w:lsdException w:qFormat="1" w:unhideWhenUsed="0" w:uiPriority="10" w:semiHidden="0" w:name="Title"/>
    <w:lsdException w:qFormat="1" w:uiPriority="99" w:semiHidden="0" w:name="Closing"/>
    <w:lsdException w:qFormat="1" w:uiPriority="99" w:semiHidden="0" w:name="Signature"/>
    <w:lsdException w:qFormat="1" w:uiPriority="1" w:name="Default Paragraph Font"/>
    <w:lsdException w:qFormat="1" w:unhideWhenUsed="0" w:uiPriority="99" w:semiHidden="0" w:name="Body Text"/>
    <w:lsdException w:qFormat="1" w:unhideWhenUsed="0" w:uiPriority="99" w:semiHidden="0" w:name="Body Text Indent"/>
    <w:lsdException w:qFormat="1" w:uiPriority="99" w:semiHidden="0" w:name="List Continue"/>
    <w:lsdException w:qFormat="1" w:uiPriority="99" w:semiHidden="0" w:name="List Continue 2"/>
    <w:lsdException w:qFormat="1" w:uiPriority="99" w:semiHidden="0" w:name="List Continue 3"/>
    <w:lsdException w:qFormat="1" w:uiPriority="99" w:semiHidden="0" w:name="List Continue 4"/>
    <w:lsdException w:qFormat="1" w:uiPriority="99" w:semiHidden="0" w:name="List Continue 5"/>
    <w:lsdException w:qFormat="1" w:uiPriority="99" w:semiHidden="0" w:name="Message Header"/>
    <w:lsdException w:qFormat="1" w:unhideWhenUsed="0" w:uiPriority="11" w:semiHidden="0" w:name="Subtitle"/>
    <w:lsdException w:qFormat="1" w:uiPriority="99" w:semiHidden="0" w:name="Salutation"/>
    <w:lsdException w:qFormat="1" w:unhideWhenUsed="0" w:uiPriority="0" w:semiHidden="0" w:name="Date"/>
    <w:lsdException w:qFormat="1" w:uiPriority="0" w:semiHidden="0" w:name="Body Text First Indent"/>
    <w:lsdException w:qFormat="1" w:uiPriority="0" w:semiHidden="0" w:name="Body Text First Indent 2"/>
    <w:lsdException w:qFormat="1" w:uiPriority="99" w:semiHidden="0" w:name="Note Heading"/>
    <w:lsdException w:qFormat="1" w:uiPriority="99" w:semiHidden="0" w:name="Body Text 2"/>
    <w:lsdException w:qFormat="1" w:uiPriority="99" w:semiHidden="0" w:name="Body Text 3"/>
    <w:lsdException w:qFormat="1" w:unhideWhenUsed="0" w:uiPriority="99" w:semiHidden="0" w:name="Body Text Indent 2"/>
    <w:lsdException w:qFormat="1" w:unhideWhenUsed="0" w:uiPriority="0" w:semiHidden="0" w:name="Body Text Indent 3"/>
    <w:lsdException w:qFormat="1" w:uiPriority="0" w:semiHidden="0" w:name="Block Text"/>
    <w:lsdException w:qFormat="1" w:uiPriority="99" w:semiHidden="0" w:name="Hyperlink"/>
    <w:lsdException w:qFormat="1" w:unhideWhenUsed="0" w:uiPriority="99" w:semiHidden="0" w:name="FollowedHyperlink"/>
    <w:lsdException w:qFormat="1" w:unhideWhenUsed="0" w:uiPriority="0" w:semiHidden="0" w:name="Strong"/>
    <w:lsdException w:qFormat="1" w:unhideWhenUsed="0" w:uiPriority="0" w:semiHidden="0" w:name="Emphasis"/>
    <w:lsdException w:qFormat="1" w:unhideWhenUsed="0" w:uiPriority="99" w:semiHidden="0" w:name="Document Map"/>
    <w:lsdException w:qFormat="1" w:unhideWhenUsed="0" w:uiPriority="0" w:semiHidden="0" w:name="Plain Text"/>
    <w:lsdException w:qFormat="1" w:uiPriority="99" w:semiHidden="0" w:name="E-mail Signature"/>
    <w:lsdException w:qFormat="1" w:unhideWhenUsed="0" w:uiPriority="99" w:semiHidden="0" w:name="Normal (Web)"/>
    <w:lsdException w:uiPriority="99" w:name="HTML Acronym"/>
    <w:lsdException w:qFormat="1" w:uiPriority="99" w:semiHidden="0"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uiPriority="99" w:name="Normal Table"/>
    <w:lsdException w:qFormat="1" w:unhideWhenUsed="0" w:uiPriority="99" w:semiHidden="0" w:name="annotation subject"/>
    <w:lsdException w:qFormat="1" w:unhideWhenUsed="0" w:uiPriority="0" w:semiHidden="0"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qFormat="1" w:unhideWhenUsed="0" w:uiPriority="0" w:semiHidden="0"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semiHidden="0" w:name="Balloon Text"/>
    <w:lsdException w:qFormat="1" w:unhideWhenUsed="0" w:uiPriority="39" w:semiHidden="0" w:name="Table Grid"/>
    <w:lsdException w:qFormat="1" w:unhideWhenUsed="0" w:uiPriority="0" w:semiHidden="0"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99" w:semiHidden="0" w:name="Quote"/>
    <w:lsdException w:qFormat="1" w:unhideWhenUsed="0" w:uiPriority="99"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qFormat="1"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sz w:val="21"/>
      <w:lang w:val="en-US" w:eastAsia="zh-CN" w:bidi="ar-SA"/>
    </w:rPr>
  </w:style>
  <w:style w:type="paragraph" w:styleId="18">
    <w:name w:val="heading 1"/>
    <w:basedOn w:val="1"/>
    <w:next w:val="1"/>
    <w:link w:val="129"/>
    <w:qFormat/>
    <w:uiPriority w:val="9"/>
    <w:pPr>
      <w:keepNext/>
      <w:overflowPunct w:val="0"/>
      <w:snapToGrid w:val="0"/>
      <w:spacing w:before="120" w:after="160" w:line="259" w:lineRule="auto"/>
      <w:ind w:left="432" w:hanging="432"/>
      <w:outlineLvl w:val="0"/>
    </w:pPr>
    <w:rPr>
      <w:rFonts w:eastAsia="黑体"/>
      <w:b/>
      <w:bCs/>
      <w:color w:val="000000"/>
      <w:kern w:val="44"/>
      <w:sz w:val="30"/>
      <w:szCs w:val="30"/>
    </w:rPr>
  </w:style>
  <w:style w:type="paragraph" w:styleId="19">
    <w:name w:val="heading 2"/>
    <w:basedOn w:val="1"/>
    <w:next w:val="1"/>
    <w:link w:val="130"/>
    <w:qFormat/>
    <w:uiPriority w:val="9"/>
    <w:pPr>
      <w:pBdr>
        <w:bottom w:val="none" w:color="622423" w:sz="0" w:space="0"/>
      </w:pBdr>
      <w:spacing w:line="360" w:lineRule="auto"/>
      <w:outlineLvl w:val="1"/>
    </w:pPr>
    <w:rPr>
      <w:b/>
      <w:caps/>
      <w:color w:val="000000"/>
      <w:spacing w:val="17"/>
      <w:sz w:val="30"/>
      <w:lang w:eastAsia="zh-TW"/>
    </w:rPr>
  </w:style>
  <w:style w:type="paragraph" w:styleId="20">
    <w:name w:val="heading 3"/>
    <w:basedOn w:val="1"/>
    <w:next w:val="1"/>
    <w:link w:val="131"/>
    <w:qFormat/>
    <w:uiPriority w:val="9"/>
    <w:pPr>
      <w:keepLines/>
      <w:widowControl/>
      <w:adjustRightInd w:val="0"/>
      <w:snapToGrid w:val="0"/>
      <w:textAlignment w:val="baseline"/>
      <w:outlineLvl w:val="2"/>
    </w:pPr>
    <w:rPr>
      <w:b/>
      <w:bCs/>
      <w:spacing w:val="11"/>
      <w:kern w:val="18"/>
      <w:sz w:val="28"/>
      <w:szCs w:val="28"/>
      <w:lang w:eastAsia="zh-TW"/>
    </w:rPr>
  </w:style>
  <w:style w:type="paragraph" w:styleId="21">
    <w:name w:val="heading 4"/>
    <w:basedOn w:val="1"/>
    <w:next w:val="1"/>
    <w:link w:val="132"/>
    <w:qFormat/>
    <w:uiPriority w:val="9"/>
    <w:pPr>
      <w:keepNext/>
      <w:keepLines/>
      <w:spacing w:line="360" w:lineRule="auto"/>
      <w:outlineLvl w:val="3"/>
    </w:pPr>
    <w:rPr>
      <w:rFonts w:ascii="Calibri" w:hAnsi="Calibri"/>
      <w:b/>
      <w:sz w:val="28"/>
      <w:lang w:eastAsia="zh-TW"/>
    </w:rPr>
  </w:style>
  <w:style w:type="paragraph" w:styleId="11">
    <w:name w:val="heading 5"/>
    <w:basedOn w:val="1"/>
    <w:next w:val="1"/>
    <w:link w:val="133"/>
    <w:qFormat/>
    <w:uiPriority w:val="9"/>
    <w:pPr>
      <w:keepNext/>
      <w:keepLines/>
      <w:adjustRightInd w:val="0"/>
      <w:spacing w:before="280" w:after="290" w:line="376" w:lineRule="auto"/>
      <w:textAlignment w:val="baseline"/>
      <w:outlineLvl w:val="4"/>
    </w:pPr>
    <w:rPr>
      <w:rFonts w:ascii="Calibri" w:hAnsi="Calibri" w:eastAsia="Times New Roman"/>
      <w:b/>
      <w:bCs/>
      <w:sz w:val="28"/>
      <w:szCs w:val="28"/>
      <w:lang w:eastAsia="zh-TW"/>
    </w:rPr>
  </w:style>
  <w:style w:type="paragraph" w:styleId="22">
    <w:name w:val="heading 6"/>
    <w:basedOn w:val="1"/>
    <w:next w:val="1"/>
    <w:link w:val="134"/>
    <w:qFormat/>
    <w:uiPriority w:val="9"/>
    <w:pPr>
      <w:keepNext/>
      <w:keepLines/>
      <w:adjustRightInd w:val="0"/>
      <w:spacing w:before="240" w:after="64" w:line="320" w:lineRule="auto"/>
      <w:textAlignment w:val="baseline"/>
      <w:outlineLvl w:val="5"/>
    </w:pPr>
    <w:rPr>
      <w:rFonts w:ascii="Cambria" w:hAnsi="Cambria"/>
      <w:b/>
      <w:bCs/>
      <w:sz w:val="24"/>
      <w:lang w:eastAsia="zh-TW"/>
    </w:rPr>
  </w:style>
  <w:style w:type="paragraph" w:styleId="23">
    <w:name w:val="heading 7"/>
    <w:basedOn w:val="1"/>
    <w:next w:val="1"/>
    <w:link w:val="135"/>
    <w:qFormat/>
    <w:uiPriority w:val="9"/>
    <w:pPr>
      <w:keepNext/>
      <w:keepLines/>
      <w:adjustRightInd w:val="0"/>
      <w:spacing w:before="240" w:after="64" w:line="320" w:lineRule="auto"/>
      <w:textAlignment w:val="baseline"/>
      <w:outlineLvl w:val="6"/>
    </w:pPr>
    <w:rPr>
      <w:rFonts w:ascii="Calibri" w:hAnsi="Calibri" w:eastAsia="Times New Roman"/>
      <w:b/>
      <w:bCs/>
      <w:sz w:val="24"/>
      <w:lang w:eastAsia="zh-TW"/>
    </w:rPr>
  </w:style>
  <w:style w:type="paragraph" w:styleId="24">
    <w:name w:val="heading 8"/>
    <w:basedOn w:val="1"/>
    <w:next w:val="1"/>
    <w:link w:val="136"/>
    <w:qFormat/>
    <w:uiPriority w:val="9"/>
    <w:pPr>
      <w:keepNext/>
      <w:keepLines/>
      <w:adjustRightInd w:val="0"/>
      <w:spacing w:before="240" w:after="64" w:line="320" w:lineRule="auto"/>
      <w:textAlignment w:val="baseline"/>
      <w:outlineLvl w:val="7"/>
    </w:pPr>
    <w:rPr>
      <w:rFonts w:ascii="Cambria" w:hAnsi="Cambria"/>
      <w:sz w:val="24"/>
      <w:lang w:eastAsia="zh-TW"/>
    </w:rPr>
  </w:style>
  <w:style w:type="paragraph" w:styleId="25">
    <w:name w:val="heading 9"/>
    <w:basedOn w:val="1"/>
    <w:next w:val="1"/>
    <w:link w:val="137"/>
    <w:qFormat/>
    <w:uiPriority w:val="9"/>
    <w:pPr>
      <w:keepNext/>
      <w:keepLines/>
      <w:adjustRightInd w:val="0"/>
      <w:spacing w:before="240" w:after="64" w:line="320" w:lineRule="auto"/>
      <w:textAlignment w:val="baseline"/>
      <w:outlineLvl w:val="8"/>
    </w:pPr>
    <w:rPr>
      <w:rFonts w:ascii="Cambria" w:hAnsi="Cambria"/>
      <w:lang w:eastAsia="zh-TW"/>
    </w:rPr>
  </w:style>
  <w:style w:type="character" w:default="1" w:styleId="106">
    <w:name w:val="Default Paragraph Font"/>
    <w:semiHidden/>
    <w:unhideWhenUsed/>
    <w:qFormat/>
    <w:uiPriority w:val="1"/>
  </w:style>
  <w:style w:type="table" w:default="1" w:styleId="100">
    <w:name w:val="Normal Table"/>
    <w:semiHidden/>
    <w:unhideWhenUsed/>
    <w:uiPriority w:val="99"/>
    <w:tblPr>
      <w:tblCellMar>
        <w:top w:w="0" w:type="dxa"/>
        <w:left w:w="108" w:type="dxa"/>
        <w:bottom w:w="0" w:type="dxa"/>
        <w:right w:w="108" w:type="dxa"/>
      </w:tblCellMar>
    </w:tblPr>
  </w:style>
  <w:style w:type="paragraph" w:customStyle="1" w:styleId="2">
    <w:name w:val="Default"/>
    <w:basedOn w:val="3"/>
    <w:next w:val="6"/>
    <w:qFormat/>
    <w:uiPriority w:val="0"/>
    <w:pPr>
      <w:widowControl w:val="0"/>
      <w:autoSpaceDE w:val="0"/>
      <w:autoSpaceDN w:val="0"/>
    </w:pPr>
    <w:rPr>
      <w:rFonts w:hAnsi="Calibri"/>
      <w:color w:val="000000"/>
      <w:szCs w:val="24"/>
    </w:rPr>
  </w:style>
  <w:style w:type="paragraph" w:customStyle="1" w:styleId="3">
    <w:name w:val="纯文本1"/>
    <w:basedOn w:val="1"/>
    <w:next w:val="4"/>
    <w:qFormat/>
    <w:uiPriority w:val="0"/>
    <w:pPr>
      <w:widowControl/>
      <w:adjustRightInd w:val="0"/>
      <w:jc w:val="left"/>
    </w:pPr>
    <w:rPr>
      <w:rFonts w:ascii="宋体" w:hAnsi="Courier New" w:cs="宋体"/>
      <w:sz w:val="24"/>
    </w:rPr>
  </w:style>
  <w:style w:type="paragraph" w:styleId="4">
    <w:name w:val="Plain Text"/>
    <w:basedOn w:val="1"/>
    <w:next w:val="5"/>
    <w:link w:val="161"/>
    <w:qFormat/>
    <w:uiPriority w:val="0"/>
    <w:rPr>
      <w:rFonts w:ascii="宋体" w:hAnsi="Courier New"/>
      <w:lang w:eastAsia="zh-TW"/>
    </w:rPr>
  </w:style>
  <w:style w:type="paragraph" w:styleId="5">
    <w:name w:val="toc 1"/>
    <w:basedOn w:val="1"/>
    <w:next w:val="1"/>
    <w:qFormat/>
    <w:uiPriority w:val="39"/>
    <w:rPr>
      <w:rFonts w:ascii="Calibri" w:hAnsi="Calibri"/>
      <w:lang w:eastAsia="zh-TW"/>
    </w:rPr>
  </w:style>
  <w:style w:type="paragraph" w:customStyle="1" w:styleId="6">
    <w:name w:val="样式35"/>
    <w:basedOn w:val="7"/>
    <w:next w:val="12"/>
    <w:qFormat/>
    <w:uiPriority w:val="0"/>
    <w:pPr>
      <w:widowControl/>
      <w:tabs>
        <w:tab w:val="left" w:pos="0"/>
        <w:tab w:val="left" w:pos="360"/>
        <w:tab w:val="left" w:pos="480"/>
        <w:tab w:val="left" w:pos="540"/>
        <w:tab w:val="left" w:pos="567"/>
        <w:tab w:val="left" w:pos="720"/>
      </w:tabs>
      <w:spacing w:line="312" w:lineRule="auto"/>
      <w:ind w:firstLine="567"/>
    </w:pPr>
    <w:rPr>
      <w:rFonts w:ascii="宋体"/>
      <w:sz w:val="28"/>
      <w:szCs w:val="22"/>
    </w:rPr>
  </w:style>
  <w:style w:type="paragraph" w:customStyle="1" w:styleId="7">
    <w:name w:val="样式26"/>
    <w:basedOn w:val="8"/>
    <w:qFormat/>
    <w:uiPriority w:val="0"/>
    <w:pPr>
      <w:tabs>
        <w:tab w:val="left" w:pos="0"/>
        <w:tab w:val="left" w:pos="360"/>
        <w:tab w:val="left" w:pos="480"/>
        <w:tab w:val="left" w:pos="540"/>
        <w:tab w:val="left" w:pos="567"/>
        <w:tab w:val="left" w:pos="720"/>
      </w:tabs>
    </w:pPr>
  </w:style>
  <w:style w:type="paragraph" w:customStyle="1" w:styleId="8">
    <w:name w:val="样式21"/>
    <w:basedOn w:val="9"/>
    <w:qFormat/>
    <w:uiPriority w:val="0"/>
    <w:pPr>
      <w:tabs>
        <w:tab w:val="left" w:pos="360"/>
        <w:tab w:val="left" w:pos="480"/>
        <w:tab w:val="left" w:pos="540"/>
        <w:tab w:val="left" w:pos="720"/>
      </w:tabs>
      <w:spacing w:beforeLines="50" w:afterLines="50" w:line="360" w:lineRule="auto"/>
      <w:ind w:left="720" w:hanging="720"/>
      <w:outlineLvl w:val="2"/>
    </w:pPr>
    <w:rPr>
      <w:rFonts w:eastAsia="MS Mincho"/>
      <w:sz w:val="24"/>
      <w:szCs w:val="32"/>
    </w:rPr>
  </w:style>
  <w:style w:type="paragraph" w:customStyle="1" w:styleId="9">
    <w:name w:val="样式5"/>
    <w:basedOn w:val="10"/>
    <w:qFormat/>
    <w:uiPriority w:val="0"/>
    <w:pPr>
      <w:tabs>
        <w:tab w:val="left" w:pos="480"/>
      </w:tabs>
      <w:ind w:left="482" w:firstLine="0" w:firstLineChars="0"/>
    </w:pPr>
    <w:rPr>
      <w:lang w:eastAsia="zh-CN"/>
    </w:rPr>
  </w:style>
  <w:style w:type="paragraph" w:customStyle="1" w:styleId="10">
    <w:name w:val="样式12"/>
    <w:basedOn w:val="11"/>
    <w:qFormat/>
    <w:uiPriority w:val="0"/>
    <w:pPr>
      <w:tabs>
        <w:tab w:val="left" w:pos="480"/>
      </w:tabs>
      <w:ind w:firstLine="200" w:firstLineChars="200"/>
    </w:pPr>
    <w:rPr>
      <w:rFonts w:ascii="Times New Roman" w:hAnsi="Times New Roman" w:eastAsia="宋体"/>
    </w:rPr>
  </w:style>
  <w:style w:type="paragraph" w:customStyle="1" w:styleId="12">
    <w:name w:val="font6"/>
    <w:basedOn w:val="1"/>
    <w:next w:val="13"/>
    <w:qFormat/>
    <w:uiPriority w:val="0"/>
    <w:pPr>
      <w:widowControl/>
      <w:spacing w:before="100" w:after="100"/>
      <w:jc w:val="left"/>
    </w:pPr>
    <w:rPr>
      <w:rFonts w:hint="eastAsia" w:ascii="宋体" w:hAnsi="宋体"/>
      <w:sz w:val="20"/>
    </w:rPr>
  </w:style>
  <w:style w:type="paragraph" w:styleId="13">
    <w:name w:val="toc 2"/>
    <w:basedOn w:val="1"/>
    <w:next w:val="14"/>
    <w:qFormat/>
    <w:uiPriority w:val="39"/>
    <w:pPr>
      <w:ind w:left="420" w:leftChars="200"/>
    </w:pPr>
    <w:rPr>
      <w:rFonts w:ascii="Calibri" w:hAnsi="Calibri"/>
      <w:lang w:eastAsia="zh-TW"/>
    </w:rPr>
  </w:style>
  <w:style w:type="paragraph" w:styleId="14">
    <w:name w:val="E-mail Signature"/>
    <w:basedOn w:val="1"/>
    <w:next w:val="15"/>
    <w:link w:val="141"/>
    <w:unhideWhenUsed/>
    <w:qFormat/>
    <w:uiPriority w:val="99"/>
    <w:pPr>
      <w:adjustRightInd w:val="0"/>
      <w:spacing w:line="360" w:lineRule="auto"/>
      <w:textAlignment w:val="baseline"/>
    </w:pPr>
    <w:rPr>
      <w:rFonts w:eastAsia="Times New Roman"/>
      <w:sz w:val="24"/>
      <w:szCs w:val="22"/>
    </w:rPr>
  </w:style>
  <w:style w:type="paragraph" w:customStyle="1" w:styleId="15">
    <w:name w:val="文章"/>
    <w:next w:val="16"/>
    <w:qFormat/>
    <w:uiPriority w:val="0"/>
    <w:pPr>
      <w:ind w:firstLine="480"/>
      <w:jc w:val="center"/>
    </w:pPr>
    <w:rPr>
      <w:rFonts w:ascii="Times New Roman" w:hAnsi="Times New Roman" w:eastAsia="宋体" w:cs="Times New Roman"/>
      <w:kern w:val="2"/>
      <w:sz w:val="26"/>
      <w:szCs w:val="22"/>
      <w:lang w:val="en-US" w:eastAsia="zh-CN" w:bidi="ar-SA"/>
    </w:rPr>
  </w:style>
  <w:style w:type="paragraph" w:styleId="16">
    <w:name w:val="List"/>
    <w:basedOn w:val="1"/>
    <w:next w:val="1"/>
    <w:qFormat/>
    <w:uiPriority w:val="0"/>
    <w:pPr>
      <w:ind w:left="200" w:hanging="200" w:hangingChars="200"/>
    </w:pPr>
    <w:rPr>
      <w:rFonts w:ascii="Calibri" w:hAnsi="Calibri"/>
      <w:lang w:eastAsia="zh-TW"/>
    </w:rPr>
  </w:style>
  <w:style w:type="paragraph" w:styleId="17">
    <w:name w:val="macro"/>
    <w:link w:val="128"/>
    <w:unhideWhenUsed/>
    <w:qFormat/>
    <w:uiPriority w:val="99"/>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textAlignment w:val="baseline"/>
    </w:pPr>
    <w:rPr>
      <w:rFonts w:ascii="Courier New" w:hAnsi="Courier New" w:eastAsia="宋体" w:cs="Times New Roman"/>
      <w:kern w:val="2"/>
      <w:sz w:val="24"/>
      <w:szCs w:val="24"/>
      <w:lang w:val="en-US" w:eastAsia="zh-TW" w:bidi="ar-SA"/>
    </w:rPr>
  </w:style>
  <w:style w:type="paragraph" w:styleId="26">
    <w:name w:val="List 3"/>
    <w:basedOn w:val="1"/>
    <w:next w:val="1"/>
    <w:qFormat/>
    <w:uiPriority w:val="99"/>
    <w:pPr>
      <w:ind w:left="100" w:leftChars="400" w:hanging="200" w:hangingChars="200"/>
    </w:pPr>
    <w:rPr>
      <w:rFonts w:ascii="Calibri" w:hAnsi="Calibri"/>
      <w:lang w:eastAsia="zh-TW"/>
    </w:rPr>
  </w:style>
  <w:style w:type="paragraph" w:styleId="27">
    <w:name w:val="toc 7"/>
    <w:basedOn w:val="1"/>
    <w:next w:val="1"/>
    <w:unhideWhenUsed/>
    <w:qFormat/>
    <w:uiPriority w:val="39"/>
    <w:pPr>
      <w:ind w:left="2520" w:leftChars="1200"/>
    </w:pPr>
    <w:rPr>
      <w:rFonts w:ascii="Calibri" w:hAnsi="Calibri"/>
      <w:szCs w:val="22"/>
    </w:rPr>
  </w:style>
  <w:style w:type="paragraph" w:styleId="28">
    <w:name w:val="List Number 2"/>
    <w:basedOn w:val="1"/>
    <w:unhideWhenUsed/>
    <w:qFormat/>
    <w:uiPriority w:val="99"/>
    <w:pPr>
      <w:numPr>
        <w:ilvl w:val="0"/>
        <w:numId w:val="1"/>
      </w:numPr>
      <w:tabs>
        <w:tab w:val="left" w:pos="780"/>
      </w:tabs>
      <w:adjustRightInd w:val="0"/>
      <w:spacing w:line="360" w:lineRule="auto"/>
      <w:contextualSpacing/>
      <w:textAlignment w:val="baseline"/>
    </w:pPr>
    <w:rPr>
      <w:rFonts w:ascii="Calibri" w:hAnsi="Calibri" w:eastAsia="Times New Roman"/>
      <w:sz w:val="24"/>
      <w:szCs w:val="22"/>
    </w:rPr>
  </w:style>
  <w:style w:type="paragraph" w:styleId="29">
    <w:name w:val="table of authorities"/>
    <w:basedOn w:val="1"/>
    <w:next w:val="1"/>
    <w:unhideWhenUsed/>
    <w:qFormat/>
    <w:uiPriority w:val="99"/>
    <w:pPr>
      <w:adjustRightInd w:val="0"/>
      <w:spacing w:line="360" w:lineRule="auto"/>
      <w:ind w:left="420" w:leftChars="200"/>
      <w:textAlignment w:val="baseline"/>
    </w:pPr>
    <w:rPr>
      <w:rFonts w:ascii="Calibri" w:hAnsi="Calibri" w:eastAsia="Times New Roman"/>
      <w:sz w:val="24"/>
      <w:szCs w:val="22"/>
    </w:rPr>
  </w:style>
  <w:style w:type="paragraph" w:styleId="30">
    <w:name w:val="Note Heading"/>
    <w:basedOn w:val="1"/>
    <w:next w:val="1"/>
    <w:link w:val="139"/>
    <w:unhideWhenUsed/>
    <w:qFormat/>
    <w:uiPriority w:val="99"/>
    <w:pPr>
      <w:adjustRightInd w:val="0"/>
      <w:spacing w:line="360" w:lineRule="auto"/>
      <w:jc w:val="center"/>
      <w:textAlignment w:val="baseline"/>
    </w:pPr>
    <w:rPr>
      <w:rFonts w:eastAsia="Times New Roman"/>
      <w:sz w:val="24"/>
      <w:szCs w:val="22"/>
    </w:rPr>
  </w:style>
  <w:style w:type="paragraph" w:styleId="31">
    <w:name w:val="List Bullet 4"/>
    <w:basedOn w:val="1"/>
    <w:unhideWhenUsed/>
    <w:qFormat/>
    <w:uiPriority w:val="99"/>
    <w:pPr>
      <w:numPr>
        <w:ilvl w:val="0"/>
        <w:numId w:val="2"/>
      </w:numPr>
      <w:tabs>
        <w:tab w:val="left" w:pos="1620"/>
      </w:tabs>
      <w:adjustRightInd w:val="0"/>
      <w:spacing w:line="360" w:lineRule="auto"/>
      <w:contextualSpacing/>
      <w:textAlignment w:val="baseline"/>
    </w:pPr>
    <w:rPr>
      <w:rFonts w:ascii="Calibri" w:hAnsi="Calibri" w:eastAsia="Times New Roman"/>
      <w:sz w:val="24"/>
      <w:szCs w:val="22"/>
    </w:rPr>
  </w:style>
  <w:style w:type="paragraph" w:styleId="32">
    <w:name w:val="index 8"/>
    <w:basedOn w:val="1"/>
    <w:next w:val="1"/>
    <w:unhideWhenUsed/>
    <w:qFormat/>
    <w:uiPriority w:val="99"/>
    <w:pPr>
      <w:adjustRightInd w:val="0"/>
      <w:spacing w:line="360" w:lineRule="auto"/>
      <w:ind w:left="1400" w:leftChars="1400"/>
      <w:textAlignment w:val="baseline"/>
    </w:pPr>
    <w:rPr>
      <w:rFonts w:ascii="Calibri" w:hAnsi="Calibri" w:eastAsia="Times New Roman"/>
      <w:sz w:val="24"/>
      <w:szCs w:val="22"/>
    </w:rPr>
  </w:style>
  <w:style w:type="paragraph" w:styleId="33">
    <w:name w:val="List Number"/>
    <w:basedOn w:val="1"/>
    <w:unhideWhenUsed/>
    <w:qFormat/>
    <w:uiPriority w:val="99"/>
    <w:pPr>
      <w:numPr>
        <w:ilvl w:val="0"/>
        <w:numId w:val="3"/>
      </w:numPr>
      <w:tabs>
        <w:tab w:val="left" w:pos="360"/>
      </w:tabs>
      <w:adjustRightInd w:val="0"/>
      <w:spacing w:line="360" w:lineRule="auto"/>
      <w:contextualSpacing/>
      <w:textAlignment w:val="baseline"/>
    </w:pPr>
    <w:rPr>
      <w:rFonts w:ascii="Calibri" w:hAnsi="Calibri" w:eastAsia="Times New Roman"/>
      <w:sz w:val="24"/>
      <w:szCs w:val="22"/>
    </w:rPr>
  </w:style>
  <w:style w:type="paragraph" w:styleId="34">
    <w:name w:val="Normal Indent"/>
    <w:basedOn w:val="1"/>
    <w:link w:val="142"/>
    <w:qFormat/>
    <w:uiPriority w:val="0"/>
    <w:pPr>
      <w:ind w:firstLine="420"/>
    </w:pPr>
    <w:rPr>
      <w:sz w:val="28"/>
      <w:szCs w:val="28"/>
      <w:lang w:eastAsia="zh-TW"/>
    </w:rPr>
  </w:style>
  <w:style w:type="paragraph" w:styleId="35">
    <w:name w:val="caption"/>
    <w:basedOn w:val="1"/>
    <w:next w:val="1"/>
    <w:link w:val="143"/>
    <w:qFormat/>
    <w:uiPriority w:val="35"/>
    <w:pPr>
      <w:adjustRightInd w:val="0"/>
      <w:spacing w:line="360" w:lineRule="auto"/>
      <w:textAlignment w:val="baseline"/>
    </w:pPr>
    <w:rPr>
      <w:rFonts w:ascii="Cambria" w:hAnsi="Cambria" w:eastAsia="黑体"/>
      <w:sz w:val="20"/>
    </w:rPr>
  </w:style>
  <w:style w:type="paragraph" w:styleId="36">
    <w:name w:val="index 5"/>
    <w:basedOn w:val="1"/>
    <w:next w:val="1"/>
    <w:unhideWhenUsed/>
    <w:qFormat/>
    <w:uiPriority w:val="99"/>
    <w:pPr>
      <w:adjustRightInd w:val="0"/>
      <w:spacing w:line="360" w:lineRule="auto"/>
      <w:ind w:left="800" w:leftChars="800"/>
      <w:textAlignment w:val="baseline"/>
    </w:pPr>
    <w:rPr>
      <w:rFonts w:ascii="Calibri" w:hAnsi="Calibri" w:eastAsia="Times New Roman"/>
      <w:sz w:val="24"/>
      <w:szCs w:val="22"/>
    </w:rPr>
  </w:style>
  <w:style w:type="paragraph" w:styleId="37">
    <w:name w:val="List Bullet"/>
    <w:basedOn w:val="1"/>
    <w:unhideWhenUsed/>
    <w:qFormat/>
    <w:uiPriority w:val="99"/>
    <w:pPr>
      <w:numPr>
        <w:ilvl w:val="0"/>
        <w:numId w:val="4"/>
      </w:numPr>
      <w:tabs>
        <w:tab w:val="left" w:pos="360"/>
      </w:tabs>
      <w:adjustRightInd w:val="0"/>
      <w:spacing w:line="360" w:lineRule="auto"/>
      <w:contextualSpacing/>
      <w:textAlignment w:val="baseline"/>
    </w:pPr>
    <w:rPr>
      <w:rFonts w:ascii="Calibri" w:hAnsi="Calibri" w:eastAsia="Times New Roman"/>
      <w:sz w:val="24"/>
      <w:szCs w:val="22"/>
    </w:rPr>
  </w:style>
  <w:style w:type="paragraph" w:styleId="38">
    <w:name w:val="envelope address"/>
    <w:basedOn w:val="1"/>
    <w:unhideWhenUsed/>
    <w:qFormat/>
    <w:uiPriority w:val="99"/>
    <w:pPr>
      <w:framePr w:w="7920" w:h="1980" w:hRule="exact" w:hSpace="180" w:wrap="around" w:vAnchor="margin" w:hAnchor="page" w:xAlign="center" w:yAlign="bottom"/>
      <w:adjustRightInd w:val="0"/>
      <w:snapToGrid w:val="0"/>
      <w:spacing w:line="360" w:lineRule="auto"/>
      <w:ind w:left="100" w:leftChars="1400"/>
      <w:textAlignment w:val="baseline"/>
    </w:pPr>
    <w:rPr>
      <w:rFonts w:ascii="Cambria" w:hAnsi="Cambria"/>
      <w:sz w:val="24"/>
    </w:rPr>
  </w:style>
  <w:style w:type="paragraph" w:styleId="39">
    <w:name w:val="Document Map"/>
    <w:basedOn w:val="1"/>
    <w:link w:val="145"/>
    <w:qFormat/>
    <w:uiPriority w:val="99"/>
    <w:rPr>
      <w:rFonts w:ascii="宋体" w:hAnsi="Calibri"/>
      <w:sz w:val="18"/>
      <w:szCs w:val="18"/>
      <w:lang w:eastAsia="zh-TW"/>
    </w:rPr>
  </w:style>
  <w:style w:type="paragraph" w:styleId="40">
    <w:name w:val="toa heading"/>
    <w:basedOn w:val="1"/>
    <w:next w:val="1"/>
    <w:unhideWhenUsed/>
    <w:qFormat/>
    <w:uiPriority w:val="99"/>
    <w:pPr>
      <w:adjustRightInd w:val="0"/>
      <w:spacing w:before="120" w:line="360" w:lineRule="auto"/>
      <w:textAlignment w:val="baseline"/>
    </w:pPr>
    <w:rPr>
      <w:rFonts w:ascii="Cambria" w:hAnsi="Cambria"/>
      <w:sz w:val="24"/>
    </w:rPr>
  </w:style>
  <w:style w:type="paragraph" w:styleId="41">
    <w:name w:val="annotation text"/>
    <w:basedOn w:val="1"/>
    <w:link w:val="147"/>
    <w:qFormat/>
    <w:uiPriority w:val="99"/>
    <w:pPr>
      <w:jc w:val="left"/>
    </w:pPr>
    <w:rPr>
      <w:sz w:val="24"/>
    </w:rPr>
  </w:style>
  <w:style w:type="paragraph" w:styleId="42">
    <w:name w:val="index 6"/>
    <w:basedOn w:val="1"/>
    <w:next w:val="1"/>
    <w:unhideWhenUsed/>
    <w:qFormat/>
    <w:uiPriority w:val="99"/>
    <w:pPr>
      <w:adjustRightInd w:val="0"/>
      <w:spacing w:line="360" w:lineRule="auto"/>
      <w:ind w:left="1000" w:leftChars="1000"/>
      <w:textAlignment w:val="baseline"/>
    </w:pPr>
    <w:rPr>
      <w:rFonts w:ascii="Calibri" w:hAnsi="Calibri" w:eastAsia="Times New Roman"/>
      <w:sz w:val="24"/>
      <w:szCs w:val="22"/>
    </w:rPr>
  </w:style>
  <w:style w:type="paragraph" w:styleId="43">
    <w:name w:val="Salutation"/>
    <w:basedOn w:val="1"/>
    <w:next w:val="1"/>
    <w:link w:val="149"/>
    <w:unhideWhenUsed/>
    <w:qFormat/>
    <w:uiPriority w:val="99"/>
    <w:pPr>
      <w:adjustRightInd w:val="0"/>
      <w:spacing w:line="360" w:lineRule="auto"/>
      <w:textAlignment w:val="baseline"/>
    </w:pPr>
    <w:rPr>
      <w:rFonts w:eastAsia="Times New Roman"/>
      <w:sz w:val="24"/>
      <w:szCs w:val="22"/>
    </w:rPr>
  </w:style>
  <w:style w:type="paragraph" w:styleId="44">
    <w:name w:val="Body Text 3"/>
    <w:basedOn w:val="1"/>
    <w:link w:val="151"/>
    <w:unhideWhenUsed/>
    <w:qFormat/>
    <w:uiPriority w:val="99"/>
    <w:pPr>
      <w:adjustRightInd w:val="0"/>
      <w:spacing w:after="120" w:line="360" w:lineRule="auto"/>
      <w:textAlignment w:val="baseline"/>
    </w:pPr>
    <w:rPr>
      <w:rFonts w:eastAsia="Times New Roman"/>
      <w:sz w:val="16"/>
      <w:szCs w:val="16"/>
    </w:rPr>
  </w:style>
  <w:style w:type="paragraph" w:styleId="45">
    <w:name w:val="Closing"/>
    <w:basedOn w:val="1"/>
    <w:link w:val="153"/>
    <w:unhideWhenUsed/>
    <w:qFormat/>
    <w:uiPriority w:val="99"/>
    <w:pPr>
      <w:adjustRightInd w:val="0"/>
      <w:spacing w:line="360" w:lineRule="auto"/>
      <w:ind w:left="100" w:leftChars="2100"/>
      <w:textAlignment w:val="baseline"/>
    </w:pPr>
    <w:rPr>
      <w:rFonts w:eastAsia="Times New Roman"/>
      <w:sz w:val="24"/>
      <w:szCs w:val="22"/>
    </w:rPr>
  </w:style>
  <w:style w:type="paragraph" w:styleId="46">
    <w:name w:val="List Bullet 3"/>
    <w:basedOn w:val="1"/>
    <w:unhideWhenUsed/>
    <w:qFormat/>
    <w:uiPriority w:val="99"/>
    <w:pPr>
      <w:numPr>
        <w:ilvl w:val="0"/>
        <w:numId w:val="5"/>
      </w:numPr>
      <w:tabs>
        <w:tab w:val="left" w:pos="1200"/>
      </w:tabs>
      <w:adjustRightInd w:val="0"/>
      <w:spacing w:line="360" w:lineRule="auto"/>
      <w:contextualSpacing/>
      <w:textAlignment w:val="baseline"/>
    </w:pPr>
    <w:rPr>
      <w:rFonts w:ascii="Calibri" w:hAnsi="Calibri" w:eastAsia="Times New Roman"/>
      <w:sz w:val="24"/>
      <w:szCs w:val="22"/>
    </w:rPr>
  </w:style>
  <w:style w:type="paragraph" w:styleId="47">
    <w:name w:val="Body Text"/>
    <w:basedOn w:val="1"/>
    <w:link w:val="155"/>
    <w:qFormat/>
    <w:uiPriority w:val="99"/>
    <w:pPr>
      <w:widowControl/>
      <w:snapToGrid w:val="0"/>
      <w:spacing w:before="60" w:after="160" w:line="259" w:lineRule="auto"/>
      <w:ind w:right="113"/>
    </w:pPr>
    <w:rPr>
      <w:sz w:val="18"/>
    </w:rPr>
  </w:style>
  <w:style w:type="paragraph" w:styleId="48">
    <w:name w:val="Body Text Indent"/>
    <w:basedOn w:val="1"/>
    <w:link w:val="157"/>
    <w:qFormat/>
    <w:uiPriority w:val="99"/>
    <w:pPr>
      <w:spacing w:after="120"/>
      <w:ind w:left="420" w:leftChars="200"/>
    </w:pPr>
    <w:rPr>
      <w:sz w:val="24"/>
    </w:rPr>
  </w:style>
  <w:style w:type="paragraph" w:styleId="49">
    <w:name w:val="List Number 3"/>
    <w:basedOn w:val="1"/>
    <w:unhideWhenUsed/>
    <w:qFormat/>
    <w:uiPriority w:val="99"/>
    <w:pPr>
      <w:numPr>
        <w:ilvl w:val="0"/>
        <w:numId w:val="6"/>
      </w:numPr>
      <w:tabs>
        <w:tab w:val="left" w:pos="1200"/>
      </w:tabs>
      <w:adjustRightInd w:val="0"/>
      <w:spacing w:line="360" w:lineRule="auto"/>
      <w:contextualSpacing/>
      <w:textAlignment w:val="baseline"/>
    </w:pPr>
    <w:rPr>
      <w:rFonts w:ascii="Calibri" w:hAnsi="Calibri" w:eastAsia="Times New Roman"/>
      <w:sz w:val="24"/>
      <w:szCs w:val="22"/>
    </w:rPr>
  </w:style>
  <w:style w:type="paragraph" w:styleId="50">
    <w:name w:val="List 2"/>
    <w:basedOn w:val="1"/>
    <w:unhideWhenUsed/>
    <w:qFormat/>
    <w:uiPriority w:val="99"/>
    <w:pPr>
      <w:adjustRightInd w:val="0"/>
      <w:spacing w:line="360" w:lineRule="auto"/>
      <w:ind w:left="100" w:leftChars="200" w:hanging="200" w:hangingChars="200"/>
      <w:contextualSpacing/>
      <w:textAlignment w:val="baseline"/>
    </w:pPr>
    <w:rPr>
      <w:rFonts w:ascii="Calibri" w:hAnsi="Calibri" w:eastAsia="Times New Roman"/>
      <w:sz w:val="24"/>
      <w:szCs w:val="22"/>
    </w:rPr>
  </w:style>
  <w:style w:type="paragraph" w:styleId="51">
    <w:name w:val="List Continue"/>
    <w:basedOn w:val="1"/>
    <w:unhideWhenUsed/>
    <w:qFormat/>
    <w:uiPriority w:val="99"/>
    <w:pPr>
      <w:adjustRightInd w:val="0"/>
      <w:spacing w:after="120" w:line="360" w:lineRule="auto"/>
      <w:ind w:left="420" w:leftChars="200"/>
      <w:contextualSpacing/>
      <w:textAlignment w:val="baseline"/>
    </w:pPr>
    <w:rPr>
      <w:rFonts w:ascii="Calibri" w:hAnsi="Calibri" w:eastAsia="Times New Roman"/>
      <w:sz w:val="24"/>
      <w:szCs w:val="22"/>
    </w:rPr>
  </w:style>
  <w:style w:type="paragraph" w:styleId="52">
    <w:name w:val="Block Text"/>
    <w:basedOn w:val="1"/>
    <w:unhideWhenUsed/>
    <w:qFormat/>
    <w:uiPriority w:val="0"/>
    <w:pPr>
      <w:adjustRightInd w:val="0"/>
      <w:snapToGrid w:val="0"/>
      <w:spacing w:before="180" w:line="380" w:lineRule="atLeast"/>
      <w:ind w:left="142" w:right="170" w:firstLine="476"/>
      <w:textAlignment w:val="baseline"/>
    </w:pPr>
    <w:rPr>
      <w:rFonts w:ascii="Calibri" w:hAnsi="Calibri" w:eastAsia="Times New Roman"/>
      <w:sz w:val="24"/>
    </w:rPr>
  </w:style>
  <w:style w:type="paragraph" w:styleId="53">
    <w:name w:val="List Bullet 2"/>
    <w:basedOn w:val="1"/>
    <w:next w:val="54"/>
    <w:unhideWhenUsed/>
    <w:qFormat/>
    <w:uiPriority w:val="99"/>
    <w:pPr>
      <w:numPr>
        <w:ilvl w:val="0"/>
        <w:numId w:val="7"/>
      </w:numPr>
      <w:tabs>
        <w:tab w:val="left" w:pos="780"/>
      </w:tabs>
      <w:adjustRightInd w:val="0"/>
      <w:spacing w:line="360" w:lineRule="auto"/>
      <w:contextualSpacing/>
      <w:textAlignment w:val="baseline"/>
    </w:pPr>
    <w:rPr>
      <w:rFonts w:ascii="Calibri" w:hAnsi="Calibri" w:eastAsia="Times New Roman"/>
      <w:sz w:val="24"/>
      <w:szCs w:val="22"/>
    </w:rPr>
  </w:style>
  <w:style w:type="paragraph" w:customStyle="1" w:styleId="54">
    <w:name w:val="xl70"/>
    <w:basedOn w:val="1"/>
    <w:next w:val="55"/>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sz w:val="20"/>
    </w:rPr>
  </w:style>
  <w:style w:type="paragraph" w:customStyle="1" w:styleId="55">
    <w:name w:val="正文缩进1"/>
    <w:basedOn w:val="1"/>
    <w:next w:val="56"/>
    <w:qFormat/>
    <w:uiPriority w:val="0"/>
    <w:pPr>
      <w:spacing w:before="156" w:beforeLines="50" w:after="156" w:afterLines="50"/>
      <w:ind w:firstLine="1048" w:firstLineChars="435"/>
      <w:jc w:val="center"/>
    </w:pPr>
    <w:rPr>
      <w:rFonts w:ascii="宋体" w:hAnsi="宋体"/>
      <w:b/>
      <w:bCs/>
      <w:color w:val="000000"/>
      <w:kern w:val="24"/>
      <w:sz w:val="24"/>
    </w:rPr>
  </w:style>
  <w:style w:type="paragraph" w:customStyle="1" w:styleId="56">
    <w:name w:val="td1"/>
    <w:basedOn w:val="1"/>
    <w:next w:val="1"/>
    <w:qFormat/>
    <w:uiPriority w:val="0"/>
    <w:pPr>
      <w:widowControl/>
      <w:spacing w:before="280" w:after="280" w:line="300" w:lineRule="atLeast"/>
      <w:ind w:firstLine="200"/>
    </w:pPr>
    <w:rPr>
      <w:color w:val="000000"/>
      <w:sz w:val="18"/>
    </w:rPr>
  </w:style>
  <w:style w:type="paragraph" w:styleId="57">
    <w:name w:val="HTML Address"/>
    <w:basedOn w:val="1"/>
    <w:link w:val="159"/>
    <w:unhideWhenUsed/>
    <w:qFormat/>
    <w:uiPriority w:val="99"/>
    <w:pPr>
      <w:adjustRightInd w:val="0"/>
      <w:spacing w:line="360" w:lineRule="auto"/>
      <w:textAlignment w:val="baseline"/>
    </w:pPr>
    <w:rPr>
      <w:rFonts w:eastAsia="Times New Roman"/>
      <w:i/>
      <w:iCs/>
      <w:sz w:val="24"/>
      <w:szCs w:val="22"/>
    </w:rPr>
  </w:style>
  <w:style w:type="paragraph" w:styleId="58">
    <w:name w:val="index 4"/>
    <w:basedOn w:val="1"/>
    <w:next w:val="1"/>
    <w:unhideWhenUsed/>
    <w:qFormat/>
    <w:uiPriority w:val="99"/>
    <w:pPr>
      <w:adjustRightInd w:val="0"/>
      <w:spacing w:line="360" w:lineRule="auto"/>
      <w:ind w:left="600" w:leftChars="600"/>
      <w:textAlignment w:val="baseline"/>
    </w:pPr>
    <w:rPr>
      <w:rFonts w:ascii="Calibri" w:hAnsi="Calibri" w:eastAsia="Times New Roman"/>
      <w:sz w:val="24"/>
      <w:szCs w:val="22"/>
    </w:rPr>
  </w:style>
  <w:style w:type="paragraph" w:styleId="59">
    <w:name w:val="toc 5"/>
    <w:basedOn w:val="1"/>
    <w:next w:val="1"/>
    <w:unhideWhenUsed/>
    <w:qFormat/>
    <w:uiPriority w:val="39"/>
    <w:pPr>
      <w:ind w:left="1680" w:leftChars="800"/>
    </w:pPr>
    <w:rPr>
      <w:rFonts w:ascii="Calibri" w:hAnsi="Calibri"/>
      <w:szCs w:val="22"/>
    </w:rPr>
  </w:style>
  <w:style w:type="paragraph" w:styleId="60">
    <w:name w:val="toc 3"/>
    <w:basedOn w:val="1"/>
    <w:next w:val="1"/>
    <w:qFormat/>
    <w:uiPriority w:val="39"/>
    <w:pPr>
      <w:ind w:left="840" w:leftChars="400"/>
    </w:pPr>
    <w:rPr>
      <w:rFonts w:ascii="Calibri" w:hAnsi="Calibri"/>
      <w:lang w:eastAsia="zh-TW"/>
    </w:rPr>
  </w:style>
  <w:style w:type="paragraph" w:styleId="61">
    <w:name w:val="List Bullet 5"/>
    <w:basedOn w:val="1"/>
    <w:unhideWhenUsed/>
    <w:qFormat/>
    <w:uiPriority w:val="99"/>
    <w:pPr>
      <w:numPr>
        <w:ilvl w:val="0"/>
        <w:numId w:val="8"/>
      </w:numPr>
      <w:tabs>
        <w:tab w:val="left" w:pos="2040"/>
      </w:tabs>
      <w:adjustRightInd w:val="0"/>
      <w:spacing w:line="360" w:lineRule="auto"/>
      <w:contextualSpacing/>
      <w:textAlignment w:val="baseline"/>
    </w:pPr>
    <w:rPr>
      <w:rFonts w:ascii="Calibri" w:hAnsi="Calibri" w:eastAsia="Times New Roman"/>
      <w:sz w:val="24"/>
      <w:szCs w:val="22"/>
    </w:rPr>
  </w:style>
  <w:style w:type="paragraph" w:styleId="62">
    <w:name w:val="List Number 4"/>
    <w:basedOn w:val="1"/>
    <w:unhideWhenUsed/>
    <w:qFormat/>
    <w:uiPriority w:val="99"/>
    <w:pPr>
      <w:numPr>
        <w:ilvl w:val="0"/>
        <w:numId w:val="9"/>
      </w:numPr>
      <w:tabs>
        <w:tab w:val="left" w:pos="1620"/>
      </w:tabs>
      <w:adjustRightInd w:val="0"/>
      <w:spacing w:line="360" w:lineRule="auto"/>
      <w:contextualSpacing/>
      <w:textAlignment w:val="baseline"/>
    </w:pPr>
    <w:rPr>
      <w:rFonts w:ascii="Calibri" w:hAnsi="Calibri" w:eastAsia="Times New Roman"/>
      <w:sz w:val="24"/>
      <w:szCs w:val="22"/>
    </w:rPr>
  </w:style>
  <w:style w:type="paragraph" w:styleId="63">
    <w:name w:val="toc 8"/>
    <w:basedOn w:val="1"/>
    <w:next w:val="1"/>
    <w:unhideWhenUsed/>
    <w:qFormat/>
    <w:uiPriority w:val="39"/>
    <w:pPr>
      <w:ind w:left="2940" w:leftChars="1400"/>
    </w:pPr>
    <w:rPr>
      <w:rFonts w:ascii="Calibri" w:hAnsi="Calibri"/>
      <w:szCs w:val="22"/>
    </w:rPr>
  </w:style>
  <w:style w:type="paragraph" w:styleId="64">
    <w:name w:val="index 3"/>
    <w:basedOn w:val="1"/>
    <w:next w:val="1"/>
    <w:unhideWhenUsed/>
    <w:qFormat/>
    <w:uiPriority w:val="99"/>
    <w:pPr>
      <w:adjustRightInd w:val="0"/>
      <w:spacing w:line="360" w:lineRule="auto"/>
      <w:ind w:left="400" w:leftChars="400"/>
      <w:textAlignment w:val="baseline"/>
    </w:pPr>
    <w:rPr>
      <w:rFonts w:ascii="Calibri" w:hAnsi="Calibri" w:eastAsia="Times New Roman"/>
      <w:sz w:val="24"/>
      <w:szCs w:val="22"/>
    </w:rPr>
  </w:style>
  <w:style w:type="paragraph" w:styleId="65">
    <w:name w:val="Date"/>
    <w:basedOn w:val="1"/>
    <w:next w:val="1"/>
    <w:link w:val="163"/>
    <w:qFormat/>
    <w:uiPriority w:val="0"/>
    <w:pPr>
      <w:ind w:left="100" w:leftChars="2500"/>
    </w:pPr>
    <w:rPr>
      <w:sz w:val="24"/>
    </w:rPr>
  </w:style>
  <w:style w:type="paragraph" w:styleId="66">
    <w:name w:val="Body Text Indent 2"/>
    <w:basedOn w:val="1"/>
    <w:link w:val="165"/>
    <w:qFormat/>
    <w:uiPriority w:val="99"/>
    <w:pPr>
      <w:adjustRightInd w:val="0"/>
      <w:spacing w:before="60" w:after="120" w:line="480" w:lineRule="auto"/>
      <w:ind w:left="420" w:leftChars="200" w:firstLine="539"/>
    </w:pPr>
    <w:rPr>
      <w:rFonts w:ascii="Calibri" w:hAnsi="Calibri"/>
    </w:rPr>
  </w:style>
  <w:style w:type="paragraph" w:styleId="67">
    <w:name w:val="endnote text"/>
    <w:basedOn w:val="1"/>
    <w:link w:val="167"/>
    <w:unhideWhenUsed/>
    <w:qFormat/>
    <w:uiPriority w:val="99"/>
    <w:pPr>
      <w:adjustRightInd w:val="0"/>
      <w:snapToGrid w:val="0"/>
      <w:spacing w:line="360" w:lineRule="auto"/>
      <w:jc w:val="left"/>
      <w:textAlignment w:val="baseline"/>
    </w:pPr>
    <w:rPr>
      <w:rFonts w:eastAsia="Times New Roman"/>
      <w:sz w:val="24"/>
      <w:szCs w:val="22"/>
    </w:rPr>
  </w:style>
  <w:style w:type="paragraph" w:styleId="68">
    <w:name w:val="List Continue 5"/>
    <w:basedOn w:val="1"/>
    <w:unhideWhenUsed/>
    <w:qFormat/>
    <w:uiPriority w:val="99"/>
    <w:pPr>
      <w:adjustRightInd w:val="0"/>
      <w:spacing w:after="120" w:line="360" w:lineRule="auto"/>
      <w:ind w:left="2100" w:leftChars="1000"/>
      <w:contextualSpacing/>
      <w:textAlignment w:val="baseline"/>
    </w:pPr>
    <w:rPr>
      <w:rFonts w:ascii="Calibri" w:hAnsi="Calibri" w:eastAsia="Times New Roman"/>
      <w:sz w:val="24"/>
      <w:szCs w:val="22"/>
    </w:rPr>
  </w:style>
  <w:style w:type="paragraph" w:styleId="69">
    <w:name w:val="Balloon Text"/>
    <w:basedOn w:val="1"/>
    <w:link w:val="169"/>
    <w:qFormat/>
    <w:uiPriority w:val="99"/>
    <w:rPr>
      <w:sz w:val="18"/>
    </w:rPr>
  </w:style>
  <w:style w:type="paragraph" w:styleId="70">
    <w:name w:val="footer"/>
    <w:basedOn w:val="1"/>
    <w:link w:val="117"/>
    <w:unhideWhenUsed/>
    <w:qFormat/>
    <w:uiPriority w:val="99"/>
    <w:pPr>
      <w:tabs>
        <w:tab w:val="center" w:pos="4153"/>
        <w:tab w:val="right" w:pos="8306"/>
      </w:tabs>
      <w:snapToGrid w:val="0"/>
      <w:jc w:val="left"/>
    </w:pPr>
    <w:rPr>
      <w:sz w:val="18"/>
      <w:szCs w:val="18"/>
    </w:rPr>
  </w:style>
  <w:style w:type="paragraph" w:styleId="71">
    <w:name w:val="envelope return"/>
    <w:basedOn w:val="1"/>
    <w:unhideWhenUsed/>
    <w:qFormat/>
    <w:uiPriority w:val="99"/>
    <w:pPr>
      <w:adjustRightInd w:val="0"/>
      <w:snapToGrid w:val="0"/>
      <w:spacing w:line="360" w:lineRule="auto"/>
      <w:textAlignment w:val="baseline"/>
    </w:pPr>
    <w:rPr>
      <w:rFonts w:ascii="Cambria" w:hAnsi="Cambria"/>
      <w:sz w:val="24"/>
      <w:szCs w:val="22"/>
    </w:rPr>
  </w:style>
  <w:style w:type="paragraph" w:styleId="72">
    <w:name w:val="header"/>
    <w:basedOn w:val="1"/>
    <w:link w:val="116"/>
    <w:unhideWhenUsed/>
    <w:qFormat/>
    <w:uiPriority w:val="99"/>
    <w:pPr>
      <w:pBdr>
        <w:bottom w:val="single" w:color="auto" w:sz="6" w:space="1"/>
      </w:pBdr>
      <w:tabs>
        <w:tab w:val="center" w:pos="4153"/>
        <w:tab w:val="right" w:pos="8306"/>
      </w:tabs>
      <w:snapToGrid w:val="0"/>
      <w:jc w:val="center"/>
    </w:pPr>
    <w:rPr>
      <w:sz w:val="18"/>
      <w:szCs w:val="18"/>
    </w:rPr>
  </w:style>
  <w:style w:type="paragraph" w:styleId="73">
    <w:name w:val="Signature"/>
    <w:basedOn w:val="1"/>
    <w:link w:val="173"/>
    <w:unhideWhenUsed/>
    <w:qFormat/>
    <w:uiPriority w:val="99"/>
    <w:pPr>
      <w:adjustRightInd w:val="0"/>
      <w:spacing w:line="360" w:lineRule="auto"/>
      <w:ind w:left="100" w:leftChars="2100"/>
      <w:textAlignment w:val="baseline"/>
    </w:pPr>
    <w:rPr>
      <w:rFonts w:eastAsia="Times New Roman"/>
      <w:sz w:val="24"/>
      <w:szCs w:val="22"/>
    </w:rPr>
  </w:style>
  <w:style w:type="paragraph" w:styleId="74">
    <w:name w:val="List Continue 4"/>
    <w:basedOn w:val="1"/>
    <w:unhideWhenUsed/>
    <w:qFormat/>
    <w:uiPriority w:val="99"/>
    <w:pPr>
      <w:adjustRightInd w:val="0"/>
      <w:spacing w:after="120" w:line="360" w:lineRule="auto"/>
      <w:ind w:left="1680" w:leftChars="800"/>
      <w:contextualSpacing/>
      <w:textAlignment w:val="baseline"/>
    </w:pPr>
    <w:rPr>
      <w:rFonts w:ascii="Calibri" w:hAnsi="Calibri" w:eastAsia="Times New Roman"/>
      <w:sz w:val="24"/>
      <w:szCs w:val="22"/>
    </w:rPr>
  </w:style>
  <w:style w:type="paragraph" w:styleId="75">
    <w:name w:val="toc 4"/>
    <w:basedOn w:val="1"/>
    <w:next w:val="1"/>
    <w:qFormat/>
    <w:uiPriority w:val="39"/>
    <w:pPr>
      <w:ind w:left="1260" w:leftChars="600"/>
    </w:pPr>
    <w:rPr>
      <w:rFonts w:ascii="Calibri" w:hAnsi="Calibri"/>
      <w:lang w:eastAsia="zh-TW"/>
    </w:rPr>
  </w:style>
  <w:style w:type="paragraph" w:styleId="76">
    <w:name w:val="index heading"/>
    <w:basedOn w:val="1"/>
    <w:next w:val="77"/>
    <w:unhideWhenUsed/>
    <w:qFormat/>
    <w:uiPriority w:val="99"/>
    <w:pPr>
      <w:adjustRightInd w:val="0"/>
      <w:spacing w:line="360" w:lineRule="auto"/>
      <w:textAlignment w:val="baseline"/>
    </w:pPr>
    <w:rPr>
      <w:rFonts w:ascii="Cambria" w:hAnsi="Cambria"/>
      <w:b/>
      <w:bCs/>
      <w:sz w:val="24"/>
      <w:szCs w:val="22"/>
    </w:rPr>
  </w:style>
  <w:style w:type="paragraph" w:styleId="77">
    <w:name w:val="index 1"/>
    <w:basedOn w:val="1"/>
    <w:next w:val="1"/>
    <w:unhideWhenUsed/>
    <w:qFormat/>
    <w:uiPriority w:val="99"/>
  </w:style>
  <w:style w:type="paragraph" w:styleId="78">
    <w:name w:val="Subtitle"/>
    <w:basedOn w:val="1"/>
    <w:next w:val="1"/>
    <w:link w:val="175"/>
    <w:qFormat/>
    <w:uiPriority w:val="11"/>
    <w:pPr>
      <w:spacing w:before="120" w:after="120"/>
      <w:outlineLvl w:val="1"/>
    </w:pPr>
    <w:rPr>
      <w:rFonts w:ascii="宋体" w:hAnsi="宋体"/>
      <w:b/>
      <w:bCs/>
      <w:kern w:val="28"/>
      <w:sz w:val="28"/>
      <w:lang w:eastAsia="zh-TW"/>
    </w:rPr>
  </w:style>
  <w:style w:type="paragraph" w:styleId="79">
    <w:name w:val="List Number 5"/>
    <w:basedOn w:val="1"/>
    <w:unhideWhenUsed/>
    <w:qFormat/>
    <w:uiPriority w:val="99"/>
    <w:pPr>
      <w:numPr>
        <w:ilvl w:val="0"/>
        <w:numId w:val="10"/>
      </w:numPr>
      <w:tabs>
        <w:tab w:val="left" w:pos="2040"/>
      </w:tabs>
      <w:adjustRightInd w:val="0"/>
      <w:spacing w:line="360" w:lineRule="auto"/>
      <w:contextualSpacing/>
      <w:textAlignment w:val="baseline"/>
    </w:pPr>
    <w:rPr>
      <w:rFonts w:ascii="Calibri" w:hAnsi="Calibri" w:eastAsia="Times New Roman"/>
      <w:sz w:val="24"/>
      <w:szCs w:val="22"/>
    </w:rPr>
  </w:style>
  <w:style w:type="paragraph" w:styleId="80">
    <w:name w:val="footnote text"/>
    <w:basedOn w:val="1"/>
    <w:link w:val="177"/>
    <w:unhideWhenUsed/>
    <w:qFormat/>
    <w:uiPriority w:val="99"/>
    <w:pPr>
      <w:adjustRightInd w:val="0"/>
      <w:snapToGrid w:val="0"/>
      <w:spacing w:line="360" w:lineRule="auto"/>
      <w:jc w:val="left"/>
      <w:textAlignment w:val="baseline"/>
    </w:pPr>
    <w:rPr>
      <w:rFonts w:eastAsia="Times New Roman"/>
      <w:sz w:val="18"/>
      <w:szCs w:val="18"/>
    </w:rPr>
  </w:style>
  <w:style w:type="paragraph" w:styleId="81">
    <w:name w:val="toc 6"/>
    <w:basedOn w:val="1"/>
    <w:next w:val="1"/>
    <w:unhideWhenUsed/>
    <w:qFormat/>
    <w:uiPriority w:val="39"/>
    <w:pPr>
      <w:ind w:left="2100" w:leftChars="1000"/>
    </w:pPr>
    <w:rPr>
      <w:rFonts w:ascii="Calibri" w:hAnsi="Calibri"/>
      <w:szCs w:val="22"/>
    </w:rPr>
  </w:style>
  <w:style w:type="paragraph" w:styleId="82">
    <w:name w:val="List 5"/>
    <w:basedOn w:val="1"/>
    <w:unhideWhenUsed/>
    <w:qFormat/>
    <w:uiPriority w:val="99"/>
    <w:pPr>
      <w:adjustRightInd w:val="0"/>
      <w:spacing w:line="360" w:lineRule="auto"/>
      <w:ind w:left="100" w:leftChars="800" w:hanging="200" w:hangingChars="200"/>
      <w:contextualSpacing/>
      <w:textAlignment w:val="baseline"/>
    </w:pPr>
    <w:rPr>
      <w:rFonts w:ascii="Calibri" w:hAnsi="Calibri" w:eastAsia="Times New Roman"/>
      <w:sz w:val="24"/>
      <w:szCs w:val="22"/>
    </w:rPr>
  </w:style>
  <w:style w:type="paragraph" w:styleId="83">
    <w:name w:val="Body Text Indent 3"/>
    <w:basedOn w:val="1"/>
    <w:link w:val="179"/>
    <w:qFormat/>
    <w:uiPriority w:val="0"/>
    <w:pPr>
      <w:spacing w:after="120"/>
      <w:ind w:left="420" w:leftChars="200"/>
    </w:pPr>
    <w:rPr>
      <w:sz w:val="16"/>
      <w:szCs w:val="16"/>
      <w:lang w:eastAsia="zh-TW"/>
    </w:rPr>
  </w:style>
  <w:style w:type="paragraph" w:styleId="84">
    <w:name w:val="index 7"/>
    <w:basedOn w:val="1"/>
    <w:next w:val="1"/>
    <w:unhideWhenUsed/>
    <w:qFormat/>
    <w:uiPriority w:val="99"/>
    <w:pPr>
      <w:adjustRightInd w:val="0"/>
      <w:spacing w:line="360" w:lineRule="auto"/>
      <w:ind w:left="1200" w:leftChars="1200"/>
      <w:textAlignment w:val="baseline"/>
    </w:pPr>
    <w:rPr>
      <w:rFonts w:ascii="Calibri" w:hAnsi="Calibri" w:eastAsia="Times New Roman"/>
      <w:sz w:val="24"/>
      <w:szCs w:val="22"/>
    </w:rPr>
  </w:style>
  <w:style w:type="paragraph" w:styleId="85">
    <w:name w:val="index 9"/>
    <w:basedOn w:val="1"/>
    <w:next w:val="1"/>
    <w:unhideWhenUsed/>
    <w:qFormat/>
    <w:uiPriority w:val="99"/>
    <w:pPr>
      <w:adjustRightInd w:val="0"/>
      <w:spacing w:line="360" w:lineRule="auto"/>
      <w:ind w:left="1600" w:leftChars="1600"/>
      <w:textAlignment w:val="baseline"/>
    </w:pPr>
    <w:rPr>
      <w:rFonts w:ascii="Calibri" w:hAnsi="Calibri" w:eastAsia="Times New Roman"/>
      <w:sz w:val="24"/>
      <w:szCs w:val="22"/>
    </w:rPr>
  </w:style>
  <w:style w:type="paragraph" w:styleId="86">
    <w:name w:val="table of figures"/>
    <w:basedOn w:val="1"/>
    <w:next w:val="1"/>
    <w:unhideWhenUsed/>
    <w:qFormat/>
    <w:uiPriority w:val="99"/>
    <w:pPr>
      <w:adjustRightInd w:val="0"/>
      <w:spacing w:line="360" w:lineRule="auto"/>
      <w:ind w:left="200" w:leftChars="200" w:hanging="200" w:hangingChars="200"/>
      <w:textAlignment w:val="baseline"/>
    </w:pPr>
    <w:rPr>
      <w:rFonts w:ascii="Calibri" w:hAnsi="Calibri" w:eastAsia="Times New Roman"/>
      <w:sz w:val="24"/>
      <w:szCs w:val="22"/>
    </w:rPr>
  </w:style>
  <w:style w:type="paragraph" w:styleId="87">
    <w:name w:val="toc 9"/>
    <w:basedOn w:val="1"/>
    <w:next w:val="1"/>
    <w:unhideWhenUsed/>
    <w:qFormat/>
    <w:uiPriority w:val="39"/>
    <w:pPr>
      <w:ind w:left="3360" w:leftChars="1600"/>
    </w:pPr>
    <w:rPr>
      <w:rFonts w:ascii="Calibri" w:hAnsi="Calibri"/>
      <w:szCs w:val="22"/>
    </w:rPr>
  </w:style>
  <w:style w:type="paragraph" w:styleId="88">
    <w:name w:val="Body Text 2"/>
    <w:basedOn w:val="1"/>
    <w:link w:val="181"/>
    <w:unhideWhenUsed/>
    <w:qFormat/>
    <w:uiPriority w:val="99"/>
    <w:pPr>
      <w:adjustRightInd w:val="0"/>
      <w:spacing w:after="120" w:line="480" w:lineRule="auto"/>
      <w:textAlignment w:val="baseline"/>
    </w:pPr>
    <w:rPr>
      <w:sz w:val="24"/>
      <w:szCs w:val="22"/>
    </w:rPr>
  </w:style>
  <w:style w:type="paragraph" w:styleId="89">
    <w:name w:val="List 4"/>
    <w:basedOn w:val="1"/>
    <w:unhideWhenUsed/>
    <w:qFormat/>
    <w:uiPriority w:val="99"/>
    <w:pPr>
      <w:adjustRightInd w:val="0"/>
      <w:spacing w:line="360" w:lineRule="auto"/>
      <w:ind w:left="100" w:leftChars="600" w:hanging="200" w:hangingChars="200"/>
      <w:contextualSpacing/>
      <w:textAlignment w:val="baseline"/>
    </w:pPr>
    <w:rPr>
      <w:rFonts w:ascii="Calibri" w:hAnsi="Calibri" w:eastAsia="Times New Roman"/>
      <w:sz w:val="24"/>
      <w:szCs w:val="22"/>
    </w:rPr>
  </w:style>
  <w:style w:type="paragraph" w:styleId="90">
    <w:name w:val="List Continue 2"/>
    <w:basedOn w:val="1"/>
    <w:unhideWhenUsed/>
    <w:qFormat/>
    <w:uiPriority w:val="99"/>
    <w:pPr>
      <w:adjustRightInd w:val="0"/>
      <w:spacing w:after="120" w:line="360" w:lineRule="auto"/>
      <w:ind w:left="840" w:leftChars="400"/>
      <w:contextualSpacing/>
      <w:textAlignment w:val="baseline"/>
    </w:pPr>
    <w:rPr>
      <w:rFonts w:ascii="Calibri" w:hAnsi="Calibri" w:eastAsia="Times New Roman"/>
      <w:sz w:val="24"/>
      <w:szCs w:val="22"/>
    </w:rPr>
  </w:style>
  <w:style w:type="paragraph" w:styleId="91">
    <w:name w:val="Message Header"/>
    <w:basedOn w:val="1"/>
    <w:link w:val="183"/>
    <w:unhideWhenUsed/>
    <w:qFormat/>
    <w:uiPriority w:val="99"/>
    <w:pPr>
      <w:pBdr>
        <w:top w:val="single" w:color="auto" w:sz="6" w:space="1"/>
        <w:left w:val="single" w:color="auto" w:sz="6" w:space="1"/>
        <w:bottom w:val="single" w:color="auto" w:sz="6" w:space="1"/>
        <w:right w:val="single" w:color="auto" w:sz="6" w:space="1"/>
      </w:pBdr>
      <w:shd w:val="pct20" w:color="auto" w:fill="auto"/>
      <w:adjustRightInd w:val="0"/>
      <w:spacing w:line="360" w:lineRule="auto"/>
      <w:ind w:left="1080" w:leftChars="500" w:hanging="1080" w:hangingChars="500"/>
      <w:textAlignment w:val="baseline"/>
    </w:pPr>
    <w:rPr>
      <w:rFonts w:ascii="Cambria" w:hAnsi="Cambria"/>
      <w:sz w:val="24"/>
    </w:rPr>
  </w:style>
  <w:style w:type="paragraph" w:styleId="92">
    <w:name w:val="HTML Preformatted"/>
    <w:basedOn w:val="1"/>
    <w:link w:val="185"/>
    <w:unhideWhenUsed/>
    <w:qFormat/>
    <w:uiPriority w:val="99"/>
    <w:pPr>
      <w:adjustRightInd w:val="0"/>
      <w:spacing w:line="360" w:lineRule="auto"/>
      <w:textAlignment w:val="baseline"/>
    </w:pPr>
    <w:rPr>
      <w:rFonts w:ascii="Courier New" w:hAnsi="Courier New" w:eastAsia="Times New Roman" w:cs="Courier New"/>
      <w:sz w:val="20"/>
    </w:rPr>
  </w:style>
  <w:style w:type="paragraph" w:styleId="93">
    <w:name w:val="Normal (Web)"/>
    <w:basedOn w:val="1"/>
    <w:link w:val="186"/>
    <w:qFormat/>
    <w:uiPriority w:val="99"/>
    <w:pPr>
      <w:widowControl/>
      <w:spacing w:before="100" w:beforeAutospacing="1" w:after="100" w:afterAutospacing="1"/>
      <w:jc w:val="left"/>
    </w:pPr>
    <w:rPr>
      <w:rFonts w:ascii="宋体" w:hAnsi="宋体"/>
      <w:sz w:val="24"/>
    </w:rPr>
  </w:style>
  <w:style w:type="paragraph" w:styleId="94">
    <w:name w:val="List Continue 3"/>
    <w:basedOn w:val="1"/>
    <w:unhideWhenUsed/>
    <w:qFormat/>
    <w:uiPriority w:val="99"/>
    <w:pPr>
      <w:adjustRightInd w:val="0"/>
      <w:spacing w:after="120" w:line="360" w:lineRule="auto"/>
      <w:ind w:left="1260" w:leftChars="600"/>
      <w:contextualSpacing/>
      <w:textAlignment w:val="baseline"/>
    </w:pPr>
    <w:rPr>
      <w:rFonts w:ascii="Calibri" w:hAnsi="Calibri" w:eastAsia="Times New Roman"/>
      <w:sz w:val="24"/>
      <w:szCs w:val="22"/>
    </w:rPr>
  </w:style>
  <w:style w:type="paragraph" w:styleId="95">
    <w:name w:val="index 2"/>
    <w:basedOn w:val="1"/>
    <w:next w:val="1"/>
    <w:unhideWhenUsed/>
    <w:qFormat/>
    <w:uiPriority w:val="99"/>
    <w:pPr>
      <w:adjustRightInd w:val="0"/>
      <w:spacing w:line="360" w:lineRule="auto"/>
      <w:ind w:left="200" w:leftChars="200"/>
      <w:textAlignment w:val="baseline"/>
    </w:pPr>
    <w:rPr>
      <w:rFonts w:ascii="Calibri" w:hAnsi="Calibri" w:eastAsia="Times New Roman"/>
      <w:sz w:val="24"/>
      <w:szCs w:val="22"/>
    </w:rPr>
  </w:style>
  <w:style w:type="paragraph" w:styleId="96">
    <w:name w:val="Title"/>
    <w:basedOn w:val="1"/>
    <w:next w:val="1"/>
    <w:link w:val="188"/>
    <w:qFormat/>
    <w:uiPriority w:val="10"/>
    <w:pPr>
      <w:adjustRightInd w:val="0"/>
      <w:spacing w:line="360" w:lineRule="auto"/>
      <w:jc w:val="left"/>
      <w:textAlignment w:val="baseline"/>
      <w:outlineLvl w:val="2"/>
    </w:pPr>
    <w:rPr>
      <w:b/>
      <w:bCs/>
      <w:sz w:val="24"/>
      <w:szCs w:val="32"/>
    </w:rPr>
  </w:style>
  <w:style w:type="paragraph" w:styleId="97">
    <w:name w:val="annotation subject"/>
    <w:basedOn w:val="41"/>
    <w:next w:val="41"/>
    <w:link w:val="190"/>
    <w:qFormat/>
    <w:uiPriority w:val="99"/>
    <w:rPr>
      <w:b/>
    </w:rPr>
  </w:style>
  <w:style w:type="paragraph" w:styleId="98">
    <w:name w:val="Body Text First Indent"/>
    <w:basedOn w:val="47"/>
    <w:link w:val="192"/>
    <w:unhideWhenUsed/>
    <w:qFormat/>
    <w:uiPriority w:val="0"/>
    <w:pPr>
      <w:widowControl w:val="0"/>
      <w:adjustRightInd w:val="0"/>
      <w:snapToGrid/>
      <w:spacing w:before="0" w:after="120" w:line="360" w:lineRule="auto"/>
      <w:ind w:right="0" w:firstLine="420" w:firstLineChars="100"/>
      <w:textAlignment w:val="baseline"/>
    </w:pPr>
    <w:rPr>
      <w:rFonts w:eastAsia="Times New Roman"/>
      <w:kern w:val="2"/>
      <w:sz w:val="24"/>
      <w:szCs w:val="22"/>
    </w:rPr>
  </w:style>
  <w:style w:type="paragraph" w:styleId="99">
    <w:name w:val="Body Text First Indent 2"/>
    <w:basedOn w:val="48"/>
    <w:link w:val="194"/>
    <w:unhideWhenUsed/>
    <w:qFormat/>
    <w:uiPriority w:val="0"/>
    <w:pPr>
      <w:adjustRightInd w:val="0"/>
      <w:spacing w:line="360" w:lineRule="auto"/>
      <w:ind w:firstLine="420" w:firstLineChars="200"/>
      <w:textAlignment w:val="baseline"/>
    </w:pPr>
    <w:rPr>
      <w:kern w:val="2"/>
      <w:sz w:val="21"/>
      <w:szCs w:val="21"/>
      <w:lang w:eastAsia="zh-TW"/>
    </w:rPr>
  </w:style>
  <w:style w:type="table" w:styleId="101">
    <w:name w:val="Table Grid"/>
    <w:basedOn w:val="100"/>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02">
    <w:name w:val="Table Theme"/>
    <w:basedOn w:val="10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103">
    <w:name w:val="Table Simple 1"/>
    <w:basedOn w:val="100"/>
    <w:qFormat/>
    <w:uiPriority w:val="0"/>
    <w:pPr>
      <w:widowControl w:val="0"/>
      <w:spacing w:line="360" w:lineRule="auto"/>
      <w:ind w:left="-2" w:leftChars="-1" w:firstLine="456" w:firstLineChars="190"/>
      <w:jc w:val="both"/>
    </w:pPr>
    <w:tblPr>
      <w:jc w:val="center"/>
      <w:tblBorders>
        <w:top w:val="single" w:color="008000" w:sz="18" w:space="0"/>
        <w:bottom w:val="single" w:color="008000" w:sz="18" w:space="0"/>
      </w:tblBorders>
    </w:tblPr>
    <w:trPr>
      <w:jc w:val="center"/>
    </w:trPr>
    <w:tcPr>
      <w:shd w:val="clear" w:color="auto" w:fill="auto"/>
    </w:tcPr>
    <w:tblStylePr w:type="firstRow">
      <w:tblPr/>
      <w:tcPr>
        <w:tcBorders>
          <w:top w:val="nil"/>
          <w:left w:val="nil"/>
          <w:bottom w:val="single" w:color="008000" w:sz="6" w:space="0"/>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104">
    <w:name w:val="Table Grid 1"/>
    <w:basedOn w:val="100"/>
    <w:qFormat/>
    <w:uiPriority w:val="0"/>
    <w:rPr>
      <w:rFonts w:ascii="Calibri" w:hAnsi="Calibri"/>
    </w:rPr>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
    <w:tcPr>
      <w:shd w:val="clear" w:color="auto" w:fill="auto"/>
    </w:tcPr>
    <w:tblStylePr w:type="lastRow">
      <w:rPr>
        <w:i/>
        <w:iCs/>
      </w:rPr>
      <w:tblPr/>
      <w:tcPr>
        <w:tcBorders>
          <w:top w:val="nil"/>
          <w:left w:val="nil"/>
          <w:bottom w:val="nil"/>
          <w:right w:val="nil"/>
          <w:insideH w:val="nil"/>
          <w:insideV w:val="nil"/>
          <w:tl2br w:val="nil"/>
          <w:tr2bl w:val="nil"/>
        </w:tcBorders>
      </w:tcPr>
    </w:tblStylePr>
    <w:tblStylePr w:type="lastCol">
      <w:rPr>
        <w:i/>
        <w:iCs/>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table" w:styleId="105">
    <w:name w:val="Light List Accent 4"/>
    <w:basedOn w:val="100"/>
    <w:unhideWhenUsed/>
    <w:qFormat/>
    <w:uiPriority w:val="61"/>
    <w:tblPr>
      <w:tblBorders>
        <w:top w:val="single" w:color="FFC000" w:sz="8" w:space="0"/>
        <w:left w:val="single" w:color="FFC000" w:sz="8" w:space="0"/>
        <w:bottom w:val="single" w:color="FFC000" w:sz="8" w:space="0"/>
        <w:right w:val="single" w:color="FFC000" w:sz="8" w:space="0"/>
      </w:tblBorders>
    </w:tblPr>
    <w:tblStylePr w:type="firstRow">
      <w:pPr>
        <w:spacing w:before="0" w:after="0" w:line="240" w:lineRule="auto"/>
      </w:pPr>
      <w:rPr>
        <w:b/>
        <w:bCs/>
        <w:color w:val="FFFFFF"/>
      </w:rPr>
      <w:tblPr/>
      <w:tcPr>
        <w:shd w:val="clear" w:color="auto" w:fill="FFC000"/>
      </w:tcPr>
    </w:tblStylePr>
    <w:tblStylePr w:type="lastRow">
      <w:pPr>
        <w:spacing w:before="0" w:after="0" w:line="240" w:lineRule="auto"/>
      </w:pPr>
      <w:rPr>
        <w:b/>
        <w:bCs/>
      </w:rPr>
      <w:tblPr/>
      <w:tcPr>
        <w:tcBorders>
          <w:top w:val="double" w:color="FFC000" w:sz="6" w:space="0"/>
          <w:left w:val="single" w:color="FFC000" w:sz="8" w:space="0"/>
          <w:bottom w:val="single" w:color="FFC000" w:sz="8" w:space="0"/>
          <w:right w:val="single" w:color="FFC000" w:sz="8" w:space="0"/>
          <w:insideH w:val="nil"/>
          <w:insideV w:val="nil"/>
          <w:tl2br w:val="nil"/>
          <w:tr2bl w:val="nil"/>
        </w:tcBorders>
      </w:tcPr>
    </w:tblStylePr>
    <w:tblStylePr w:type="firstCol">
      <w:rPr>
        <w:b/>
        <w:bCs/>
      </w:rPr>
    </w:tblStylePr>
    <w:tblStylePr w:type="lastCol">
      <w:rPr>
        <w:b/>
        <w:bCs/>
      </w:rPr>
    </w:tblStylePr>
    <w:tblStylePr w:type="band1Vert">
      <w:tblPr/>
      <w:tcPr>
        <w:tcBorders>
          <w:top w:val="single" w:color="FFC000" w:sz="8" w:space="0"/>
          <w:left w:val="single" w:color="FFC000" w:sz="8" w:space="0"/>
          <w:bottom w:val="single" w:color="FFC000" w:sz="8" w:space="0"/>
          <w:right w:val="single" w:color="FFC000" w:sz="8" w:space="0"/>
          <w:insideH w:val="nil"/>
          <w:insideV w:val="nil"/>
          <w:tl2br w:val="nil"/>
          <w:tr2bl w:val="nil"/>
        </w:tcBorders>
      </w:tcPr>
    </w:tblStylePr>
    <w:tblStylePr w:type="band1Horz">
      <w:tblPr/>
      <w:tcPr>
        <w:tcBorders>
          <w:top w:val="single" w:color="FFC000" w:sz="8" w:space="0"/>
          <w:left w:val="single" w:color="FFC000" w:sz="8" w:space="0"/>
          <w:bottom w:val="single" w:color="FFC000" w:sz="8" w:space="0"/>
          <w:right w:val="single" w:color="FFC000" w:sz="8" w:space="0"/>
          <w:insideH w:val="nil"/>
          <w:insideV w:val="nil"/>
          <w:tl2br w:val="nil"/>
          <w:tr2bl w:val="nil"/>
        </w:tcBorders>
      </w:tcPr>
    </w:tblStylePr>
  </w:style>
  <w:style w:type="character" w:styleId="107">
    <w:name w:val="Strong"/>
    <w:qFormat/>
    <w:uiPriority w:val="0"/>
    <w:rPr>
      <w:b/>
    </w:rPr>
  </w:style>
  <w:style w:type="character" w:styleId="108">
    <w:name w:val="page number"/>
    <w:qFormat/>
    <w:uiPriority w:val="0"/>
  </w:style>
  <w:style w:type="character" w:styleId="109">
    <w:name w:val="FollowedHyperlink"/>
    <w:qFormat/>
    <w:uiPriority w:val="99"/>
    <w:rPr>
      <w:color w:val="800080"/>
      <w:u w:val="single"/>
    </w:rPr>
  </w:style>
  <w:style w:type="character" w:styleId="110">
    <w:name w:val="Emphasis"/>
    <w:qFormat/>
    <w:uiPriority w:val="0"/>
    <w:rPr>
      <w:i/>
      <w:iCs/>
    </w:rPr>
  </w:style>
  <w:style w:type="character" w:styleId="111">
    <w:name w:val="Hyperlink"/>
    <w:unhideWhenUsed/>
    <w:qFormat/>
    <w:uiPriority w:val="99"/>
    <w:rPr>
      <w:color w:val="0563C1"/>
      <w:u w:val="single"/>
    </w:rPr>
  </w:style>
  <w:style w:type="character" w:styleId="112">
    <w:name w:val="annotation reference"/>
    <w:qFormat/>
    <w:uiPriority w:val="0"/>
    <w:rPr>
      <w:sz w:val="21"/>
    </w:rPr>
  </w:style>
  <w:style w:type="paragraph" w:customStyle="1" w:styleId="113">
    <w:name w:val="环评正文"/>
    <w:basedOn w:val="1"/>
    <w:qFormat/>
    <w:uiPriority w:val="0"/>
    <w:pPr>
      <w:adjustRightInd w:val="0"/>
      <w:snapToGrid w:val="0"/>
      <w:spacing w:line="360" w:lineRule="auto"/>
      <w:ind w:firstLine="420" w:firstLineChars="200"/>
      <w:jc w:val="left"/>
      <w:textAlignment w:val="baseline"/>
    </w:pPr>
    <w:rPr>
      <w:color w:val="000000" w:themeColor="text1"/>
      <w14:textFill>
        <w14:solidFill>
          <w14:schemeClr w14:val="tx1"/>
        </w14:solidFill>
      </w14:textFill>
    </w:rPr>
  </w:style>
  <w:style w:type="paragraph" w:customStyle="1" w:styleId="114">
    <w:name w:val="样式2"/>
    <w:basedOn w:val="19"/>
    <w:next w:val="1"/>
    <w:qFormat/>
    <w:uiPriority w:val="0"/>
    <w:pPr>
      <w:keepNext/>
      <w:keepLines/>
      <w:pBdr>
        <w:bottom w:val="none" w:color="auto" w:sz="0" w:space="0"/>
      </w:pBdr>
      <w:spacing w:before="100" w:beforeAutospacing="1" w:after="100" w:afterAutospacing="1"/>
      <w:ind w:left="3685" w:hanging="425"/>
      <w:jc w:val="left"/>
    </w:pPr>
    <w:rPr>
      <w:rFonts w:eastAsia="黑体"/>
      <w:caps w:val="0"/>
      <w:color w:val="auto"/>
      <w:spacing w:val="0"/>
      <w:sz w:val="32"/>
      <w:szCs w:val="28"/>
      <w:lang w:eastAsia="zh-CN"/>
    </w:rPr>
  </w:style>
  <w:style w:type="paragraph" w:customStyle="1" w:styleId="115">
    <w:name w:val="样式3"/>
    <w:basedOn w:val="21"/>
    <w:next w:val="99"/>
    <w:qFormat/>
    <w:uiPriority w:val="0"/>
    <w:pPr>
      <w:tabs>
        <w:tab w:val="left" w:pos="864"/>
      </w:tabs>
      <w:spacing w:before="280" w:after="290" w:line="376" w:lineRule="auto"/>
      <w:ind w:left="864" w:hanging="864"/>
    </w:pPr>
    <w:rPr>
      <w:rFonts w:ascii="Arial" w:hAnsi="Arial"/>
      <w:b w:val="0"/>
      <w:bCs/>
      <w:sz w:val="24"/>
      <w:szCs w:val="28"/>
      <w:lang w:eastAsia="zh-CN"/>
    </w:rPr>
  </w:style>
  <w:style w:type="character" w:customStyle="1" w:styleId="116">
    <w:name w:val="页眉 字符"/>
    <w:basedOn w:val="106"/>
    <w:link w:val="72"/>
    <w:qFormat/>
    <w:uiPriority w:val="99"/>
    <w:rPr>
      <w:sz w:val="18"/>
      <w:szCs w:val="18"/>
    </w:rPr>
  </w:style>
  <w:style w:type="character" w:customStyle="1" w:styleId="117">
    <w:name w:val="页脚 字符"/>
    <w:basedOn w:val="106"/>
    <w:link w:val="70"/>
    <w:qFormat/>
    <w:uiPriority w:val="99"/>
    <w:rPr>
      <w:sz w:val="18"/>
      <w:szCs w:val="18"/>
    </w:rPr>
  </w:style>
  <w:style w:type="character" w:customStyle="1" w:styleId="118">
    <w:name w:val="标题 1 字符"/>
    <w:basedOn w:val="106"/>
    <w:qFormat/>
    <w:uiPriority w:val="9"/>
    <w:rPr>
      <w:rFonts w:ascii="Times New Roman" w:hAnsi="Times New Roman" w:eastAsia="宋体" w:cs="Times New Roman"/>
      <w:b/>
      <w:bCs/>
      <w:kern w:val="44"/>
      <w:sz w:val="44"/>
      <w:szCs w:val="44"/>
    </w:rPr>
  </w:style>
  <w:style w:type="character" w:customStyle="1" w:styleId="119">
    <w:name w:val="标题 2 字符"/>
    <w:basedOn w:val="106"/>
    <w:qFormat/>
    <w:uiPriority w:val="9"/>
    <w:rPr>
      <w:rFonts w:asciiTheme="majorHAnsi" w:hAnsiTheme="majorHAnsi" w:eastAsiaTheme="majorEastAsia" w:cstheme="majorBidi"/>
      <w:b/>
      <w:bCs/>
      <w:sz w:val="32"/>
      <w:szCs w:val="32"/>
    </w:rPr>
  </w:style>
  <w:style w:type="character" w:customStyle="1" w:styleId="120">
    <w:name w:val="标题 3 字符"/>
    <w:basedOn w:val="106"/>
    <w:qFormat/>
    <w:uiPriority w:val="9"/>
    <w:rPr>
      <w:rFonts w:ascii="Times New Roman" w:hAnsi="Times New Roman" w:eastAsia="宋体" w:cs="Times New Roman"/>
      <w:b/>
      <w:bCs/>
      <w:sz w:val="32"/>
      <w:szCs w:val="32"/>
    </w:rPr>
  </w:style>
  <w:style w:type="character" w:customStyle="1" w:styleId="121">
    <w:name w:val="标题 4 字符"/>
    <w:basedOn w:val="106"/>
    <w:qFormat/>
    <w:uiPriority w:val="9"/>
    <w:rPr>
      <w:rFonts w:asciiTheme="majorHAnsi" w:hAnsiTheme="majorHAnsi" w:eastAsiaTheme="majorEastAsia" w:cstheme="majorBidi"/>
      <w:b/>
      <w:bCs/>
      <w:sz w:val="28"/>
      <w:szCs w:val="28"/>
    </w:rPr>
  </w:style>
  <w:style w:type="character" w:customStyle="1" w:styleId="122">
    <w:name w:val="标题 5 字符"/>
    <w:basedOn w:val="106"/>
    <w:qFormat/>
    <w:uiPriority w:val="9"/>
    <w:rPr>
      <w:rFonts w:ascii="Times New Roman" w:hAnsi="Times New Roman" w:eastAsia="宋体" w:cs="Times New Roman"/>
      <w:b/>
      <w:bCs/>
      <w:sz w:val="28"/>
      <w:szCs w:val="28"/>
    </w:rPr>
  </w:style>
  <w:style w:type="character" w:customStyle="1" w:styleId="123">
    <w:name w:val="标题 6 字符"/>
    <w:basedOn w:val="106"/>
    <w:qFormat/>
    <w:uiPriority w:val="9"/>
    <w:rPr>
      <w:rFonts w:asciiTheme="majorHAnsi" w:hAnsiTheme="majorHAnsi" w:eastAsiaTheme="majorEastAsia" w:cstheme="majorBidi"/>
      <w:b/>
      <w:bCs/>
      <w:sz w:val="24"/>
      <w:szCs w:val="24"/>
    </w:rPr>
  </w:style>
  <w:style w:type="character" w:customStyle="1" w:styleId="124">
    <w:name w:val="标题 7 字符"/>
    <w:basedOn w:val="106"/>
    <w:qFormat/>
    <w:uiPriority w:val="9"/>
    <w:rPr>
      <w:rFonts w:ascii="Times New Roman" w:hAnsi="Times New Roman" w:eastAsia="宋体" w:cs="Times New Roman"/>
      <w:b/>
      <w:bCs/>
      <w:sz w:val="24"/>
      <w:szCs w:val="24"/>
    </w:rPr>
  </w:style>
  <w:style w:type="character" w:customStyle="1" w:styleId="125">
    <w:name w:val="标题 8 字符"/>
    <w:basedOn w:val="106"/>
    <w:qFormat/>
    <w:uiPriority w:val="9"/>
    <w:rPr>
      <w:rFonts w:asciiTheme="majorHAnsi" w:hAnsiTheme="majorHAnsi" w:eastAsiaTheme="majorEastAsia" w:cstheme="majorBidi"/>
      <w:sz w:val="24"/>
      <w:szCs w:val="24"/>
    </w:rPr>
  </w:style>
  <w:style w:type="character" w:customStyle="1" w:styleId="126">
    <w:name w:val="标题 9 字符"/>
    <w:basedOn w:val="106"/>
    <w:qFormat/>
    <w:uiPriority w:val="9"/>
    <w:rPr>
      <w:rFonts w:asciiTheme="majorHAnsi" w:hAnsiTheme="majorHAnsi" w:eastAsiaTheme="majorEastAsia" w:cstheme="majorBidi"/>
      <w:szCs w:val="21"/>
    </w:rPr>
  </w:style>
  <w:style w:type="character" w:customStyle="1" w:styleId="127">
    <w:name w:val="宏文本 字符"/>
    <w:basedOn w:val="106"/>
    <w:qFormat/>
    <w:uiPriority w:val="99"/>
    <w:rPr>
      <w:rFonts w:ascii="Courier New" w:hAnsi="Courier New" w:eastAsia="宋体" w:cs="Courier New"/>
      <w:sz w:val="24"/>
      <w:szCs w:val="24"/>
    </w:rPr>
  </w:style>
  <w:style w:type="character" w:customStyle="1" w:styleId="128">
    <w:name w:val="宏文本 字符1"/>
    <w:link w:val="17"/>
    <w:qFormat/>
    <w:uiPriority w:val="99"/>
    <w:rPr>
      <w:rFonts w:ascii="Courier New" w:hAnsi="Courier New" w:eastAsia="宋体" w:cs="Times New Roman"/>
      <w:sz w:val="24"/>
      <w:szCs w:val="24"/>
      <w:lang w:eastAsia="zh-TW"/>
    </w:rPr>
  </w:style>
  <w:style w:type="character" w:customStyle="1" w:styleId="129">
    <w:name w:val="标题 1 字符1"/>
    <w:link w:val="18"/>
    <w:qFormat/>
    <w:uiPriority w:val="9"/>
    <w:rPr>
      <w:rFonts w:ascii="Times New Roman" w:hAnsi="Times New Roman" w:eastAsia="黑体" w:cs="Times New Roman"/>
      <w:b/>
      <w:bCs/>
      <w:color w:val="000000"/>
      <w:kern w:val="44"/>
      <w:sz w:val="30"/>
      <w:szCs w:val="30"/>
    </w:rPr>
  </w:style>
  <w:style w:type="character" w:customStyle="1" w:styleId="130">
    <w:name w:val="标题 2 字符1"/>
    <w:link w:val="19"/>
    <w:qFormat/>
    <w:uiPriority w:val="9"/>
    <w:rPr>
      <w:rFonts w:ascii="Times New Roman" w:hAnsi="Times New Roman" w:eastAsia="宋体" w:cs="Times New Roman"/>
      <w:b/>
      <w:caps/>
      <w:color w:val="000000"/>
      <w:spacing w:val="17"/>
      <w:kern w:val="0"/>
      <w:sz w:val="30"/>
      <w:szCs w:val="24"/>
      <w:lang w:eastAsia="zh-TW"/>
    </w:rPr>
  </w:style>
  <w:style w:type="character" w:customStyle="1" w:styleId="131">
    <w:name w:val="标题 3 字符1"/>
    <w:link w:val="20"/>
    <w:qFormat/>
    <w:uiPriority w:val="9"/>
    <w:rPr>
      <w:rFonts w:ascii="Times New Roman" w:hAnsi="Times New Roman" w:eastAsia="宋体" w:cs="Times New Roman"/>
      <w:b/>
      <w:bCs/>
      <w:spacing w:val="11"/>
      <w:kern w:val="18"/>
      <w:sz w:val="28"/>
      <w:szCs w:val="28"/>
      <w:lang w:eastAsia="zh-TW"/>
    </w:rPr>
  </w:style>
  <w:style w:type="character" w:customStyle="1" w:styleId="132">
    <w:name w:val="标题 4 字符1"/>
    <w:link w:val="21"/>
    <w:qFormat/>
    <w:uiPriority w:val="9"/>
    <w:rPr>
      <w:rFonts w:ascii="Calibri" w:hAnsi="Calibri" w:eastAsia="宋体" w:cs="Times New Roman"/>
      <w:b/>
      <w:sz w:val="28"/>
      <w:szCs w:val="21"/>
      <w:lang w:eastAsia="zh-TW"/>
    </w:rPr>
  </w:style>
  <w:style w:type="character" w:customStyle="1" w:styleId="133">
    <w:name w:val="标题 5 字符1"/>
    <w:link w:val="11"/>
    <w:qFormat/>
    <w:uiPriority w:val="9"/>
    <w:rPr>
      <w:rFonts w:ascii="Calibri" w:hAnsi="Calibri" w:eastAsia="Times New Roman" w:cs="Times New Roman"/>
      <w:b/>
      <w:bCs/>
      <w:sz w:val="28"/>
      <w:szCs w:val="28"/>
      <w:lang w:eastAsia="zh-TW"/>
    </w:rPr>
  </w:style>
  <w:style w:type="character" w:customStyle="1" w:styleId="134">
    <w:name w:val="标题 6 字符1"/>
    <w:link w:val="22"/>
    <w:qFormat/>
    <w:uiPriority w:val="9"/>
    <w:rPr>
      <w:rFonts w:ascii="Cambria" w:hAnsi="Cambria" w:eastAsia="宋体" w:cs="Times New Roman"/>
      <w:b/>
      <w:bCs/>
      <w:sz w:val="24"/>
      <w:szCs w:val="24"/>
      <w:lang w:eastAsia="zh-TW"/>
    </w:rPr>
  </w:style>
  <w:style w:type="character" w:customStyle="1" w:styleId="135">
    <w:name w:val="标题 7 字符1"/>
    <w:link w:val="23"/>
    <w:qFormat/>
    <w:uiPriority w:val="9"/>
    <w:rPr>
      <w:rFonts w:ascii="Calibri" w:hAnsi="Calibri" w:eastAsia="Times New Roman" w:cs="Times New Roman"/>
      <w:b/>
      <w:bCs/>
      <w:sz w:val="24"/>
      <w:szCs w:val="24"/>
      <w:lang w:eastAsia="zh-TW"/>
    </w:rPr>
  </w:style>
  <w:style w:type="character" w:customStyle="1" w:styleId="136">
    <w:name w:val="标题 8 字符1"/>
    <w:link w:val="24"/>
    <w:qFormat/>
    <w:uiPriority w:val="9"/>
    <w:rPr>
      <w:rFonts w:ascii="Cambria" w:hAnsi="Cambria" w:eastAsia="宋体" w:cs="Times New Roman"/>
      <w:sz w:val="24"/>
      <w:szCs w:val="24"/>
      <w:lang w:eastAsia="zh-TW"/>
    </w:rPr>
  </w:style>
  <w:style w:type="character" w:customStyle="1" w:styleId="137">
    <w:name w:val="标题 9 字符1"/>
    <w:link w:val="25"/>
    <w:qFormat/>
    <w:uiPriority w:val="9"/>
    <w:rPr>
      <w:rFonts w:ascii="Cambria" w:hAnsi="Cambria" w:eastAsia="宋体" w:cs="Times New Roman"/>
      <w:szCs w:val="21"/>
      <w:lang w:eastAsia="zh-TW"/>
    </w:rPr>
  </w:style>
  <w:style w:type="character" w:customStyle="1" w:styleId="138">
    <w:name w:val="注释标题 字符"/>
    <w:basedOn w:val="106"/>
    <w:qFormat/>
    <w:uiPriority w:val="99"/>
    <w:rPr>
      <w:rFonts w:ascii="Times New Roman" w:hAnsi="Times New Roman" w:eastAsia="宋体" w:cs="Times New Roman"/>
      <w:szCs w:val="24"/>
    </w:rPr>
  </w:style>
  <w:style w:type="character" w:customStyle="1" w:styleId="139">
    <w:name w:val="注释标题 字符1"/>
    <w:link w:val="30"/>
    <w:qFormat/>
    <w:uiPriority w:val="99"/>
    <w:rPr>
      <w:rFonts w:ascii="Times New Roman" w:hAnsi="Times New Roman" w:eastAsia="Times New Roman" w:cs="Times New Roman"/>
      <w:sz w:val="24"/>
    </w:rPr>
  </w:style>
  <w:style w:type="character" w:customStyle="1" w:styleId="140">
    <w:name w:val="电子邮件签名 字符"/>
    <w:basedOn w:val="106"/>
    <w:qFormat/>
    <w:uiPriority w:val="99"/>
    <w:rPr>
      <w:rFonts w:ascii="Times New Roman" w:hAnsi="Times New Roman" w:eastAsia="宋体" w:cs="Times New Roman"/>
      <w:szCs w:val="24"/>
    </w:rPr>
  </w:style>
  <w:style w:type="character" w:customStyle="1" w:styleId="141">
    <w:name w:val="电子邮件签名 字符1"/>
    <w:link w:val="14"/>
    <w:qFormat/>
    <w:uiPriority w:val="99"/>
    <w:rPr>
      <w:rFonts w:ascii="Times New Roman" w:hAnsi="Times New Roman" w:eastAsia="Times New Roman" w:cs="Times New Roman"/>
      <w:sz w:val="24"/>
    </w:rPr>
  </w:style>
  <w:style w:type="character" w:customStyle="1" w:styleId="142">
    <w:name w:val="正文缩进 字符1"/>
    <w:link w:val="34"/>
    <w:qFormat/>
    <w:uiPriority w:val="0"/>
    <w:rPr>
      <w:rFonts w:ascii="Times New Roman" w:hAnsi="Times New Roman" w:eastAsia="宋体" w:cs="Times New Roman"/>
      <w:sz w:val="28"/>
      <w:szCs w:val="28"/>
      <w:lang w:eastAsia="zh-TW"/>
    </w:rPr>
  </w:style>
  <w:style w:type="character" w:customStyle="1" w:styleId="143">
    <w:name w:val="题注 字符"/>
    <w:link w:val="35"/>
    <w:qFormat/>
    <w:uiPriority w:val="35"/>
    <w:rPr>
      <w:rFonts w:ascii="Cambria" w:hAnsi="Cambria" w:eastAsia="黑体" w:cs="Times New Roman"/>
      <w:sz w:val="20"/>
      <w:szCs w:val="20"/>
    </w:rPr>
  </w:style>
  <w:style w:type="character" w:customStyle="1" w:styleId="144">
    <w:name w:val="文档结构图 字符"/>
    <w:basedOn w:val="106"/>
    <w:qFormat/>
    <w:uiPriority w:val="99"/>
    <w:rPr>
      <w:rFonts w:ascii="Microsoft YaHei UI" w:hAnsi="Times New Roman" w:eastAsia="Microsoft YaHei UI" w:cs="Times New Roman"/>
      <w:sz w:val="18"/>
      <w:szCs w:val="18"/>
    </w:rPr>
  </w:style>
  <w:style w:type="character" w:customStyle="1" w:styleId="145">
    <w:name w:val="文档结构图 字符1"/>
    <w:link w:val="39"/>
    <w:qFormat/>
    <w:uiPriority w:val="99"/>
    <w:rPr>
      <w:rFonts w:ascii="宋体" w:hAnsi="Calibri" w:eastAsia="宋体" w:cs="Times New Roman"/>
      <w:sz w:val="18"/>
      <w:szCs w:val="18"/>
      <w:lang w:eastAsia="zh-TW"/>
    </w:rPr>
  </w:style>
  <w:style w:type="character" w:customStyle="1" w:styleId="146">
    <w:name w:val="批注文字 字符"/>
    <w:basedOn w:val="106"/>
    <w:semiHidden/>
    <w:qFormat/>
    <w:uiPriority w:val="99"/>
    <w:rPr>
      <w:rFonts w:ascii="Times New Roman" w:hAnsi="Times New Roman" w:eastAsia="宋体" w:cs="Times New Roman"/>
      <w:szCs w:val="24"/>
    </w:rPr>
  </w:style>
  <w:style w:type="character" w:customStyle="1" w:styleId="147">
    <w:name w:val="批注文字 字符2"/>
    <w:link w:val="41"/>
    <w:qFormat/>
    <w:locked/>
    <w:uiPriority w:val="99"/>
    <w:rPr>
      <w:rFonts w:ascii="Times New Roman" w:hAnsi="Times New Roman" w:eastAsia="宋体" w:cs="Times New Roman"/>
      <w:kern w:val="0"/>
      <w:sz w:val="24"/>
      <w:szCs w:val="20"/>
    </w:rPr>
  </w:style>
  <w:style w:type="character" w:customStyle="1" w:styleId="148">
    <w:name w:val="称呼 字符"/>
    <w:basedOn w:val="106"/>
    <w:qFormat/>
    <w:uiPriority w:val="99"/>
    <w:rPr>
      <w:rFonts w:ascii="Times New Roman" w:hAnsi="Times New Roman" w:eastAsia="宋体" w:cs="Times New Roman"/>
      <w:szCs w:val="24"/>
    </w:rPr>
  </w:style>
  <w:style w:type="character" w:customStyle="1" w:styleId="149">
    <w:name w:val="称呼 字符1"/>
    <w:link w:val="43"/>
    <w:qFormat/>
    <w:uiPriority w:val="99"/>
    <w:rPr>
      <w:rFonts w:ascii="Times New Roman" w:hAnsi="Times New Roman" w:eastAsia="Times New Roman" w:cs="Times New Roman"/>
      <w:sz w:val="24"/>
    </w:rPr>
  </w:style>
  <w:style w:type="character" w:customStyle="1" w:styleId="150">
    <w:name w:val="正文文本 3 字符"/>
    <w:basedOn w:val="106"/>
    <w:qFormat/>
    <w:uiPriority w:val="99"/>
    <w:rPr>
      <w:rFonts w:ascii="Times New Roman" w:hAnsi="Times New Roman" w:eastAsia="宋体" w:cs="Times New Roman"/>
      <w:sz w:val="16"/>
      <w:szCs w:val="16"/>
    </w:rPr>
  </w:style>
  <w:style w:type="character" w:customStyle="1" w:styleId="151">
    <w:name w:val="正文文本 3 字符1"/>
    <w:link w:val="44"/>
    <w:qFormat/>
    <w:uiPriority w:val="99"/>
    <w:rPr>
      <w:rFonts w:ascii="Times New Roman" w:hAnsi="Times New Roman" w:eastAsia="Times New Roman" w:cs="Times New Roman"/>
      <w:sz w:val="16"/>
      <w:szCs w:val="16"/>
    </w:rPr>
  </w:style>
  <w:style w:type="character" w:customStyle="1" w:styleId="152">
    <w:name w:val="结束语 字符"/>
    <w:basedOn w:val="106"/>
    <w:qFormat/>
    <w:uiPriority w:val="99"/>
    <w:rPr>
      <w:rFonts w:ascii="Times New Roman" w:hAnsi="Times New Roman" w:eastAsia="宋体" w:cs="Times New Roman"/>
      <w:szCs w:val="24"/>
    </w:rPr>
  </w:style>
  <w:style w:type="character" w:customStyle="1" w:styleId="153">
    <w:name w:val="结束语 字符1"/>
    <w:link w:val="45"/>
    <w:qFormat/>
    <w:uiPriority w:val="99"/>
    <w:rPr>
      <w:rFonts w:ascii="Times New Roman" w:hAnsi="Times New Roman" w:eastAsia="Times New Roman" w:cs="Times New Roman"/>
      <w:sz w:val="24"/>
    </w:rPr>
  </w:style>
  <w:style w:type="character" w:customStyle="1" w:styleId="154">
    <w:name w:val="正文文本 字符"/>
    <w:basedOn w:val="106"/>
    <w:semiHidden/>
    <w:qFormat/>
    <w:uiPriority w:val="99"/>
    <w:rPr>
      <w:rFonts w:ascii="Times New Roman" w:hAnsi="Times New Roman" w:eastAsia="宋体" w:cs="Times New Roman"/>
      <w:szCs w:val="24"/>
    </w:rPr>
  </w:style>
  <w:style w:type="character" w:customStyle="1" w:styleId="155">
    <w:name w:val="正文文本 字符2"/>
    <w:link w:val="47"/>
    <w:qFormat/>
    <w:locked/>
    <w:uiPriority w:val="99"/>
    <w:rPr>
      <w:rFonts w:ascii="Times New Roman" w:hAnsi="Times New Roman" w:eastAsia="宋体" w:cs="Times New Roman"/>
      <w:kern w:val="0"/>
      <w:sz w:val="18"/>
      <w:szCs w:val="20"/>
    </w:rPr>
  </w:style>
  <w:style w:type="character" w:customStyle="1" w:styleId="156">
    <w:name w:val="正文文本缩进 字符"/>
    <w:basedOn w:val="106"/>
    <w:semiHidden/>
    <w:qFormat/>
    <w:uiPriority w:val="99"/>
    <w:rPr>
      <w:rFonts w:ascii="Times New Roman" w:hAnsi="Times New Roman" w:eastAsia="宋体" w:cs="Times New Roman"/>
      <w:szCs w:val="24"/>
    </w:rPr>
  </w:style>
  <w:style w:type="character" w:customStyle="1" w:styleId="157">
    <w:name w:val="正文文本缩进 字符1"/>
    <w:link w:val="48"/>
    <w:qFormat/>
    <w:locked/>
    <w:uiPriority w:val="99"/>
    <w:rPr>
      <w:rFonts w:ascii="Times New Roman" w:hAnsi="Times New Roman" w:eastAsia="宋体" w:cs="Times New Roman"/>
      <w:kern w:val="0"/>
      <w:sz w:val="24"/>
      <w:szCs w:val="20"/>
    </w:rPr>
  </w:style>
  <w:style w:type="character" w:customStyle="1" w:styleId="158">
    <w:name w:val="HTML 地址 字符"/>
    <w:basedOn w:val="106"/>
    <w:qFormat/>
    <w:uiPriority w:val="99"/>
    <w:rPr>
      <w:rFonts w:ascii="Times New Roman" w:hAnsi="Times New Roman" w:eastAsia="宋体" w:cs="Times New Roman"/>
      <w:i/>
      <w:iCs/>
      <w:szCs w:val="24"/>
    </w:rPr>
  </w:style>
  <w:style w:type="character" w:customStyle="1" w:styleId="159">
    <w:name w:val="HTML 地址 字符1"/>
    <w:link w:val="57"/>
    <w:qFormat/>
    <w:uiPriority w:val="99"/>
    <w:rPr>
      <w:rFonts w:ascii="Times New Roman" w:hAnsi="Times New Roman" w:eastAsia="Times New Roman" w:cs="Times New Roman"/>
      <w:i/>
      <w:iCs/>
      <w:sz w:val="24"/>
    </w:rPr>
  </w:style>
  <w:style w:type="character" w:customStyle="1" w:styleId="160">
    <w:name w:val="纯文本 字符"/>
    <w:basedOn w:val="106"/>
    <w:qFormat/>
    <w:uiPriority w:val="0"/>
    <w:rPr>
      <w:rFonts w:hAnsi="Courier New" w:cs="Courier New" w:asciiTheme="minorEastAsia"/>
      <w:szCs w:val="24"/>
    </w:rPr>
  </w:style>
  <w:style w:type="character" w:customStyle="1" w:styleId="161">
    <w:name w:val="纯文本 字符1"/>
    <w:link w:val="4"/>
    <w:qFormat/>
    <w:uiPriority w:val="0"/>
    <w:rPr>
      <w:rFonts w:ascii="宋体" w:hAnsi="Courier New" w:eastAsia="宋体" w:cs="Times New Roman"/>
      <w:szCs w:val="21"/>
      <w:lang w:eastAsia="zh-TW"/>
    </w:rPr>
  </w:style>
  <w:style w:type="character" w:customStyle="1" w:styleId="162">
    <w:name w:val="日期 字符"/>
    <w:basedOn w:val="106"/>
    <w:qFormat/>
    <w:uiPriority w:val="0"/>
    <w:rPr>
      <w:rFonts w:ascii="Times New Roman" w:hAnsi="Times New Roman" w:eastAsia="宋体" w:cs="Times New Roman"/>
      <w:szCs w:val="24"/>
    </w:rPr>
  </w:style>
  <w:style w:type="character" w:customStyle="1" w:styleId="163">
    <w:name w:val="日期 字符1"/>
    <w:link w:val="65"/>
    <w:qFormat/>
    <w:locked/>
    <w:uiPriority w:val="0"/>
    <w:rPr>
      <w:rFonts w:ascii="Times New Roman" w:hAnsi="Times New Roman" w:eastAsia="宋体" w:cs="Times New Roman"/>
      <w:kern w:val="0"/>
      <w:sz w:val="24"/>
      <w:szCs w:val="20"/>
    </w:rPr>
  </w:style>
  <w:style w:type="character" w:customStyle="1" w:styleId="164">
    <w:name w:val="正文文本缩进 2 字符"/>
    <w:basedOn w:val="106"/>
    <w:qFormat/>
    <w:uiPriority w:val="99"/>
    <w:rPr>
      <w:rFonts w:ascii="Times New Roman" w:hAnsi="Times New Roman" w:eastAsia="宋体" w:cs="Times New Roman"/>
      <w:szCs w:val="24"/>
    </w:rPr>
  </w:style>
  <w:style w:type="character" w:customStyle="1" w:styleId="165">
    <w:name w:val="正文文本缩进 2 字符1"/>
    <w:link w:val="66"/>
    <w:qFormat/>
    <w:uiPriority w:val="99"/>
    <w:rPr>
      <w:rFonts w:ascii="Calibri" w:hAnsi="Calibri" w:eastAsia="宋体" w:cs="Times New Roman"/>
      <w:szCs w:val="21"/>
    </w:rPr>
  </w:style>
  <w:style w:type="character" w:customStyle="1" w:styleId="166">
    <w:name w:val="尾注文本 字符"/>
    <w:basedOn w:val="106"/>
    <w:qFormat/>
    <w:uiPriority w:val="99"/>
    <w:rPr>
      <w:rFonts w:ascii="Times New Roman" w:hAnsi="Times New Roman" w:eastAsia="宋体" w:cs="Times New Roman"/>
      <w:szCs w:val="24"/>
    </w:rPr>
  </w:style>
  <w:style w:type="character" w:customStyle="1" w:styleId="167">
    <w:name w:val="尾注文本 字符1"/>
    <w:link w:val="67"/>
    <w:qFormat/>
    <w:uiPriority w:val="99"/>
    <w:rPr>
      <w:rFonts w:ascii="Times New Roman" w:hAnsi="Times New Roman" w:eastAsia="Times New Roman" w:cs="Times New Roman"/>
      <w:sz w:val="24"/>
    </w:rPr>
  </w:style>
  <w:style w:type="character" w:customStyle="1" w:styleId="168">
    <w:name w:val="批注框文本 字符"/>
    <w:basedOn w:val="106"/>
    <w:semiHidden/>
    <w:qFormat/>
    <w:uiPriority w:val="99"/>
    <w:rPr>
      <w:rFonts w:ascii="Times New Roman" w:hAnsi="Times New Roman" w:eastAsia="宋体" w:cs="Times New Roman"/>
      <w:sz w:val="18"/>
      <w:szCs w:val="18"/>
    </w:rPr>
  </w:style>
  <w:style w:type="character" w:customStyle="1" w:styleId="169">
    <w:name w:val="批注框文本 字符1"/>
    <w:link w:val="69"/>
    <w:qFormat/>
    <w:locked/>
    <w:uiPriority w:val="99"/>
    <w:rPr>
      <w:rFonts w:ascii="Times New Roman" w:hAnsi="Times New Roman" w:eastAsia="宋体" w:cs="Times New Roman"/>
      <w:kern w:val="0"/>
      <w:sz w:val="18"/>
      <w:szCs w:val="20"/>
    </w:rPr>
  </w:style>
  <w:style w:type="character" w:customStyle="1" w:styleId="170">
    <w:name w:val="页脚 Char2"/>
    <w:qFormat/>
    <w:locked/>
    <w:uiPriority w:val="99"/>
    <w:rPr>
      <w:sz w:val="18"/>
    </w:rPr>
  </w:style>
  <w:style w:type="character" w:customStyle="1" w:styleId="171">
    <w:name w:val="页眉 Char2"/>
    <w:qFormat/>
    <w:locked/>
    <w:uiPriority w:val="99"/>
    <w:rPr>
      <w:sz w:val="18"/>
    </w:rPr>
  </w:style>
  <w:style w:type="character" w:customStyle="1" w:styleId="172">
    <w:name w:val="签名 字符"/>
    <w:basedOn w:val="106"/>
    <w:qFormat/>
    <w:uiPriority w:val="99"/>
    <w:rPr>
      <w:rFonts w:ascii="Times New Roman" w:hAnsi="Times New Roman" w:eastAsia="宋体" w:cs="Times New Roman"/>
      <w:szCs w:val="24"/>
    </w:rPr>
  </w:style>
  <w:style w:type="character" w:customStyle="1" w:styleId="173">
    <w:name w:val="签名 字符1"/>
    <w:link w:val="73"/>
    <w:qFormat/>
    <w:uiPriority w:val="99"/>
    <w:rPr>
      <w:rFonts w:ascii="Times New Roman" w:hAnsi="Times New Roman" w:eastAsia="Times New Roman" w:cs="Times New Roman"/>
      <w:sz w:val="24"/>
    </w:rPr>
  </w:style>
  <w:style w:type="character" w:customStyle="1" w:styleId="174">
    <w:name w:val="副标题 字符"/>
    <w:basedOn w:val="106"/>
    <w:qFormat/>
    <w:uiPriority w:val="11"/>
    <w:rPr>
      <w:b/>
      <w:bCs/>
      <w:kern w:val="28"/>
      <w:sz w:val="32"/>
      <w:szCs w:val="32"/>
    </w:rPr>
  </w:style>
  <w:style w:type="character" w:customStyle="1" w:styleId="175">
    <w:name w:val="副标题 字符3"/>
    <w:link w:val="78"/>
    <w:qFormat/>
    <w:uiPriority w:val="11"/>
    <w:rPr>
      <w:rFonts w:ascii="宋体" w:hAnsi="宋体" w:eastAsia="宋体" w:cs="Times New Roman"/>
      <w:b/>
      <w:bCs/>
      <w:kern w:val="28"/>
      <w:sz w:val="28"/>
      <w:szCs w:val="21"/>
      <w:lang w:eastAsia="zh-TW"/>
    </w:rPr>
  </w:style>
  <w:style w:type="character" w:customStyle="1" w:styleId="176">
    <w:name w:val="脚注文本 字符"/>
    <w:basedOn w:val="106"/>
    <w:qFormat/>
    <w:uiPriority w:val="99"/>
    <w:rPr>
      <w:rFonts w:ascii="Times New Roman" w:hAnsi="Times New Roman" w:eastAsia="宋体" w:cs="Times New Roman"/>
      <w:sz w:val="18"/>
      <w:szCs w:val="18"/>
    </w:rPr>
  </w:style>
  <w:style w:type="character" w:customStyle="1" w:styleId="177">
    <w:name w:val="脚注文本 字符1"/>
    <w:link w:val="80"/>
    <w:qFormat/>
    <w:uiPriority w:val="99"/>
    <w:rPr>
      <w:rFonts w:ascii="Times New Roman" w:hAnsi="Times New Roman" w:eastAsia="Times New Roman" w:cs="Times New Roman"/>
      <w:sz w:val="18"/>
      <w:szCs w:val="18"/>
    </w:rPr>
  </w:style>
  <w:style w:type="character" w:customStyle="1" w:styleId="178">
    <w:name w:val="正文文本缩进 3 字符"/>
    <w:basedOn w:val="106"/>
    <w:qFormat/>
    <w:uiPriority w:val="0"/>
    <w:rPr>
      <w:rFonts w:ascii="Times New Roman" w:hAnsi="Times New Roman" w:eastAsia="宋体" w:cs="Times New Roman"/>
      <w:sz w:val="16"/>
      <w:szCs w:val="16"/>
    </w:rPr>
  </w:style>
  <w:style w:type="character" w:customStyle="1" w:styleId="179">
    <w:name w:val="正文文本缩进 3 字符1"/>
    <w:link w:val="83"/>
    <w:qFormat/>
    <w:uiPriority w:val="0"/>
    <w:rPr>
      <w:rFonts w:ascii="Times New Roman" w:hAnsi="Times New Roman" w:eastAsia="宋体" w:cs="Times New Roman"/>
      <w:sz w:val="16"/>
      <w:szCs w:val="16"/>
      <w:lang w:eastAsia="zh-TW"/>
    </w:rPr>
  </w:style>
  <w:style w:type="character" w:customStyle="1" w:styleId="180">
    <w:name w:val="正文文本 2 字符"/>
    <w:basedOn w:val="106"/>
    <w:qFormat/>
    <w:uiPriority w:val="99"/>
    <w:rPr>
      <w:rFonts w:ascii="Times New Roman" w:hAnsi="Times New Roman" w:eastAsia="宋体" w:cs="Times New Roman"/>
      <w:szCs w:val="24"/>
    </w:rPr>
  </w:style>
  <w:style w:type="character" w:customStyle="1" w:styleId="181">
    <w:name w:val="正文文本 2 字符1"/>
    <w:link w:val="88"/>
    <w:qFormat/>
    <w:uiPriority w:val="99"/>
    <w:rPr>
      <w:rFonts w:ascii="Times New Roman" w:hAnsi="Times New Roman" w:eastAsia="宋体" w:cs="Times New Roman"/>
      <w:sz w:val="24"/>
    </w:rPr>
  </w:style>
  <w:style w:type="character" w:customStyle="1" w:styleId="182">
    <w:name w:val="信息标题 字符"/>
    <w:basedOn w:val="106"/>
    <w:qFormat/>
    <w:uiPriority w:val="99"/>
    <w:rPr>
      <w:rFonts w:asciiTheme="majorHAnsi" w:hAnsiTheme="majorHAnsi" w:eastAsiaTheme="majorEastAsia" w:cstheme="majorBidi"/>
      <w:sz w:val="24"/>
      <w:szCs w:val="24"/>
      <w:shd w:val="pct20" w:color="auto" w:fill="auto"/>
    </w:rPr>
  </w:style>
  <w:style w:type="character" w:customStyle="1" w:styleId="183">
    <w:name w:val="信息标题 字符1"/>
    <w:link w:val="91"/>
    <w:qFormat/>
    <w:uiPriority w:val="99"/>
    <w:rPr>
      <w:rFonts w:ascii="Cambria" w:hAnsi="Cambria" w:eastAsia="宋体" w:cs="Times New Roman"/>
      <w:sz w:val="24"/>
      <w:szCs w:val="24"/>
      <w:shd w:val="pct20" w:color="auto" w:fill="auto"/>
    </w:rPr>
  </w:style>
  <w:style w:type="character" w:customStyle="1" w:styleId="184">
    <w:name w:val="HTML 预设格式 字符"/>
    <w:basedOn w:val="106"/>
    <w:qFormat/>
    <w:uiPriority w:val="99"/>
    <w:rPr>
      <w:rFonts w:ascii="Courier New" w:hAnsi="Courier New" w:eastAsia="宋体" w:cs="Courier New"/>
      <w:sz w:val="20"/>
      <w:szCs w:val="20"/>
    </w:rPr>
  </w:style>
  <w:style w:type="character" w:customStyle="1" w:styleId="185">
    <w:name w:val="HTML 预设格式 字符1"/>
    <w:link w:val="92"/>
    <w:qFormat/>
    <w:uiPriority w:val="99"/>
    <w:rPr>
      <w:rFonts w:ascii="Courier New" w:hAnsi="Courier New" w:eastAsia="Times New Roman" w:cs="Courier New"/>
      <w:sz w:val="20"/>
      <w:szCs w:val="20"/>
    </w:rPr>
  </w:style>
  <w:style w:type="character" w:customStyle="1" w:styleId="186">
    <w:name w:val="普通(网站) 字符"/>
    <w:link w:val="93"/>
    <w:qFormat/>
    <w:locked/>
    <w:uiPriority w:val="99"/>
    <w:rPr>
      <w:rFonts w:ascii="宋体" w:hAnsi="宋体" w:eastAsia="宋体" w:cs="Times New Roman"/>
      <w:kern w:val="0"/>
      <w:sz w:val="24"/>
      <w:szCs w:val="20"/>
    </w:rPr>
  </w:style>
  <w:style w:type="character" w:customStyle="1" w:styleId="187">
    <w:name w:val="标题 字符"/>
    <w:basedOn w:val="106"/>
    <w:qFormat/>
    <w:uiPriority w:val="10"/>
    <w:rPr>
      <w:rFonts w:asciiTheme="majorHAnsi" w:hAnsiTheme="majorHAnsi" w:eastAsiaTheme="majorEastAsia" w:cstheme="majorBidi"/>
      <w:b/>
      <w:bCs/>
      <w:sz w:val="32"/>
      <w:szCs w:val="32"/>
    </w:rPr>
  </w:style>
  <w:style w:type="character" w:customStyle="1" w:styleId="188">
    <w:name w:val="标题 字符3"/>
    <w:link w:val="96"/>
    <w:qFormat/>
    <w:uiPriority w:val="10"/>
    <w:rPr>
      <w:rFonts w:ascii="Times New Roman" w:hAnsi="Times New Roman" w:eastAsia="宋体" w:cs="Times New Roman"/>
      <w:b/>
      <w:bCs/>
      <w:sz w:val="24"/>
      <w:szCs w:val="32"/>
    </w:rPr>
  </w:style>
  <w:style w:type="character" w:customStyle="1" w:styleId="189">
    <w:name w:val="批注主题 字符"/>
    <w:basedOn w:val="146"/>
    <w:semiHidden/>
    <w:qFormat/>
    <w:uiPriority w:val="99"/>
    <w:rPr>
      <w:rFonts w:ascii="Times New Roman" w:hAnsi="Times New Roman" w:eastAsia="宋体" w:cs="Times New Roman"/>
      <w:b/>
      <w:bCs/>
      <w:szCs w:val="24"/>
    </w:rPr>
  </w:style>
  <w:style w:type="character" w:customStyle="1" w:styleId="190">
    <w:name w:val="批注主题 字符1"/>
    <w:link w:val="97"/>
    <w:qFormat/>
    <w:locked/>
    <w:uiPriority w:val="99"/>
    <w:rPr>
      <w:rFonts w:ascii="Times New Roman" w:hAnsi="Times New Roman" w:eastAsia="宋体" w:cs="Times New Roman"/>
      <w:b/>
      <w:kern w:val="0"/>
      <w:sz w:val="24"/>
      <w:szCs w:val="20"/>
    </w:rPr>
  </w:style>
  <w:style w:type="character" w:customStyle="1" w:styleId="191">
    <w:name w:val="正文首行缩进 字符"/>
    <w:basedOn w:val="154"/>
    <w:qFormat/>
    <w:uiPriority w:val="99"/>
    <w:rPr>
      <w:rFonts w:ascii="Times New Roman" w:hAnsi="Times New Roman" w:eastAsia="宋体" w:cs="Times New Roman"/>
      <w:szCs w:val="24"/>
    </w:rPr>
  </w:style>
  <w:style w:type="character" w:customStyle="1" w:styleId="192">
    <w:name w:val="正文首行缩进 字符1"/>
    <w:link w:val="98"/>
    <w:qFormat/>
    <w:uiPriority w:val="0"/>
    <w:rPr>
      <w:rFonts w:ascii="Times New Roman" w:hAnsi="Times New Roman" w:eastAsia="Times New Roman" w:cs="Times New Roman"/>
      <w:sz w:val="24"/>
    </w:rPr>
  </w:style>
  <w:style w:type="character" w:customStyle="1" w:styleId="193">
    <w:name w:val="正文首行缩进 2 字符"/>
    <w:basedOn w:val="156"/>
    <w:qFormat/>
    <w:uiPriority w:val="0"/>
    <w:rPr>
      <w:rFonts w:ascii="Times New Roman" w:hAnsi="Times New Roman" w:eastAsia="宋体" w:cs="Times New Roman"/>
      <w:szCs w:val="24"/>
    </w:rPr>
  </w:style>
  <w:style w:type="character" w:customStyle="1" w:styleId="194">
    <w:name w:val="正文首行缩进 2 字符1"/>
    <w:link w:val="99"/>
    <w:qFormat/>
    <w:uiPriority w:val="0"/>
    <w:rPr>
      <w:rFonts w:ascii="Times New Roman" w:hAnsi="Times New Roman" w:eastAsia="宋体" w:cs="Times New Roman"/>
      <w:szCs w:val="21"/>
      <w:lang w:eastAsia="zh-TW"/>
    </w:rPr>
  </w:style>
  <w:style w:type="character" w:customStyle="1" w:styleId="195">
    <w:name w:val="正文文本 字符1"/>
    <w:semiHidden/>
    <w:qFormat/>
    <w:uiPriority w:val="1"/>
    <w:rPr>
      <w:rFonts w:ascii="Times New Roman" w:hAnsi="Times New Roman" w:eastAsia="宋体"/>
      <w:sz w:val="24"/>
    </w:rPr>
  </w:style>
  <w:style w:type="character" w:customStyle="1" w:styleId="196">
    <w:name w:val="表格 Char"/>
    <w:link w:val="197"/>
    <w:qFormat/>
    <w:locked/>
    <w:uiPriority w:val="0"/>
    <w:rPr>
      <w:rFonts w:ascii="宋体"/>
    </w:rPr>
  </w:style>
  <w:style w:type="paragraph" w:customStyle="1" w:styleId="197">
    <w:name w:val="表格"/>
    <w:basedOn w:val="1"/>
    <w:next w:val="1"/>
    <w:link w:val="196"/>
    <w:qFormat/>
    <w:uiPriority w:val="0"/>
    <w:pPr>
      <w:adjustRightInd w:val="0"/>
      <w:snapToGrid w:val="0"/>
      <w:spacing w:beforeLines="10" w:afterLines="10" w:line="259" w:lineRule="auto"/>
      <w:jc w:val="center"/>
    </w:pPr>
    <w:rPr>
      <w:rFonts w:ascii="宋体" w:hAnsiTheme="minorHAnsi" w:eastAsiaTheme="minorEastAsia" w:cstheme="minorBidi"/>
      <w:szCs w:val="22"/>
    </w:rPr>
  </w:style>
  <w:style w:type="character" w:customStyle="1" w:styleId="198">
    <w:name w:val="批注文字 字符1"/>
    <w:semiHidden/>
    <w:qFormat/>
    <w:uiPriority w:val="99"/>
    <w:rPr>
      <w:rFonts w:ascii="Times New Roman" w:hAnsi="Times New Roman" w:eastAsia="宋体"/>
      <w:sz w:val="24"/>
    </w:rPr>
  </w:style>
  <w:style w:type="paragraph" w:customStyle="1" w:styleId="199">
    <w:name w:val="正文_10"/>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00">
    <w:name w:val="普通(网站)2"/>
    <w:basedOn w:val="1"/>
    <w:qFormat/>
    <w:uiPriority w:val="0"/>
    <w:pPr>
      <w:widowControl/>
      <w:spacing w:before="100" w:beforeAutospacing="1" w:after="100" w:afterAutospacing="1"/>
      <w:jc w:val="left"/>
    </w:pPr>
    <w:rPr>
      <w:rFonts w:ascii="宋体" w:hAnsi="宋体"/>
      <w:sz w:val="24"/>
    </w:rPr>
  </w:style>
  <w:style w:type="character" w:customStyle="1" w:styleId="201">
    <w:name w:val="表格名称. Char Char"/>
    <w:link w:val="202"/>
    <w:qFormat/>
    <w:uiPriority w:val="0"/>
    <w:rPr>
      <w:rFonts w:eastAsia="黑体"/>
      <w:sz w:val="24"/>
      <w:szCs w:val="24"/>
    </w:rPr>
  </w:style>
  <w:style w:type="paragraph" w:customStyle="1" w:styleId="202">
    <w:name w:val="表格名称."/>
    <w:basedOn w:val="1"/>
    <w:link w:val="201"/>
    <w:qFormat/>
    <w:uiPriority w:val="0"/>
    <w:pPr>
      <w:keepNext/>
      <w:tabs>
        <w:tab w:val="left" w:pos="1260"/>
      </w:tabs>
      <w:spacing w:line="480" w:lineRule="exact"/>
      <w:jc w:val="center"/>
    </w:pPr>
    <w:rPr>
      <w:rFonts w:eastAsia="黑体" w:asciiTheme="minorHAnsi" w:hAnsiTheme="minorHAnsi" w:cstheme="minorBidi"/>
      <w:sz w:val="24"/>
    </w:rPr>
  </w:style>
  <w:style w:type="character" w:customStyle="1" w:styleId="203">
    <w:name w:val="宗兴正文 Char Char"/>
    <w:link w:val="204"/>
    <w:qFormat/>
    <w:uiPriority w:val="0"/>
    <w:rPr>
      <w:rFonts w:ascii="宋体" w:hAnsi="宋体"/>
      <w:sz w:val="24"/>
      <w:szCs w:val="24"/>
    </w:rPr>
  </w:style>
  <w:style w:type="paragraph" w:customStyle="1" w:styleId="204">
    <w:name w:val="宗兴正文"/>
    <w:basedOn w:val="1"/>
    <w:link w:val="203"/>
    <w:qFormat/>
    <w:uiPriority w:val="0"/>
    <w:pPr>
      <w:spacing w:before="93" w:after="93" w:line="360" w:lineRule="auto"/>
      <w:ind w:firstLine="480" w:firstLineChars="200"/>
      <w:jc w:val="left"/>
    </w:pPr>
    <w:rPr>
      <w:rFonts w:ascii="宋体" w:hAnsi="宋体" w:eastAsiaTheme="minorEastAsia" w:cstheme="minorBidi"/>
      <w:sz w:val="24"/>
    </w:rPr>
  </w:style>
  <w:style w:type="character" w:customStyle="1" w:styleId="205">
    <w:name w:val="fn org"/>
    <w:qFormat/>
    <w:uiPriority w:val="0"/>
  </w:style>
  <w:style w:type="character" w:customStyle="1" w:styleId="206">
    <w:name w:val="表格文字 Char1"/>
    <w:qFormat/>
    <w:uiPriority w:val="0"/>
    <w:rPr>
      <w:sz w:val="21"/>
      <w:szCs w:val="20"/>
    </w:rPr>
  </w:style>
  <w:style w:type="character" w:customStyle="1" w:styleId="207">
    <w:name w:val="表格字体 Char"/>
    <w:qFormat/>
    <w:uiPriority w:val="0"/>
    <w:rPr>
      <w:rFonts w:ascii="Arial" w:hAnsi="Arial" w:eastAsia="宋体" w:cs="宋体"/>
      <w:kern w:val="2"/>
      <w:sz w:val="21"/>
      <w:lang w:val="en-US" w:eastAsia="zh-CN" w:bidi="ar-SA"/>
    </w:rPr>
  </w:style>
  <w:style w:type="character" w:customStyle="1" w:styleId="208">
    <w:name w:val="样式 表格文字. + Times New Roman1 Char Char"/>
    <w:link w:val="209"/>
    <w:qFormat/>
    <w:uiPriority w:val="0"/>
  </w:style>
  <w:style w:type="paragraph" w:customStyle="1" w:styleId="209">
    <w:name w:val="样式 表格文字. + Times New Roman1"/>
    <w:basedOn w:val="210"/>
    <w:link w:val="208"/>
    <w:qFormat/>
    <w:uiPriority w:val="0"/>
    <w:pPr>
      <w:textAlignment w:val="center"/>
    </w:pPr>
    <w:rPr>
      <w:rFonts w:asciiTheme="minorHAnsi" w:hAnsiTheme="minorHAnsi" w:eastAsiaTheme="minorEastAsia" w:cstheme="minorBidi"/>
      <w:kern w:val="2"/>
      <w:sz w:val="21"/>
      <w:szCs w:val="22"/>
    </w:rPr>
  </w:style>
  <w:style w:type="paragraph" w:customStyle="1" w:styleId="210">
    <w:name w:val="表格文字."/>
    <w:basedOn w:val="1"/>
    <w:link w:val="211"/>
    <w:qFormat/>
    <w:uiPriority w:val="0"/>
    <w:pPr>
      <w:keepNext/>
      <w:autoSpaceDE w:val="0"/>
      <w:autoSpaceDN w:val="0"/>
      <w:adjustRightInd w:val="0"/>
      <w:jc w:val="center"/>
      <w:textAlignment w:val="baseline"/>
    </w:pPr>
    <w:rPr>
      <w:sz w:val="20"/>
    </w:rPr>
  </w:style>
  <w:style w:type="character" w:customStyle="1" w:styleId="211">
    <w:name w:val="表格文字. Char Char"/>
    <w:link w:val="210"/>
    <w:qFormat/>
    <w:uiPriority w:val="0"/>
    <w:rPr>
      <w:rFonts w:ascii="Times New Roman" w:hAnsi="Times New Roman" w:eastAsia="宋体" w:cs="Times New Roman"/>
      <w:kern w:val="0"/>
      <w:sz w:val="20"/>
      <w:szCs w:val="21"/>
    </w:rPr>
  </w:style>
  <w:style w:type="character" w:customStyle="1" w:styleId="212">
    <w:name w:val="报告 Char"/>
    <w:link w:val="213"/>
    <w:qFormat/>
    <w:locked/>
    <w:uiPriority w:val="0"/>
    <w:rPr>
      <w:sz w:val="24"/>
      <w:szCs w:val="24"/>
    </w:rPr>
  </w:style>
  <w:style w:type="paragraph" w:customStyle="1" w:styleId="213">
    <w:name w:val="报告"/>
    <w:basedOn w:val="1"/>
    <w:link w:val="212"/>
    <w:qFormat/>
    <w:uiPriority w:val="0"/>
    <w:pPr>
      <w:overflowPunct w:val="0"/>
      <w:autoSpaceDE w:val="0"/>
      <w:autoSpaceDN w:val="0"/>
      <w:adjustRightInd w:val="0"/>
      <w:spacing w:beforeLines="20" w:afterLines="20" w:line="440" w:lineRule="atLeast"/>
      <w:ind w:firstLine="200" w:firstLineChars="200"/>
      <w:textAlignment w:val="baseline"/>
    </w:pPr>
    <w:rPr>
      <w:rFonts w:asciiTheme="minorHAnsi" w:hAnsiTheme="minorHAnsi" w:eastAsiaTheme="minorEastAsia" w:cstheme="minorBidi"/>
      <w:sz w:val="24"/>
    </w:rPr>
  </w:style>
  <w:style w:type="character" w:customStyle="1" w:styleId="214">
    <w:name w:val="black91"/>
    <w:qFormat/>
    <w:uiPriority w:val="0"/>
    <w:rPr>
      <w:color w:val="000000"/>
      <w:sz w:val="18"/>
      <w:szCs w:val="18"/>
      <w:u w:val="none"/>
    </w:rPr>
  </w:style>
  <w:style w:type="character" w:customStyle="1" w:styleId="215">
    <w:name w:val="Char Char Char Char Char"/>
    <w:qFormat/>
    <w:uiPriority w:val="0"/>
    <w:rPr>
      <w:rFonts w:eastAsia="宋体"/>
      <w:b/>
      <w:sz w:val="21"/>
      <w:szCs w:val="21"/>
      <w:lang w:val="en-US" w:eastAsia="zh-CN" w:bidi="ar-SA"/>
    </w:rPr>
  </w:style>
  <w:style w:type="character" w:customStyle="1" w:styleId="216">
    <w:name w:val="二级标题 Char Char"/>
    <w:qFormat/>
    <w:uiPriority w:val="0"/>
    <w:rPr>
      <w:rFonts w:ascii="Arial" w:hAnsi="Arial" w:eastAsia="黑体"/>
      <w:kern w:val="2"/>
      <w:sz w:val="30"/>
      <w:szCs w:val="32"/>
      <w:lang w:val="en-US" w:eastAsia="zh-CN" w:bidi="ar-SA"/>
    </w:rPr>
  </w:style>
  <w:style w:type="character" w:customStyle="1" w:styleId="217">
    <w:name w:val="正文文本缩进 Char"/>
    <w:qFormat/>
    <w:uiPriority w:val="0"/>
    <w:rPr>
      <w:kern w:val="2"/>
      <w:sz w:val="21"/>
      <w:szCs w:val="21"/>
      <w:lang w:eastAsia="zh-TW"/>
    </w:rPr>
  </w:style>
  <w:style w:type="character" w:customStyle="1" w:styleId="218">
    <w:name w:val="样式 标题四. Char Char"/>
    <w:link w:val="219"/>
    <w:qFormat/>
    <w:uiPriority w:val="0"/>
    <w:rPr>
      <w:sz w:val="24"/>
      <w:szCs w:val="24"/>
    </w:rPr>
  </w:style>
  <w:style w:type="paragraph" w:customStyle="1" w:styleId="219">
    <w:name w:val="样式 标题四."/>
    <w:basedOn w:val="1"/>
    <w:link w:val="218"/>
    <w:qFormat/>
    <w:uiPriority w:val="0"/>
    <w:pPr>
      <w:keepNext/>
      <w:spacing w:line="480" w:lineRule="exact"/>
      <w:ind w:firstLine="471"/>
      <w:outlineLvl w:val="3"/>
    </w:pPr>
    <w:rPr>
      <w:rFonts w:asciiTheme="minorHAnsi" w:hAnsiTheme="minorHAnsi" w:eastAsiaTheme="minorEastAsia" w:cstheme="minorBidi"/>
      <w:sz w:val="24"/>
    </w:rPr>
  </w:style>
  <w:style w:type="character" w:customStyle="1" w:styleId="220">
    <w:name w:val="表格字体 Char Char"/>
    <w:link w:val="221"/>
    <w:qFormat/>
    <w:uiPriority w:val="0"/>
    <w:rPr>
      <w:rFonts w:ascii="Arial" w:hAnsi="Arial"/>
    </w:rPr>
  </w:style>
  <w:style w:type="paragraph" w:customStyle="1" w:styleId="221">
    <w:name w:val="表格字体"/>
    <w:basedOn w:val="1"/>
    <w:link w:val="220"/>
    <w:qFormat/>
    <w:uiPriority w:val="0"/>
    <w:pPr>
      <w:adjustRightInd w:val="0"/>
      <w:jc w:val="center"/>
      <w:textAlignment w:val="baseline"/>
    </w:pPr>
    <w:rPr>
      <w:rFonts w:ascii="Arial" w:hAnsi="Arial" w:eastAsiaTheme="minorEastAsia" w:cstheme="minorBidi"/>
      <w:szCs w:val="22"/>
    </w:rPr>
  </w:style>
  <w:style w:type="character" w:customStyle="1" w:styleId="222">
    <w:name w:val="标题3 Char Char"/>
    <w:qFormat/>
    <w:uiPriority w:val="0"/>
    <w:rPr>
      <w:b/>
      <w:bCs/>
      <w:kern w:val="2"/>
      <w:sz w:val="28"/>
      <w:szCs w:val="28"/>
    </w:rPr>
  </w:style>
  <w:style w:type="character" w:customStyle="1" w:styleId="223">
    <w:name w:val="Char Char Char1 Char Char"/>
    <w:link w:val="224"/>
    <w:qFormat/>
    <w:uiPriority w:val="0"/>
    <w:rPr>
      <w:sz w:val="24"/>
    </w:rPr>
  </w:style>
  <w:style w:type="paragraph" w:customStyle="1" w:styleId="224">
    <w:name w:val="Char Char Char1 Char"/>
    <w:basedOn w:val="1"/>
    <w:link w:val="223"/>
    <w:qFormat/>
    <w:uiPriority w:val="0"/>
    <w:pPr>
      <w:adjustRightInd w:val="0"/>
      <w:spacing w:line="360" w:lineRule="auto"/>
    </w:pPr>
    <w:rPr>
      <w:rFonts w:asciiTheme="minorHAnsi" w:hAnsiTheme="minorHAnsi" w:eastAsiaTheme="minorEastAsia" w:cstheme="minorBidi"/>
      <w:sz w:val="24"/>
      <w:szCs w:val="22"/>
    </w:rPr>
  </w:style>
  <w:style w:type="character" w:customStyle="1" w:styleId="225">
    <w:name w:val="表格标题新 Char"/>
    <w:link w:val="226"/>
    <w:qFormat/>
    <w:locked/>
    <w:uiPriority w:val="0"/>
    <w:rPr>
      <w:rFonts w:ascii="仿宋_GB2312" w:eastAsia="黑体"/>
      <w:b/>
      <w:color w:val="FF0000"/>
      <w:spacing w:val="4"/>
      <w:kern w:val="18"/>
      <w:sz w:val="24"/>
      <w:szCs w:val="24"/>
    </w:rPr>
  </w:style>
  <w:style w:type="paragraph" w:customStyle="1" w:styleId="226">
    <w:name w:val="表格标题新"/>
    <w:basedOn w:val="227"/>
    <w:link w:val="225"/>
    <w:qFormat/>
    <w:uiPriority w:val="0"/>
    <w:pPr>
      <w:tabs>
        <w:tab w:val="left" w:pos="0"/>
      </w:tabs>
      <w:spacing w:beforeLines="50"/>
      <w:ind w:firstLine="562"/>
    </w:pPr>
    <w:rPr>
      <w:rFonts w:eastAsia="黑体" w:hAnsiTheme="minorHAnsi" w:cstheme="minorBidi"/>
      <w:b/>
      <w:color w:val="FF0000"/>
    </w:rPr>
  </w:style>
  <w:style w:type="paragraph" w:customStyle="1" w:styleId="227">
    <w:name w:val="表格内文字"/>
    <w:basedOn w:val="1"/>
    <w:link w:val="228"/>
    <w:qFormat/>
    <w:uiPriority w:val="0"/>
    <w:pPr>
      <w:tabs>
        <w:tab w:val="left" w:pos="0"/>
      </w:tabs>
      <w:adjustRightInd w:val="0"/>
      <w:snapToGrid w:val="0"/>
      <w:jc w:val="center"/>
    </w:pPr>
    <w:rPr>
      <w:rFonts w:ascii="仿宋_GB2312" w:eastAsia="仿宋_GB2312"/>
      <w:spacing w:val="4"/>
      <w:kern w:val="18"/>
      <w:sz w:val="24"/>
    </w:rPr>
  </w:style>
  <w:style w:type="character" w:customStyle="1" w:styleId="228">
    <w:name w:val="表格内文字 Char"/>
    <w:link w:val="227"/>
    <w:qFormat/>
    <w:uiPriority w:val="0"/>
    <w:rPr>
      <w:rFonts w:ascii="仿宋_GB2312" w:hAnsi="Times New Roman" w:eastAsia="仿宋_GB2312" w:cs="Times New Roman"/>
      <w:spacing w:val="4"/>
      <w:kern w:val="18"/>
      <w:sz w:val="24"/>
      <w:szCs w:val="24"/>
    </w:rPr>
  </w:style>
  <w:style w:type="character" w:customStyle="1" w:styleId="229">
    <w:name w:val="正文文本缩进 Char1"/>
    <w:qFormat/>
    <w:uiPriority w:val="0"/>
  </w:style>
  <w:style w:type="character" w:customStyle="1" w:styleId="230">
    <w:name w:val="H5 Char"/>
    <w:qFormat/>
    <w:uiPriority w:val="0"/>
    <w:rPr>
      <w:rFonts w:ascii="Times New Roman" w:hAnsi="Times New Roman" w:eastAsia="宋体" w:cs="Times New Roman"/>
      <w:b/>
      <w:bCs/>
      <w:sz w:val="28"/>
      <w:szCs w:val="28"/>
    </w:rPr>
  </w:style>
  <w:style w:type="character" w:customStyle="1" w:styleId="231">
    <w:name w:val="尾注文本 Char1"/>
    <w:qFormat/>
    <w:uiPriority w:val="0"/>
    <w:rPr>
      <w:kern w:val="2"/>
      <w:sz w:val="21"/>
      <w:szCs w:val="21"/>
      <w:lang w:eastAsia="zh-TW"/>
    </w:rPr>
  </w:style>
  <w:style w:type="character" w:customStyle="1" w:styleId="232">
    <w:name w:val="表格000 Char Char"/>
    <w:qFormat/>
    <w:uiPriority w:val="0"/>
    <w:rPr>
      <w:kern w:val="11"/>
      <w:sz w:val="21"/>
      <w:szCs w:val="21"/>
    </w:rPr>
  </w:style>
  <w:style w:type="character" w:customStyle="1" w:styleId="233">
    <w:name w:val="默认段落字体 Para Char Char Char Char Char"/>
    <w:link w:val="234"/>
    <w:qFormat/>
    <w:uiPriority w:val="0"/>
    <w:rPr>
      <w:szCs w:val="24"/>
    </w:rPr>
  </w:style>
  <w:style w:type="paragraph" w:customStyle="1" w:styleId="234">
    <w:name w:val="默认段落字体 Para Char Char Char Char"/>
    <w:basedOn w:val="1"/>
    <w:link w:val="233"/>
    <w:qFormat/>
    <w:uiPriority w:val="0"/>
    <w:rPr>
      <w:rFonts w:asciiTheme="minorHAnsi" w:hAnsiTheme="minorHAnsi" w:eastAsiaTheme="minorEastAsia" w:cstheme="minorBidi"/>
    </w:rPr>
  </w:style>
  <w:style w:type="character" w:customStyle="1" w:styleId="235">
    <w:name w:val="font01"/>
    <w:qFormat/>
    <w:uiPriority w:val="0"/>
    <w:rPr>
      <w:rFonts w:hint="default" w:ascii="Times New Roman" w:hAnsi="Times New Roman" w:cs="Times New Roman"/>
      <w:color w:val="000000"/>
      <w:sz w:val="18"/>
      <w:szCs w:val="18"/>
      <w:u w:val="none"/>
    </w:rPr>
  </w:style>
  <w:style w:type="character" w:customStyle="1" w:styleId="236">
    <w:name w:val="A0"/>
    <w:qFormat/>
    <w:uiPriority w:val="0"/>
    <w:rPr>
      <w:rFonts w:cs="Sim Sun"/>
      <w:color w:val="000000"/>
      <w:sz w:val="28"/>
      <w:szCs w:val="28"/>
    </w:rPr>
  </w:style>
  <w:style w:type="character" w:customStyle="1" w:styleId="237">
    <w:name w:val="表格第一行 Char"/>
    <w:link w:val="238"/>
    <w:qFormat/>
    <w:locked/>
    <w:uiPriority w:val="0"/>
    <w:rPr>
      <w:szCs w:val="21"/>
    </w:rPr>
  </w:style>
  <w:style w:type="paragraph" w:customStyle="1" w:styleId="238">
    <w:name w:val="表格第一行"/>
    <w:basedOn w:val="1"/>
    <w:link w:val="237"/>
    <w:qFormat/>
    <w:uiPriority w:val="0"/>
    <w:pPr>
      <w:jc w:val="center"/>
    </w:pPr>
    <w:rPr>
      <w:rFonts w:asciiTheme="minorHAnsi" w:hAnsiTheme="minorHAnsi" w:eastAsiaTheme="minorEastAsia" w:cstheme="minorBidi"/>
    </w:rPr>
  </w:style>
  <w:style w:type="character" w:customStyle="1" w:styleId="239">
    <w:name w:val="样式 题注 + 黑色 Char"/>
    <w:link w:val="240"/>
    <w:qFormat/>
    <w:uiPriority w:val="0"/>
    <w:rPr>
      <w:rFonts w:ascii="宋体" w:hAnsi="宋体" w:cs="Arial"/>
      <w:color w:val="000000"/>
      <w:sz w:val="24"/>
    </w:rPr>
  </w:style>
  <w:style w:type="paragraph" w:customStyle="1" w:styleId="240">
    <w:name w:val="样式 题注 + 黑色"/>
    <w:basedOn w:val="35"/>
    <w:link w:val="239"/>
    <w:qFormat/>
    <w:uiPriority w:val="0"/>
    <w:pPr>
      <w:widowControl/>
      <w:adjustRightInd/>
      <w:snapToGrid w:val="0"/>
      <w:spacing w:before="152" w:after="160"/>
      <w:ind w:firstLine="475" w:firstLineChars="198"/>
      <w:textAlignment w:val="auto"/>
    </w:pPr>
    <w:rPr>
      <w:rFonts w:ascii="宋体" w:hAnsi="宋体" w:cs="Arial" w:eastAsiaTheme="minorEastAsia"/>
      <w:color w:val="000000"/>
      <w:sz w:val="24"/>
      <w:szCs w:val="22"/>
    </w:rPr>
  </w:style>
  <w:style w:type="character" w:customStyle="1" w:styleId="241">
    <w:name w:val="正文文本缩进 2 Char1"/>
    <w:qFormat/>
    <w:uiPriority w:val="0"/>
    <w:rPr>
      <w:rFonts w:hint="eastAsia" w:ascii="宋体" w:hAnsi="宋体" w:eastAsia="宋体" w:cs="宋体"/>
      <w:sz w:val="24"/>
      <w:szCs w:val="24"/>
    </w:rPr>
  </w:style>
  <w:style w:type="character" w:customStyle="1" w:styleId="242">
    <w:name w:val="font41"/>
    <w:qFormat/>
    <w:uiPriority w:val="0"/>
    <w:rPr>
      <w:rFonts w:hint="default" w:ascii="Times New Roman" w:hAnsi="Times New Roman" w:cs="Times New Roman"/>
      <w:b/>
      <w:bCs/>
      <w:color w:val="000000"/>
      <w:sz w:val="21"/>
      <w:szCs w:val="21"/>
      <w:u w:val="none"/>
    </w:rPr>
  </w:style>
  <w:style w:type="character" w:customStyle="1" w:styleId="243">
    <w:name w:val="样式 正 文 + Times New Roman Char Char"/>
    <w:link w:val="244"/>
    <w:qFormat/>
    <w:uiPriority w:val="0"/>
    <w:rPr>
      <w:rFonts w:ascii="Arial" w:hAnsi="Arial" w:eastAsia="Times New Roman"/>
      <w:sz w:val="24"/>
    </w:rPr>
  </w:style>
  <w:style w:type="paragraph" w:customStyle="1" w:styleId="244">
    <w:name w:val="样式 正 文 + Times New Roman"/>
    <w:basedOn w:val="245"/>
    <w:link w:val="243"/>
    <w:qFormat/>
    <w:uiPriority w:val="0"/>
    <w:rPr>
      <w:rFonts w:ascii="Arial" w:hAnsi="Arial" w:eastAsia="Times New Roman" w:cstheme="minorBidi"/>
    </w:rPr>
  </w:style>
  <w:style w:type="paragraph" w:customStyle="1" w:styleId="245">
    <w:name w:val="正 文"/>
    <w:link w:val="246"/>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character" w:customStyle="1" w:styleId="246">
    <w:name w:val="正 文 Char"/>
    <w:link w:val="245"/>
    <w:qFormat/>
    <w:uiPriority w:val="0"/>
    <w:rPr>
      <w:rFonts w:ascii="Times New Roman" w:hAnsi="Times New Roman" w:eastAsia="宋体" w:cs="Times New Roman"/>
      <w:sz w:val="24"/>
    </w:rPr>
  </w:style>
  <w:style w:type="character" w:customStyle="1" w:styleId="247">
    <w:name w:val="应正文 Char"/>
    <w:link w:val="248"/>
    <w:qFormat/>
    <w:uiPriority w:val="0"/>
    <w:rPr>
      <w:sz w:val="24"/>
      <w:szCs w:val="28"/>
    </w:rPr>
  </w:style>
  <w:style w:type="paragraph" w:customStyle="1" w:styleId="248">
    <w:name w:val="应正文"/>
    <w:basedOn w:val="1"/>
    <w:link w:val="247"/>
    <w:qFormat/>
    <w:uiPriority w:val="0"/>
    <w:pPr>
      <w:spacing w:line="360" w:lineRule="auto"/>
      <w:ind w:firstLine="200" w:firstLineChars="200"/>
    </w:pPr>
    <w:rPr>
      <w:rFonts w:asciiTheme="minorHAnsi" w:hAnsiTheme="minorHAnsi" w:eastAsiaTheme="minorEastAsia" w:cstheme="minorBidi"/>
      <w:sz w:val="24"/>
      <w:szCs w:val="28"/>
    </w:rPr>
  </w:style>
  <w:style w:type="character" w:customStyle="1" w:styleId="249">
    <w:name w:val="font51"/>
    <w:qFormat/>
    <w:uiPriority w:val="0"/>
    <w:rPr>
      <w:rFonts w:hint="eastAsia" w:ascii="宋体" w:hAnsi="宋体" w:eastAsia="宋体" w:cs="宋体"/>
      <w:b/>
      <w:color w:val="000000"/>
      <w:sz w:val="21"/>
      <w:szCs w:val="21"/>
      <w:u w:val="none"/>
    </w:rPr>
  </w:style>
  <w:style w:type="character" w:customStyle="1" w:styleId="250">
    <w:name w:val="style2"/>
    <w:qFormat/>
    <w:uiPriority w:val="0"/>
  </w:style>
  <w:style w:type="character" w:customStyle="1" w:styleId="251">
    <w:name w:val="宏文本 Char1"/>
    <w:qFormat/>
    <w:uiPriority w:val="0"/>
    <w:rPr>
      <w:rFonts w:ascii="Courier New" w:hAnsi="Courier New" w:cs="Courier New"/>
      <w:kern w:val="2"/>
      <w:sz w:val="24"/>
      <w:szCs w:val="24"/>
      <w:lang w:eastAsia="zh-TW"/>
    </w:rPr>
  </w:style>
  <w:style w:type="character" w:customStyle="1" w:styleId="252">
    <w:name w:val="font31"/>
    <w:qFormat/>
    <w:uiPriority w:val="0"/>
    <w:rPr>
      <w:rFonts w:hint="default" w:ascii="Times New Roman" w:hAnsi="Times New Roman" w:cs="Times New Roman"/>
      <w:b/>
      <w:color w:val="000000"/>
      <w:sz w:val="21"/>
      <w:szCs w:val="21"/>
      <w:u w:val="none"/>
    </w:rPr>
  </w:style>
  <w:style w:type="character" w:customStyle="1" w:styleId="253">
    <w:name w:val="图片 Char Char"/>
    <w:qFormat/>
    <w:uiPriority w:val="0"/>
    <w:rPr>
      <w:rFonts w:ascii="黑体" w:hAnsi="Arial" w:eastAsia="黑体"/>
      <w:snapToGrid w:val="0"/>
      <w:color w:val="000000"/>
      <w:sz w:val="24"/>
    </w:rPr>
  </w:style>
  <w:style w:type="character" w:customStyle="1" w:styleId="254">
    <w:name w:val="四级标题 Char Char"/>
    <w:qFormat/>
    <w:uiPriority w:val="0"/>
    <w:rPr>
      <w:rFonts w:ascii="Arial" w:hAnsi="Arial" w:eastAsia="宋体" w:cs="Times New Roman"/>
      <w:b/>
      <w:snapToGrid w:val="0"/>
      <w:kern w:val="2"/>
      <w:sz w:val="24"/>
      <w:szCs w:val="24"/>
      <w:lang w:val="zh-CN" w:eastAsia="zh-CN" w:bidi="ar-SA"/>
    </w:rPr>
  </w:style>
  <w:style w:type="character" w:customStyle="1" w:styleId="255">
    <w:name w:val="二级标题 Char"/>
    <w:link w:val="256"/>
    <w:qFormat/>
    <w:uiPriority w:val="0"/>
    <w:rPr>
      <w:b/>
      <w:bCs/>
      <w:sz w:val="32"/>
      <w:szCs w:val="32"/>
    </w:rPr>
  </w:style>
  <w:style w:type="paragraph" w:customStyle="1" w:styleId="256">
    <w:name w:val="二级标题"/>
    <w:basedOn w:val="1"/>
    <w:link w:val="255"/>
    <w:qFormat/>
    <w:uiPriority w:val="0"/>
    <w:pPr>
      <w:keepNext/>
      <w:adjustRightInd w:val="0"/>
      <w:snapToGrid w:val="0"/>
      <w:spacing w:beforeLines="50" w:afterLines="50" w:line="360" w:lineRule="auto"/>
      <w:ind w:left="418" w:hanging="418" w:hangingChars="130"/>
      <w:outlineLvl w:val="1"/>
    </w:pPr>
    <w:rPr>
      <w:rFonts w:asciiTheme="minorHAnsi" w:hAnsiTheme="minorHAnsi" w:eastAsiaTheme="minorEastAsia" w:cstheme="minorBidi"/>
      <w:b/>
      <w:bCs/>
      <w:sz w:val="32"/>
      <w:szCs w:val="32"/>
    </w:rPr>
  </w:style>
  <w:style w:type="character" w:customStyle="1" w:styleId="257">
    <w:name w:val="正文lly Char Char"/>
    <w:link w:val="258"/>
    <w:qFormat/>
    <w:uiPriority w:val="0"/>
    <w:rPr>
      <w:sz w:val="24"/>
      <w:szCs w:val="24"/>
    </w:rPr>
  </w:style>
  <w:style w:type="paragraph" w:customStyle="1" w:styleId="258">
    <w:name w:val="正文lly"/>
    <w:basedOn w:val="1"/>
    <w:next w:val="1"/>
    <w:link w:val="257"/>
    <w:qFormat/>
    <w:uiPriority w:val="0"/>
    <w:pPr>
      <w:adjustRightInd w:val="0"/>
      <w:snapToGrid w:val="0"/>
      <w:spacing w:line="360" w:lineRule="auto"/>
      <w:ind w:firstLine="480" w:firstLineChars="200"/>
    </w:pPr>
    <w:rPr>
      <w:rFonts w:asciiTheme="minorHAnsi" w:hAnsiTheme="minorHAnsi" w:eastAsiaTheme="minorEastAsia" w:cstheme="minorBidi"/>
      <w:sz w:val="24"/>
    </w:rPr>
  </w:style>
  <w:style w:type="character" w:customStyle="1" w:styleId="259">
    <w:name w:val="title14"/>
    <w:qFormat/>
    <w:uiPriority w:val="0"/>
  </w:style>
  <w:style w:type="character" w:customStyle="1" w:styleId="260">
    <w:name w:val="样式 Times New Roman 四号 行距: 固定值 25 磅 Char Char"/>
    <w:link w:val="261"/>
    <w:qFormat/>
    <w:uiPriority w:val="0"/>
    <w:rPr>
      <w:sz w:val="24"/>
      <w:szCs w:val="24"/>
    </w:rPr>
  </w:style>
  <w:style w:type="paragraph" w:customStyle="1" w:styleId="261">
    <w:name w:val="样式 Times New Roman 四号 行距: 固定值 25 磅"/>
    <w:basedOn w:val="1"/>
    <w:link w:val="260"/>
    <w:qFormat/>
    <w:uiPriority w:val="0"/>
    <w:pPr>
      <w:spacing w:line="500" w:lineRule="exact"/>
      <w:ind w:firstLine="480" w:firstLineChars="200"/>
      <w:jc w:val="center"/>
    </w:pPr>
    <w:rPr>
      <w:rFonts w:asciiTheme="minorHAnsi" w:hAnsiTheme="minorHAnsi" w:eastAsiaTheme="minorEastAsia" w:cstheme="minorBidi"/>
      <w:sz w:val="24"/>
    </w:rPr>
  </w:style>
  <w:style w:type="character" w:customStyle="1" w:styleId="262">
    <w:name w:val="标题 3 Char1"/>
    <w:qFormat/>
    <w:uiPriority w:val="0"/>
    <w:rPr>
      <w:rFonts w:ascii="黑体" w:hAnsi="宋体" w:eastAsia="黑体"/>
      <w:color w:val="000000"/>
      <w:kern w:val="2"/>
      <w:sz w:val="24"/>
      <w:szCs w:val="24"/>
      <w:lang w:val="en-US" w:eastAsia="zh-CN" w:bidi="ar-SA"/>
    </w:rPr>
  </w:style>
  <w:style w:type="character" w:customStyle="1" w:styleId="263">
    <w:name w:val="表格标题 Char Char"/>
    <w:qFormat/>
    <w:uiPriority w:val="0"/>
    <w:rPr>
      <w:rFonts w:ascii="仿宋_GB2312" w:eastAsia="仿宋_GB2312" w:cs="仿宋_GB2312"/>
      <w:color w:val="000000"/>
      <w:sz w:val="24"/>
      <w:szCs w:val="24"/>
      <w:lang w:val="zh-CN"/>
    </w:rPr>
  </w:style>
  <w:style w:type="character" w:customStyle="1" w:styleId="264">
    <w:name w:val="表头 Char Char Char Char"/>
    <w:link w:val="265"/>
    <w:qFormat/>
    <w:uiPriority w:val="0"/>
    <w:rPr>
      <w:rFonts w:eastAsia="黑体"/>
      <w:kern w:val="24"/>
      <w:sz w:val="24"/>
    </w:rPr>
  </w:style>
  <w:style w:type="paragraph" w:customStyle="1" w:styleId="265">
    <w:name w:val="表头 Char Char"/>
    <w:basedOn w:val="1"/>
    <w:link w:val="264"/>
    <w:qFormat/>
    <w:uiPriority w:val="0"/>
    <w:pPr>
      <w:tabs>
        <w:tab w:val="left" w:pos="1021"/>
      </w:tabs>
      <w:spacing w:before="60" w:line="400" w:lineRule="exact"/>
      <w:jc w:val="center"/>
    </w:pPr>
    <w:rPr>
      <w:rFonts w:eastAsia="黑体" w:asciiTheme="minorHAnsi" w:hAnsiTheme="minorHAnsi" w:cstheme="minorBidi"/>
      <w:kern w:val="24"/>
      <w:sz w:val="24"/>
      <w:szCs w:val="22"/>
    </w:rPr>
  </w:style>
  <w:style w:type="character" w:customStyle="1" w:styleId="266">
    <w:name w:val="电子邮件签名 Char1"/>
    <w:qFormat/>
    <w:uiPriority w:val="0"/>
    <w:rPr>
      <w:kern w:val="2"/>
      <w:sz w:val="21"/>
      <w:szCs w:val="21"/>
      <w:lang w:eastAsia="zh-TW"/>
    </w:rPr>
  </w:style>
  <w:style w:type="character" w:customStyle="1" w:styleId="267">
    <w:name w:val="clsfontdeepgray12"/>
    <w:qFormat/>
    <w:uiPriority w:val="0"/>
  </w:style>
  <w:style w:type="character" w:customStyle="1" w:styleId="268">
    <w:name w:val="未处理的提及1"/>
    <w:unhideWhenUsed/>
    <w:qFormat/>
    <w:uiPriority w:val="99"/>
    <w:rPr>
      <w:color w:val="605E5C"/>
      <w:shd w:val="clear" w:color="auto" w:fill="E1DFDD"/>
    </w:rPr>
  </w:style>
  <w:style w:type="character" w:customStyle="1" w:styleId="269">
    <w:name w:val="表格名称+ Char Char"/>
    <w:link w:val="270"/>
    <w:qFormat/>
    <w:uiPriority w:val="0"/>
  </w:style>
  <w:style w:type="paragraph" w:customStyle="1" w:styleId="270">
    <w:name w:val="表格名称+"/>
    <w:basedOn w:val="271"/>
    <w:link w:val="269"/>
    <w:qFormat/>
    <w:uiPriority w:val="0"/>
    <w:rPr>
      <w:rFonts w:asciiTheme="minorHAnsi" w:hAnsiTheme="minorHAnsi" w:eastAsiaTheme="minorEastAsia" w:cstheme="minorBidi"/>
      <w:snapToGrid/>
      <w:kern w:val="2"/>
      <w:sz w:val="21"/>
      <w:szCs w:val="22"/>
      <w:lang w:val="en-US"/>
    </w:rPr>
  </w:style>
  <w:style w:type="paragraph" w:customStyle="1" w:styleId="271">
    <w:name w:val="表格名称"/>
    <w:basedOn w:val="1"/>
    <w:link w:val="272"/>
    <w:qFormat/>
    <w:uiPriority w:val="0"/>
    <w:pPr>
      <w:widowControl/>
      <w:wordWrap w:val="0"/>
      <w:topLinePunct/>
      <w:adjustRightInd w:val="0"/>
      <w:snapToGrid w:val="0"/>
      <w:spacing w:line="480" w:lineRule="exact"/>
      <w:ind w:firstLine="471"/>
    </w:pPr>
    <w:rPr>
      <w:rFonts w:eastAsia="黑体"/>
      <w:snapToGrid w:val="0"/>
      <w:kern w:val="28"/>
      <w:sz w:val="24"/>
      <w:lang w:val="eu-ES"/>
    </w:rPr>
  </w:style>
  <w:style w:type="character" w:customStyle="1" w:styleId="272">
    <w:name w:val="表格名称 Char Char"/>
    <w:link w:val="271"/>
    <w:qFormat/>
    <w:uiPriority w:val="0"/>
    <w:rPr>
      <w:rFonts w:ascii="Times New Roman" w:hAnsi="Times New Roman" w:eastAsia="黑体" w:cs="Times New Roman"/>
      <w:snapToGrid w:val="0"/>
      <w:kern w:val="28"/>
      <w:sz w:val="24"/>
      <w:szCs w:val="24"/>
      <w:lang w:val="eu-ES"/>
    </w:rPr>
  </w:style>
  <w:style w:type="character" w:customStyle="1" w:styleId="273">
    <w:name w:val="表格000 Char"/>
    <w:link w:val="274"/>
    <w:qFormat/>
    <w:uiPriority w:val="0"/>
    <w:rPr>
      <w:rFonts w:hAnsi="宋体"/>
      <w:color w:val="000000"/>
      <w:szCs w:val="21"/>
    </w:rPr>
  </w:style>
  <w:style w:type="paragraph" w:customStyle="1" w:styleId="274">
    <w:name w:val="表格000"/>
    <w:basedOn w:val="1"/>
    <w:link w:val="273"/>
    <w:qFormat/>
    <w:uiPriority w:val="0"/>
    <w:pPr>
      <w:adjustRightInd w:val="0"/>
      <w:snapToGrid w:val="0"/>
      <w:jc w:val="center"/>
    </w:pPr>
    <w:rPr>
      <w:rFonts w:hAnsi="宋体" w:asciiTheme="minorHAnsi" w:eastAsiaTheme="minorEastAsia" w:cstheme="minorBidi"/>
      <w:color w:val="000000"/>
    </w:rPr>
  </w:style>
  <w:style w:type="character" w:customStyle="1" w:styleId="275">
    <w:name w:val="正文文本 3 Char1"/>
    <w:qFormat/>
    <w:uiPriority w:val="0"/>
    <w:rPr>
      <w:kern w:val="2"/>
      <w:sz w:val="16"/>
      <w:szCs w:val="16"/>
      <w:lang w:eastAsia="zh-TW"/>
    </w:rPr>
  </w:style>
  <w:style w:type="character" w:customStyle="1" w:styleId="276">
    <w:name w:val="日期 Char"/>
    <w:qFormat/>
    <w:uiPriority w:val="0"/>
    <w:rPr>
      <w:kern w:val="2"/>
      <w:sz w:val="21"/>
    </w:rPr>
  </w:style>
  <w:style w:type="character" w:customStyle="1" w:styleId="277">
    <w:name w:val="正文样式 Char"/>
    <w:link w:val="278"/>
    <w:qFormat/>
    <w:uiPriority w:val="0"/>
    <w:rPr>
      <w:rFonts w:ascii="宋体"/>
      <w:sz w:val="24"/>
      <w:lang w:val="en-GB"/>
    </w:rPr>
  </w:style>
  <w:style w:type="paragraph" w:customStyle="1" w:styleId="278">
    <w:name w:val="正文样式"/>
    <w:basedOn w:val="1"/>
    <w:link w:val="277"/>
    <w:qFormat/>
    <w:uiPriority w:val="0"/>
    <w:pPr>
      <w:spacing w:line="312" w:lineRule="auto"/>
      <w:ind w:firstLine="230" w:firstLineChars="230"/>
    </w:pPr>
    <w:rPr>
      <w:rFonts w:ascii="宋体" w:hAnsiTheme="minorHAnsi" w:eastAsiaTheme="minorEastAsia" w:cstheme="minorBidi"/>
      <w:sz w:val="24"/>
      <w:szCs w:val="22"/>
      <w:lang w:val="en-GB"/>
    </w:rPr>
  </w:style>
  <w:style w:type="character" w:customStyle="1" w:styleId="279">
    <w:name w:val="正文. Char Char"/>
    <w:link w:val="280"/>
    <w:qFormat/>
    <w:uiPriority w:val="0"/>
    <w:rPr>
      <w:rFonts w:hAnsi="t"/>
      <w:sz w:val="24"/>
    </w:rPr>
  </w:style>
  <w:style w:type="paragraph" w:customStyle="1" w:styleId="280">
    <w:name w:val="正文."/>
    <w:basedOn w:val="245"/>
    <w:link w:val="279"/>
    <w:qFormat/>
    <w:uiPriority w:val="0"/>
    <w:rPr>
      <w:rFonts w:hAnsi="t" w:asciiTheme="minorHAnsi" w:eastAsiaTheme="minorEastAsia" w:cstheme="minorBidi"/>
    </w:rPr>
  </w:style>
  <w:style w:type="character" w:customStyle="1" w:styleId="281">
    <w:name w:val="font21"/>
    <w:qFormat/>
    <w:uiPriority w:val="0"/>
    <w:rPr>
      <w:rFonts w:hint="default" w:ascii="Times New Roman" w:hAnsi="Times New Roman" w:cs="Times New Roman"/>
      <w:color w:val="000000"/>
      <w:sz w:val="21"/>
      <w:szCs w:val="21"/>
      <w:u w:val="none"/>
    </w:rPr>
  </w:style>
  <w:style w:type="character" w:customStyle="1" w:styleId="282">
    <w:name w:val="word21"/>
    <w:qFormat/>
    <w:uiPriority w:val="0"/>
    <w:rPr>
      <w:color w:val="000000"/>
      <w:sz w:val="18"/>
      <w:u w:val="none"/>
    </w:rPr>
  </w:style>
  <w:style w:type="character" w:customStyle="1" w:styleId="283">
    <w:name w:val="样式4 Char"/>
    <w:link w:val="284"/>
    <w:qFormat/>
    <w:uiPriority w:val="0"/>
    <w:rPr>
      <w:sz w:val="24"/>
      <w:szCs w:val="24"/>
    </w:rPr>
  </w:style>
  <w:style w:type="paragraph" w:customStyle="1" w:styleId="284">
    <w:name w:val="样式4"/>
    <w:basedOn w:val="1"/>
    <w:link w:val="283"/>
    <w:qFormat/>
    <w:uiPriority w:val="0"/>
    <w:pPr>
      <w:spacing w:line="360" w:lineRule="auto"/>
      <w:ind w:firstLine="480"/>
    </w:pPr>
    <w:rPr>
      <w:rFonts w:asciiTheme="minorHAnsi" w:hAnsiTheme="minorHAnsi" w:eastAsiaTheme="minorEastAsia" w:cstheme="minorBidi"/>
      <w:sz w:val="24"/>
    </w:rPr>
  </w:style>
  <w:style w:type="character" w:customStyle="1" w:styleId="285">
    <w:name w:val="tupian Char"/>
    <w:link w:val="286"/>
    <w:qFormat/>
    <w:uiPriority w:val="0"/>
    <w:rPr>
      <w:rFonts w:ascii="Arial" w:hAnsi="黑体" w:eastAsia="黑体" w:cs="Arial"/>
      <w:sz w:val="24"/>
      <w:szCs w:val="24"/>
    </w:rPr>
  </w:style>
  <w:style w:type="paragraph" w:customStyle="1" w:styleId="286">
    <w:name w:val="tupian"/>
    <w:basedOn w:val="1"/>
    <w:link w:val="285"/>
    <w:qFormat/>
    <w:uiPriority w:val="0"/>
    <w:pPr>
      <w:ind w:firstLine="471"/>
      <w:jc w:val="center"/>
    </w:pPr>
    <w:rPr>
      <w:rFonts w:ascii="Arial" w:hAnsi="黑体" w:eastAsia="黑体" w:cs="Arial"/>
      <w:sz w:val="24"/>
    </w:rPr>
  </w:style>
  <w:style w:type="character" w:customStyle="1" w:styleId="287">
    <w:name w:val="报告表格内中 Char Char"/>
    <w:link w:val="288"/>
    <w:qFormat/>
    <w:uiPriority w:val="0"/>
    <w:rPr>
      <w:rFonts w:ascii="宋体" w:hAnsi="宋体"/>
      <w:sz w:val="24"/>
      <w:szCs w:val="24"/>
    </w:rPr>
  </w:style>
  <w:style w:type="paragraph" w:customStyle="1" w:styleId="288">
    <w:name w:val="报告表格内中"/>
    <w:basedOn w:val="1"/>
    <w:link w:val="287"/>
    <w:qFormat/>
    <w:uiPriority w:val="0"/>
    <w:pPr>
      <w:adjustRightInd w:val="0"/>
      <w:spacing w:before="100" w:beforeAutospacing="1"/>
      <w:jc w:val="center"/>
      <w:textAlignment w:val="baseline"/>
    </w:pPr>
    <w:rPr>
      <w:rFonts w:ascii="宋体" w:hAnsi="宋体" w:eastAsiaTheme="minorEastAsia" w:cstheme="minorBidi"/>
      <w:sz w:val="24"/>
    </w:rPr>
  </w:style>
  <w:style w:type="character" w:customStyle="1" w:styleId="289">
    <w:name w:val="样式 小四 首行缩进:  0.85 厘米 行距: 1.5 倍行距 Char"/>
    <w:qFormat/>
    <w:uiPriority w:val="0"/>
    <w:rPr>
      <w:rFonts w:cs="宋体"/>
      <w:kern w:val="2"/>
      <w:sz w:val="24"/>
      <w:lang w:val="en-US" w:eastAsia="zh-CN" w:bidi="ar-SA"/>
    </w:rPr>
  </w:style>
  <w:style w:type="character" w:customStyle="1" w:styleId="290">
    <w:name w:val="表格题名 Char Char"/>
    <w:link w:val="291"/>
    <w:qFormat/>
    <w:uiPriority w:val="0"/>
    <w:rPr>
      <w:rFonts w:ascii="黑体" w:eastAsia="黑体"/>
      <w:b/>
    </w:rPr>
  </w:style>
  <w:style w:type="paragraph" w:customStyle="1" w:styleId="291">
    <w:name w:val="表格题名"/>
    <w:basedOn w:val="1"/>
    <w:link w:val="290"/>
    <w:qFormat/>
    <w:uiPriority w:val="0"/>
    <w:pPr>
      <w:adjustRightInd w:val="0"/>
      <w:jc w:val="center"/>
    </w:pPr>
    <w:rPr>
      <w:rFonts w:ascii="黑体" w:eastAsia="黑体" w:hAnsiTheme="minorHAnsi" w:cstheme="minorBidi"/>
      <w:b/>
      <w:szCs w:val="22"/>
    </w:rPr>
  </w:style>
  <w:style w:type="character" w:customStyle="1" w:styleId="292">
    <w:name w:val="正文文本 Char1"/>
    <w:qFormat/>
    <w:uiPriority w:val="0"/>
    <w:rPr>
      <w:rFonts w:ascii="Times New Roman" w:hAnsi="Times New Roman" w:eastAsia="宋体" w:cs="Times New Roman"/>
      <w:szCs w:val="21"/>
      <w:lang w:eastAsia="zh-TW"/>
    </w:rPr>
  </w:style>
  <w:style w:type="character" w:customStyle="1" w:styleId="293">
    <w:name w:val="txt021"/>
    <w:qFormat/>
    <w:uiPriority w:val="0"/>
    <w:rPr>
      <w:color w:val="333333"/>
      <w:sz w:val="18"/>
      <w:szCs w:val="18"/>
      <w:u w:val="none"/>
    </w:rPr>
  </w:style>
  <w:style w:type="character" w:customStyle="1" w:styleId="294">
    <w:name w:val="123 Char Char"/>
    <w:link w:val="295"/>
    <w:qFormat/>
    <w:uiPriority w:val="0"/>
    <w:rPr>
      <w:rFonts w:hAnsi="宋体"/>
      <w:sz w:val="24"/>
      <w:szCs w:val="24"/>
    </w:rPr>
  </w:style>
  <w:style w:type="paragraph" w:customStyle="1" w:styleId="295">
    <w:name w:val="123"/>
    <w:basedOn w:val="1"/>
    <w:link w:val="294"/>
    <w:qFormat/>
    <w:uiPriority w:val="0"/>
    <w:pPr>
      <w:spacing w:line="480" w:lineRule="exact"/>
      <w:ind w:firstLine="480" w:firstLineChars="200"/>
      <w:jc w:val="center"/>
    </w:pPr>
    <w:rPr>
      <w:rFonts w:hAnsi="宋体" w:asciiTheme="minorHAnsi" w:eastAsiaTheme="minorEastAsia" w:cstheme="minorBidi"/>
      <w:sz w:val="24"/>
    </w:rPr>
  </w:style>
  <w:style w:type="character" w:customStyle="1" w:styleId="296">
    <w:name w:val="签名 Char1"/>
    <w:qFormat/>
    <w:uiPriority w:val="0"/>
    <w:rPr>
      <w:kern w:val="2"/>
      <w:sz w:val="21"/>
      <w:szCs w:val="21"/>
      <w:lang w:eastAsia="zh-TW"/>
    </w:rPr>
  </w:style>
  <w:style w:type="character" w:customStyle="1" w:styleId="297">
    <w:name w:val="color1"/>
    <w:qFormat/>
    <w:uiPriority w:val="0"/>
    <w:rPr>
      <w:color w:val="333333"/>
    </w:rPr>
  </w:style>
  <w:style w:type="character" w:customStyle="1" w:styleId="298">
    <w:name w:val="表格文字1 Char Char"/>
    <w:link w:val="299"/>
    <w:qFormat/>
    <w:uiPriority w:val="0"/>
    <w:rPr>
      <w:rFonts w:ascii="Arial" w:hAnsi="Arial"/>
      <w:color w:val="000000"/>
      <w:kern w:val="28"/>
      <w:szCs w:val="21"/>
      <w:lang w:val="eu-ES"/>
    </w:rPr>
  </w:style>
  <w:style w:type="paragraph" w:customStyle="1" w:styleId="299">
    <w:name w:val="表格文字1"/>
    <w:basedOn w:val="1"/>
    <w:link w:val="298"/>
    <w:qFormat/>
    <w:uiPriority w:val="0"/>
    <w:pPr>
      <w:adjustRightInd w:val="0"/>
      <w:snapToGrid w:val="0"/>
      <w:spacing w:line="360" w:lineRule="auto"/>
      <w:jc w:val="center"/>
    </w:pPr>
    <w:rPr>
      <w:rFonts w:ascii="Arial" w:hAnsi="Arial" w:eastAsiaTheme="minorEastAsia" w:cstheme="minorBidi"/>
      <w:color w:val="000000"/>
      <w:kern w:val="28"/>
      <w:lang w:val="eu-ES"/>
    </w:rPr>
  </w:style>
  <w:style w:type="character" w:customStyle="1" w:styleId="300">
    <w:name w:val="结束语 Char1"/>
    <w:qFormat/>
    <w:uiPriority w:val="0"/>
    <w:rPr>
      <w:kern w:val="2"/>
      <w:sz w:val="21"/>
      <w:szCs w:val="21"/>
      <w:lang w:eastAsia="zh-TW"/>
    </w:rPr>
  </w:style>
  <w:style w:type="character" w:customStyle="1" w:styleId="301">
    <w:name w:val="pass"/>
    <w:qFormat/>
    <w:uiPriority w:val="0"/>
    <w:rPr>
      <w:color w:val="D50512"/>
    </w:rPr>
  </w:style>
  <w:style w:type="character" w:customStyle="1" w:styleId="302">
    <w:name w:val="样式 表格文字 + Char Char"/>
    <w:link w:val="303"/>
    <w:qFormat/>
    <w:uiPriority w:val="0"/>
    <w:rPr>
      <w:color w:val="000000"/>
      <w:szCs w:val="21"/>
      <w:lang w:val="eu-ES"/>
    </w:rPr>
  </w:style>
  <w:style w:type="paragraph" w:customStyle="1" w:styleId="303">
    <w:name w:val="样式 表格文字 +"/>
    <w:basedOn w:val="4"/>
    <w:link w:val="302"/>
    <w:qFormat/>
    <w:uiPriority w:val="0"/>
    <w:pPr>
      <w:adjustRightInd w:val="0"/>
      <w:snapToGrid w:val="0"/>
      <w:spacing w:line="360" w:lineRule="auto"/>
      <w:jc w:val="center"/>
    </w:pPr>
    <w:rPr>
      <w:rFonts w:asciiTheme="minorHAnsi" w:hAnsiTheme="minorHAnsi" w:eastAsiaTheme="minorEastAsia" w:cstheme="minorBidi"/>
      <w:color w:val="000000"/>
      <w:lang w:val="eu-ES" w:eastAsia="zh-CN"/>
    </w:rPr>
  </w:style>
  <w:style w:type="character" w:customStyle="1" w:styleId="304">
    <w:name w:val="表格正文 Char"/>
    <w:qFormat/>
    <w:uiPriority w:val="0"/>
    <w:rPr>
      <w:rFonts w:eastAsia="宋体"/>
      <w:kern w:val="2"/>
      <w:sz w:val="21"/>
      <w:szCs w:val="24"/>
      <w:lang w:val="en-US" w:eastAsia="zh-CN" w:bidi="ar-SA"/>
    </w:rPr>
  </w:style>
  <w:style w:type="character" w:customStyle="1" w:styleId="305">
    <w:name w:val="even Char Char"/>
    <w:qFormat/>
    <w:uiPriority w:val="0"/>
    <w:rPr>
      <w:sz w:val="18"/>
      <w:szCs w:val="18"/>
    </w:rPr>
  </w:style>
  <w:style w:type="character" w:customStyle="1" w:styleId="306">
    <w:name w:val="明显引用 Char1"/>
    <w:qFormat/>
    <w:uiPriority w:val="99"/>
    <w:rPr>
      <w:b/>
      <w:bCs/>
      <w:i/>
      <w:iCs/>
      <w:color w:val="4F81BD"/>
      <w:kern w:val="2"/>
      <w:sz w:val="21"/>
      <w:szCs w:val="21"/>
      <w:lang w:eastAsia="zh-TW"/>
    </w:rPr>
  </w:style>
  <w:style w:type="character" w:customStyle="1" w:styleId="307">
    <w:name w:val="正文 + 首行缩进:  2 字符 Char"/>
    <w:link w:val="308"/>
    <w:qFormat/>
    <w:uiPriority w:val="0"/>
    <w:rPr>
      <w:rFonts w:cs="宋体"/>
      <w:sz w:val="24"/>
    </w:rPr>
  </w:style>
  <w:style w:type="paragraph" w:customStyle="1" w:styleId="308">
    <w:name w:val="正文 + 首行缩进:  2 字符"/>
    <w:basedOn w:val="1"/>
    <w:link w:val="307"/>
    <w:qFormat/>
    <w:uiPriority w:val="0"/>
    <w:pPr>
      <w:spacing w:line="360" w:lineRule="auto"/>
      <w:ind w:firstLine="480" w:firstLineChars="200"/>
    </w:pPr>
    <w:rPr>
      <w:rFonts w:cs="宋体" w:asciiTheme="minorHAnsi" w:hAnsiTheme="minorHAnsi" w:eastAsiaTheme="minorEastAsia"/>
      <w:sz w:val="24"/>
      <w:szCs w:val="22"/>
    </w:rPr>
  </w:style>
  <w:style w:type="character" w:customStyle="1" w:styleId="309">
    <w:name w:val="font71"/>
    <w:qFormat/>
    <w:uiPriority w:val="0"/>
    <w:rPr>
      <w:rFonts w:hint="eastAsia" w:ascii="宋体" w:hAnsi="宋体" w:eastAsia="宋体"/>
      <w:b/>
      <w:bCs/>
      <w:color w:val="000000"/>
      <w:sz w:val="20"/>
      <w:szCs w:val="20"/>
      <w:u w:val="none"/>
    </w:rPr>
  </w:style>
  <w:style w:type="character" w:customStyle="1" w:styleId="310">
    <w:name w:val="表格正式格式 Char Char"/>
    <w:link w:val="311"/>
    <w:qFormat/>
    <w:uiPriority w:val="0"/>
    <w:rPr>
      <w:szCs w:val="21"/>
    </w:rPr>
  </w:style>
  <w:style w:type="paragraph" w:customStyle="1" w:styleId="311">
    <w:name w:val="表格正式格式"/>
    <w:basedOn w:val="1"/>
    <w:link w:val="310"/>
    <w:qFormat/>
    <w:uiPriority w:val="0"/>
    <w:pPr>
      <w:adjustRightInd w:val="0"/>
      <w:snapToGrid w:val="0"/>
      <w:spacing w:line="300" w:lineRule="auto"/>
      <w:jc w:val="center"/>
      <w:textAlignment w:val="baseline"/>
    </w:pPr>
    <w:rPr>
      <w:rFonts w:asciiTheme="minorHAnsi" w:hAnsiTheme="minorHAnsi" w:eastAsiaTheme="minorEastAsia" w:cstheme="minorBidi"/>
    </w:rPr>
  </w:style>
  <w:style w:type="character" w:customStyle="1" w:styleId="312">
    <w:name w:val="正文 xie Char Char"/>
    <w:link w:val="313"/>
    <w:qFormat/>
    <w:uiPriority w:val="0"/>
    <w:rPr>
      <w:bCs/>
      <w:sz w:val="24"/>
      <w:szCs w:val="21"/>
    </w:rPr>
  </w:style>
  <w:style w:type="paragraph" w:customStyle="1" w:styleId="313">
    <w:name w:val="正文 xie"/>
    <w:basedOn w:val="1"/>
    <w:link w:val="312"/>
    <w:qFormat/>
    <w:uiPriority w:val="0"/>
    <w:pPr>
      <w:spacing w:line="480" w:lineRule="exact"/>
      <w:ind w:firstLine="480"/>
      <w:jc w:val="center"/>
    </w:pPr>
    <w:rPr>
      <w:rFonts w:asciiTheme="minorHAnsi" w:hAnsiTheme="minorHAnsi" w:eastAsiaTheme="minorEastAsia" w:cstheme="minorBidi"/>
      <w:bCs/>
      <w:sz w:val="24"/>
    </w:rPr>
  </w:style>
  <w:style w:type="character" w:customStyle="1" w:styleId="314">
    <w:name w:val="公式 Char"/>
    <w:qFormat/>
    <w:uiPriority w:val="0"/>
    <w:rPr>
      <w:rFonts w:ascii="宋体"/>
      <w:sz w:val="24"/>
    </w:rPr>
  </w:style>
  <w:style w:type="character" w:customStyle="1" w:styleId="315">
    <w:name w:val="正文首行缩进 Char1"/>
    <w:qFormat/>
    <w:uiPriority w:val="0"/>
  </w:style>
  <w:style w:type="character" w:customStyle="1" w:styleId="316">
    <w:name w:val="正文文本 Char"/>
    <w:qFormat/>
    <w:uiPriority w:val="99"/>
    <w:rPr>
      <w:rFonts w:ascii="Calibri" w:hAnsi="Calibri"/>
      <w:kern w:val="2"/>
      <w:sz w:val="21"/>
      <w:szCs w:val="21"/>
      <w:lang w:eastAsia="zh-TW"/>
    </w:rPr>
  </w:style>
  <w:style w:type="character" w:customStyle="1" w:styleId="317">
    <w:name w:val="批注文字 Char"/>
    <w:qFormat/>
    <w:uiPriority w:val="0"/>
    <w:rPr>
      <w:rFonts w:ascii="Calibri" w:hAnsi="Calibri"/>
      <w:kern w:val="2"/>
      <w:sz w:val="21"/>
      <w:szCs w:val="21"/>
      <w:lang w:eastAsia="zh-TW"/>
    </w:rPr>
  </w:style>
  <w:style w:type="character" w:customStyle="1" w:styleId="318">
    <w:name w:val="样式 第3级标题 + (中文) 宋体 Char Char"/>
    <w:link w:val="319"/>
    <w:qFormat/>
    <w:uiPriority w:val="0"/>
    <w:rPr>
      <w:b/>
      <w:bCs/>
      <w:sz w:val="30"/>
      <w:szCs w:val="30"/>
    </w:rPr>
  </w:style>
  <w:style w:type="paragraph" w:customStyle="1" w:styleId="319">
    <w:name w:val="样式 第3级标题 + (中文) 宋体"/>
    <w:basedOn w:val="1"/>
    <w:link w:val="318"/>
    <w:qFormat/>
    <w:uiPriority w:val="0"/>
    <w:pPr>
      <w:keepNext/>
      <w:keepLines/>
      <w:tabs>
        <w:tab w:val="left" w:pos="720"/>
      </w:tabs>
      <w:spacing w:beforeLines="50" w:afterLines="50" w:line="440" w:lineRule="exact"/>
      <w:ind w:left="720" w:hanging="720"/>
      <w:outlineLvl w:val="2"/>
    </w:pPr>
    <w:rPr>
      <w:rFonts w:asciiTheme="minorHAnsi" w:hAnsiTheme="minorHAnsi" w:eastAsiaTheme="minorEastAsia" w:cstheme="minorBidi"/>
      <w:b/>
      <w:bCs/>
      <w:sz w:val="30"/>
      <w:szCs w:val="30"/>
    </w:rPr>
  </w:style>
  <w:style w:type="character" w:customStyle="1" w:styleId="320">
    <w:name w:val="信息标题 Char1"/>
    <w:qFormat/>
    <w:uiPriority w:val="0"/>
    <w:rPr>
      <w:rFonts w:ascii="Cambria" w:hAnsi="Cambria" w:eastAsia="宋体" w:cs="Times New Roman"/>
      <w:kern w:val="2"/>
      <w:sz w:val="24"/>
      <w:szCs w:val="24"/>
      <w:shd w:val="pct20" w:color="auto" w:fill="auto"/>
      <w:lang w:eastAsia="zh-TW"/>
    </w:rPr>
  </w:style>
  <w:style w:type="character" w:customStyle="1" w:styleId="321">
    <w:name w:val="表名 Char"/>
    <w:link w:val="322"/>
    <w:qFormat/>
    <w:uiPriority w:val="0"/>
    <w:rPr>
      <w:rFonts w:hAnsi="宋体"/>
      <w:b/>
      <w:szCs w:val="21"/>
    </w:rPr>
  </w:style>
  <w:style w:type="paragraph" w:customStyle="1" w:styleId="322">
    <w:name w:val="表名"/>
    <w:basedOn w:val="1"/>
    <w:link w:val="321"/>
    <w:qFormat/>
    <w:uiPriority w:val="0"/>
    <w:pPr>
      <w:adjustRightInd w:val="0"/>
      <w:snapToGrid w:val="0"/>
      <w:ind w:left="420"/>
      <w:jc w:val="center"/>
    </w:pPr>
    <w:rPr>
      <w:rFonts w:hAnsi="宋体" w:asciiTheme="minorHAnsi" w:eastAsiaTheme="minorEastAsia" w:cstheme="minorBidi"/>
      <w:b/>
    </w:rPr>
  </w:style>
  <w:style w:type="character" w:customStyle="1" w:styleId="323">
    <w:name w:val="日期 Char1"/>
    <w:qFormat/>
    <w:uiPriority w:val="0"/>
    <w:rPr>
      <w:kern w:val="2"/>
      <w:sz w:val="21"/>
      <w:szCs w:val="21"/>
      <w:lang w:eastAsia="zh-TW"/>
    </w:rPr>
  </w:style>
  <w:style w:type="character" w:customStyle="1" w:styleId="324">
    <w:name w:val="正文文本 2 Char1"/>
    <w:qFormat/>
    <w:uiPriority w:val="0"/>
    <w:rPr>
      <w:kern w:val="2"/>
      <w:sz w:val="21"/>
      <w:szCs w:val="21"/>
      <w:lang w:eastAsia="zh-TW"/>
    </w:rPr>
  </w:style>
  <w:style w:type="character" w:customStyle="1" w:styleId="325">
    <w:name w:val="H2 Char"/>
    <w:qFormat/>
    <w:uiPriority w:val="0"/>
    <w:rPr>
      <w:rFonts w:ascii="宋体" w:hAnsi="Arial" w:eastAsia="宋体"/>
      <w:b/>
      <w:sz w:val="24"/>
      <w:lang w:val="en-US" w:eastAsia="zh-CN" w:bidi="ar-SA"/>
    </w:rPr>
  </w:style>
  <w:style w:type="character" w:customStyle="1" w:styleId="326">
    <w:name w:val="biao1"/>
    <w:qFormat/>
    <w:uiPriority w:val="0"/>
  </w:style>
  <w:style w:type="character" w:customStyle="1" w:styleId="327">
    <w:name w:val="公式 Char Char"/>
    <w:link w:val="328"/>
    <w:qFormat/>
    <w:uiPriority w:val="0"/>
    <w:rPr>
      <w:bCs/>
      <w:color w:val="000000"/>
      <w:szCs w:val="32"/>
    </w:rPr>
  </w:style>
  <w:style w:type="paragraph" w:customStyle="1" w:styleId="328">
    <w:name w:val="公式"/>
    <w:basedOn w:val="1"/>
    <w:link w:val="327"/>
    <w:qFormat/>
    <w:uiPriority w:val="0"/>
    <w:pPr>
      <w:keepLines/>
      <w:topLinePunct/>
      <w:adjustRightInd w:val="0"/>
      <w:spacing w:line="360" w:lineRule="auto"/>
      <w:ind w:firstLine="471"/>
      <w:textAlignment w:val="baseline"/>
    </w:pPr>
    <w:rPr>
      <w:rFonts w:asciiTheme="minorHAnsi" w:hAnsiTheme="minorHAnsi" w:eastAsiaTheme="minorEastAsia" w:cstheme="minorBidi"/>
      <w:bCs/>
      <w:color w:val="000000"/>
      <w:szCs w:val="32"/>
    </w:rPr>
  </w:style>
  <w:style w:type="character" w:customStyle="1" w:styleId="329">
    <w:name w:val="样式 样式 题注 + 加粗 + Times New Roman 行距: 单倍行距 Char Char"/>
    <w:link w:val="330"/>
    <w:qFormat/>
    <w:uiPriority w:val="0"/>
    <w:rPr>
      <w:rFonts w:eastAsia="黑体"/>
      <w:sz w:val="24"/>
    </w:rPr>
  </w:style>
  <w:style w:type="paragraph" w:customStyle="1" w:styleId="330">
    <w:name w:val="样式 样式 题注 + 加粗 + Times New Roman 行距: 单倍行距"/>
    <w:basedOn w:val="1"/>
    <w:link w:val="329"/>
    <w:qFormat/>
    <w:uiPriority w:val="0"/>
    <w:pPr>
      <w:adjustRightInd w:val="0"/>
      <w:spacing w:before="152" w:after="160"/>
      <w:jc w:val="center"/>
      <w:textAlignment w:val="baseline"/>
    </w:pPr>
    <w:rPr>
      <w:rFonts w:eastAsia="黑体" w:asciiTheme="minorHAnsi" w:hAnsiTheme="minorHAnsi" w:cstheme="minorBidi"/>
      <w:sz w:val="24"/>
      <w:szCs w:val="22"/>
    </w:rPr>
  </w:style>
  <w:style w:type="character" w:customStyle="1" w:styleId="331">
    <w:name w:val="标题 Char1"/>
    <w:qFormat/>
    <w:uiPriority w:val="0"/>
    <w:rPr>
      <w:rFonts w:ascii="Cambria" w:hAnsi="Cambria" w:cs="Times New Roman"/>
      <w:b/>
      <w:bCs/>
      <w:kern w:val="2"/>
      <w:sz w:val="32"/>
      <w:szCs w:val="32"/>
      <w:lang w:eastAsia="zh-TW"/>
    </w:rPr>
  </w:style>
  <w:style w:type="character" w:customStyle="1" w:styleId="332">
    <w:name w:val="文档结构图 Char1"/>
    <w:semiHidden/>
    <w:qFormat/>
    <w:uiPriority w:val="99"/>
    <w:rPr>
      <w:rFonts w:ascii="Microsoft YaHei UI" w:hAnsi="Times New Roman" w:eastAsia="Microsoft YaHei UI" w:cs="Times New Roman"/>
      <w:sz w:val="18"/>
      <w:szCs w:val="18"/>
      <w:lang w:eastAsia="zh-TW"/>
    </w:rPr>
  </w:style>
  <w:style w:type="character" w:customStyle="1" w:styleId="333">
    <w:name w:val="表头 Char"/>
    <w:link w:val="334"/>
    <w:qFormat/>
    <w:uiPriority w:val="0"/>
    <w:rPr>
      <w:b/>
      <w:spacing w:val="4"/>
      <w:lang w:eastAsia="zh-TW"/>
    </w:rPr>
  </w:style>
  <w:style w:type="paragraph" w:customStyle="1" w:styleId="334">
    <w:name w:val="表头"/>
    <w:basedOn w:val="26"/>
    <w:next w:val="1"/>
    <w:link w:val="333"/>
    <w:qFormat/>
    <w:uiPriority w:val="0"/>
    <w:pPr>
      <w:keepNext/>
      <w:ind w:left="880" w:leftChars="0" w:hanging="880"/>
      <w:jc w:val="center"/>
      <w:textAlignment w:val="baseline"/>
    </w:pPr>
    <w:rPr>
      <w:rFonts w:asciiTheme="minorHAnsi" w:hAnsiTheme="minorHAnsi" w:eastAsiaTheme="minorEastAsia" w:cstheme="minorBidi"/>
      <w:b/>
      <w:spacing w:val="4"/>
      <w:szCs w:val="22"/>
    </w:rPr>
  </w:style>
  <w:style w:type="character" w:customStyle="1" w:styleId="335">
    <w:name w:val="批注主题 Char"/>
    <w:qFormat/>
    <w:uiPriority w:val="0"/>
  </w:style>
  <w:style w:type="character" w:customStyle="1" w:styleId="336">
    <w:name w:val="页脚 Char"/>
    <w:qFormat/>
    <w:uiPriority w:val="99"/>
    <w:rPr>
      <w:kern w:val="2"/>
      <w:sz w:val="18"/>
      <w:szCs w:val="18"/>
      <w:lang w:eastAsia="zh-TW"/>
    </w:rPr>
  </w:style>
  <w:style w:type="character" w:customStyle="1" w:styleId="337">
    <w:name w:val="样式44 Char"/>
    <w:link w:val="338"/>
    <w:qFormat/>
    <w:uiPriority w:val="0"/>
    <w:rPr>
      <w:color w:val="000000"/>
      <w:sz w:val="24"/>
    </w:rPr>
  </w:style>
  <w:style w:type="paragraph" w:customStyle="1" w:styleId="338">
    <w:name w:val="样式44"/>
    <w:basedOn w:val="1"/>
    <w:link w:val="337"/>
    <w:qFormat/>
    <w:uiPriority w:val="0"/>
    <w:pPr>
      <w:spacing w:before="120" w:after="120" w:line="360" w:lineRule="auto"/>
      <w:ind w:firstLine="480" w:firstLineChars="200"/>
    </w:pPr>
    <w:rPr>
      <w:rFonts w:asciiTheme="minorHAnsi" w:hAnsiTheme="minorHAnsi" w:eastAsiaTheme="minorEastAsia" w:cstheme="minorBidi"/>
      <w:color w:val="000000"/>
      <w:sz w:val="24"/>
      <w:szCs w:val="22"/>
    </w:rPr>
  </w:style>
  <w:style w:type="character" w:customStyle="1" w:styleId="339">
    <w:name w:val="weby"/>
    <w:qFormat/>
    <w:uiPriority w:val="0"/>
  </w:style>
  <w:style w:type="character" w:customStyle="1" w:styleId="340">
    <w:name w:val="font61"/>
    <w:qFormat/>
    <w:uiPriority w:val="0"/>
    <w:rPr>
      <w:rFonts w:hint="default" w:ascii="Times New Roman" w:hAnsi="Times New Roman" w:cs="Times New Roman"/>
      <w:color w:val="000000"/>
      <w:sz w:val="21"/>
      <w:szCs w:val="21"/>
      <w:u w:val="none"/>
    </w:rPr>
  </w:style>
  <w:style w:type="character" w:customStyle="1" w:styleId="341">
    <w:name w:val="报告正文 Char Char Char Char"/>
    <w:qFormat/>
    <w:uiPriority w:val="0"/>
    <w:rPr>
      <w:rFonts w:ascii="宋体" w:hAnsi="宋体" w:cs="宋体"/>
      <w:sz w:val="24"/>
      <w:szCs w:val="24"/>
    </w:rPr>
  </w:style>
  <w:style w:type="character" w:customStyle="1" w:styleId="342">
    <w:name w:val="p5"/>
    <w:qFormat/>
    <w:uiPriority w:val="0"/>
  </w:style>
  <w:style w:type="character" w:customStyle="1" w:styleId="343">
    <w:name w:val="样式1 Char"/>
    <w:link w:val="344"/>
    <w:qFormat/>
    <w:uiPriority w:val="0"/>
    <w:rPr>
      <w:rFonts w:hAnsi="Roman"/>
      <w:color w:val="000000"/>
      <w:spacing w:val="-1"/>
      <w:kern w:val="30"/>
      <w:position w:val="-1"/>
      <w:sz w:val="30"/>
      <w:szCs w:val="21"/>
    </w:rPr>
  </w:style>
  <w:style w:type="paragraph" w:customStyle="1" w:styleId="344">
    <w:name w:val="样式1"/>
    <w:link w:val="343"/>
    <w:qFormat/>
    <w:uiPriority w:val="0"/>
    <w:pPr>
      <w:widowControl w:val="0"/>
      <w:autoSpaceDE w:val="0"/>
      <w:autoSpaceDN w:val="0"/>
      <w:adjustRightInd w:val="0"/>
    </w:pPr>
    <w:rPr>
      <w:rFonts w:hAnsi="Roman" w:asciiTheme="minorHAnsi" w:eastAsiaTheme="minorEastAsia" w:cstheme="minorBidi"/>
      <w:color w:val="000000"/>
      <w:spacing w:val="-1"/>
      <w:kern w:val="30"/>
      <w:position w:val="-1"/>
      <w:sz w:val="30"/>
      <w:szCs w:val="21"/>
      <w:lang w:val="en-US" w:eastAsia="zh-CN" w:bidi="ar-SA"/>
    </w:rPr>
  </w:style>
  <w:style w:type="character" w:customStyle="1" w:styleId="345">
    <w:name w:val="注解文字 Char Char"/>
    <w:link w:val="346"/>
    <w:qFormat/>
    <w:uiPriority w:val="0"/>
    <w:rPr>
      <w:rFonts w:ascii="Arial" w:hAnsi="Arial"/>
      <w:color w:val="000000"/>
      <w:lang w:val="eu-ES"/>
    </w:rPr>
  </w:style>
  <w:style w:type="paragraph" w:customStyle="1" w:styleId="346">
    <w:name w:val="注解文字"/>
    <w:basedOn w:val="1"/>
    <w:link w:val="345"/>
    <w:qFormat/>
    <w:uiPriority w:val="0"/>
    <w:pPr>
      <w:ind w:left="-180" w:leftChars="-75" w:right="-199" w:rightChars="-83" w:firstLine="19" w:firstLineChars="9"/>
      <w:jc w:val="center"/>
    </w:pPr>
    <w:rPr>
      <w:rFonts w:ascii="Arial" w:hAnsi="Arial" w:eastAsiaTheme="minorEastAsia" w:cstheme="minorBidi"/>
      <w:color w:val="000000"/>
      <w:szCs w:val="22"/>
      <w:lang w:val="eu-ES"/>
    </w:rPr>
  </w:style>
  <w:style w:type="character" w:customStyle="1" w:styleId="347">
    <w:name w:val="样式 正 文 + 宋体 Char Char"/>
    <w:link w:val="348"/>
    <w:qFormat/>
    <w:uiPriority w:val="0"/>
    <w:rPr>
      <w:rFonts w:ascii="Arial" w:hAnsi="Arial" w:eastAsia="Times New Roman" w:cs="Arial"/>
      <w:sz w:val="24"/>
    </w:rPr>
  </w:style>
  <w:style w:type="paragraph" w:customStyle="1" w:styleId="348">
    <w:name w:val="样式 正 文 + 宋体"/>
    <w:basedOn w:val="245"/>
    <w:link w:val="347"/>
    <w:qFormat/>
    <w:uiPriority w:val="0"/>
    <w:pPr>
      <w:ind w:firstLine="480"/>
    </w:pPr>
    <w:rPr>
      <w:rFonts w:ascii="Arial" w:hAnsi="Arial" w:eastAsia="Times New Roman" w:cs="Arial"/>
    </w:rPr>
  </w:style>
  <w:style w:type="character" w:customStyle="1" w:styleId="349">
    <w:name w:val="font2"/>
    <w:qFormat/>
    <w:uiPriority w:val="0"/>
    <w:rPr>
      <w:rFonts w:hint="eastAsia" w:ascii="宋体" w:hAnsi="宋体" w:eastAsia="宋体"/>
      <w:color w:val="000000"/>
      <w:sz w:val="24"/>
      <w:szCs w:val="24"/>
    </w:rPr>
  </w:style>
  <w:style w:type="character" w:customStyle="1" w:styleId="350">
    <w:name w:val="样式 首行缩进:  2 字符1 Char Char"/>
    <w:link w:val="351"/>
    <w:qFormat/>
    <w:uiPriority w:val="0"/>
    <w:rPr>
      <w:sz w:val="24"/>
      <w:szCs w:val="24"/>
    </w:rPr>
  </w:style>
  <w:style w:type="paragraph" w:customStyle="1" w:styleId="351">
    <w:name w:val="样式 首行缩进:  2 字符1 Char"/>
    <w:basedOn w:val="1"/>
    <w:link w:val="350"/>
    <w:qFormat/>
    <w:uiPriority w:val="0"/>
    <w:pPr>
      <w:tabs>
        <w:tab w:val="left" w:pos="1094"/>
        <w:tab w:val="left" w:pos="1244"/>
      </w:tabs>
      <w:snapToGrid w:val="0"/>
      <w:spacing w:line="360" w:lineRule="auto"/>
      <w:ind w:firstLine="480" w:firstLineChars="200"/>
    </w:pPr>
    <w:rPr>
      <w:rFonts w:asciiTheme="minorHAnsi" w:hAnsiTheme="minorHAnsi" w:eastAsiaTheme="minorEastAsia" w:cstheme="minorBidi"/>
      <w:sz w:val="24"/>
    </w:rPr>
  </w:style>
  <w:style w:type="character" w:customStyle="1" w:styleId="352">
    <w:name w:val="red1"/>
    <w:qFormat/>
    <w:uiPriority w:val="0"/>
    <w:rPr>
      <w:color w:val="CC0000"/>
      <w:sz w:val="18"/>
      <w:szCs w:val="18"/>
      <w:u w:val="none"/>
    </w:rPr>
  </w:style>
  <w:style w:type="character" w:customStyle="1" w:styleId="353">
    <w:name w:val="页眉 Char"/>
    <w:qFormat/>
    <w:uiPriority w:val="99"/>
    <w:rPr>
      <w:kern w:val="2"/>
      <w:sz w:val="18"/>
      <w:szCs w:val="18"/>
      <w:lang w:eastAsia="zh-TW"/>
    </w:rPr>
  </w:style>
  <w:style w:type="character" w:customStyle="1" w:styleId="354">
    <w:name w:val="引用 字符3"/>
    <w:link w:val="355"/>
    <w:qFormat/>
    <w:uiPriority w:val="99"/>
    <w:rPr>
      <w:rFonts w:eastAsia="Times New Roman"/>
      <w:i/>
      <w:iCs/>
      <w:color w:val="000000"/>
      <w:sz w:val="24"/>
    </w:rPr>
  </w:style>
  <w:style w:type="paragraph" w:styleId="355">
    <w:name w:val="Quote"/>
    <w:basedOn w:val="1"/>
    <w:next w:val="1"/>
    <w:link w:val="354"/>
    <w:qFormat/>
    <w:uiPriority w:val="99"/>
    <w:pPr>
      <w:adjustRightInd w:val="0"/>
      <w:spacing w:line="360" w:lineRule="auto"/>
      <w:textAlignment w:val="baseline"/>
    </w:pPr>
    <w:rPr>
      <w:rFonts w:eastAsia="Times New Roman" w:asciiTheme="minorHAnsi" w:hAnsiTheme="minorHAnsi" w:cstheme="minorBidi"/>
      <w:i/>
      <w:iCs/>
      <w:color w:val="000000"/>
      <w:sz w:val="24"/>
      <w:szCs w:val="22"/>
    </w:rPr>
  </w:style>
  <w:style w:type="character" w:customStyle="1" w:styleId="356">
    <w:name w:val="引用 字符"/>
    <w:basedOn w:val="106"/>
    <w:qFormat/>
    <w:uiPriority w:val="99"/>
    <w:rPr>
      <w:rFonts w:ascii="Times New Roman" w:hAnsi="Times New Roman" w:eastAsia="宋体" w:cs="Times New Roman"/>
      <w:i/>
      <w:iCs/>
      <w:color w:val="404040" w:themeColor="text1" w:themeTint="BF"/>
      <w:szCs w:val="24"/>
      <w14:textFill>
        <w14:solidFill>
          <w14:schemeClr w14:val="tx1">
            <w14:lumMod w14:val="75000"/>
            <w14:lumOff w14:val="25000"/>
          </w14:schemeClr>
        </w14:solidFill>
      </w14:textFill>
    </w:rPr>
  </w:style>
  <w:style w:type="character" w:customStyle="1" w:styleId="357">
    <w:name w:val="表格文字1 Char"/>
    <w:qFormat/>
    <w:uiPriority w:val="0"/>
    <w:rPr>
      <w:rFonts w:ascii="宋体" w:hAnsi="Courier New" w:eastAsia="宋体" w:cs="Courier New"/>
      <w:kern w:val="2"/>
      <w:sz w:val="21"/>
      <w:szCs w:val="21"/>
      <w:lang w:val="en-US" w:eastAsia="zh-CN" w:bidi="ar-SA"/>
    </w:rPr>
  </w:style>
  <w:style w:type="character" w:customStyle="1" w:styleId="358">
    <w:name w:val="正文样式 Char Char"/>
    <w:qFormat/>
    <w:uiPriority w:val="0"/>
    <w:rPr>
      <w:rFonts w:ascii="宋体" w:hAnsi="宋体"/>
      <w:snapToGrid w:val="0"/>
      <w:kern w:val="2"/>
      <w:sz w:val="24"/>
      <w:szCs w:val="24"/>
      <w:lang w:val="en-US" w:eastAsia="zh-CN" w:bidi="ar-SA"/>
    </w:rPr>
  </w:style>
  <w:style w:type="character" w:customStyle="1" w:styleId="359">
    <w:name w:val="javascript1"/>
    <w:qFormat/>
    <w:uiPriority w:val="0"/>
    <w:rPr>
      <w:rFonts w:hint="default" w:ascii="Tahoma" w:hAnsi="Tahoma" w:cs="Tahoma"/>
      <w:sz w:val="18"/>
      <w:szCs w:val="18"/>
    </w:rPr>
  </w:style>
  <w:style w:type="character" w:customStyle="1" w:styleId="360">
    <w:name w:val="zhenwen141"/>
    <w:qFormat/>
    <w:uiPriority w:val="0"/>
    <w:rPr>
      <w:rFonts w:hint="default" w:ascii="ˎ̥" w:hAnsi="ˎ̥"/>
      <w:sz w:val="23"/>
      <w:szCs w:val="23"/>
    </w:rPr>
  </w:style>
  <w:style w:type="character" w:customStyle="1" w:styleId="361">
    <w:name w:val="样式1 Char Char"/>
    <w:qFormat/>
    <w:uiPriority w:val="0"/>
    <w:rPr>
      <w:b/>
      <w:bCs/>
      <w:kern w:val="44"/>
      <w:sz w:val="44"/>
      <w:szCs w:val="44"/>
    </w:rPr>
  </w:style>
  <w:style w:type="character" w:customStyle="1" w:styleId="362">
    <w:name w:val="报告正文 Char Char Char Char Char"/>
    <w:link w:val="363"/>
    <w:qFormat/>
    <w:uiPriority w:val="0"/>
    <w:rPr>
      <w:rFonts w:ascii="宋体"/>
      <w:sz w:val="24"/>
    </w:rPr>
  </w:style>
  <w:style w:type="paragraph" w:customStyle="1" w:styleId="363">
    <w:name w:val="报告正文 Char Char"/>
    <w:basedOn w:val="1"/>
    <w:link w:val="362"/>
    <w:qFormat/>
    <w:uiPriority w:val="0"/>
    <w:pPr>
      <w:adjustRightInd w:val="0"/>
      <w:snapToGrid w:val="0"/>
      <w:spacing w:line="360" w:lineRule="auto"/>
      <w:ind w:firstLine="200" w:firstLineChars="200"/>
    </w:pPr>
    <w:rPr>
      <w:rFonts w:ascii="宋体" w:hAnsiTheme="minorHAnsi" w:eastAsiaTheme="minorEastAsia" w:cstheme="minorBidi"/>
      <w:sz w:val="24"/>
      <w:szCs w:val="22"/>
    </w:rPr>
  </w:style>
  <w:style w:type="character" w:customStyle="1" w:styleId="364">
    <w:name w:val="表格文字01 Char Char"/>
    <w:link w:val="365"/>
    <w:qFormat/>
    <w:uiPriority w:val="0"/>
    <w:rPr>
      <w:rFonts w:ascii="Arial" w:hAnsi="Arial"/>
      <w:color w:val="000000"/>
    </w:rPr>
  </w:style>
  <w:style w:type="paragraph" w:customStyle="1" w:styleId="365">
    <w:name w:val="表格文字01"/>
    <w:basedOn w:val="1"/>
    <w:link w:val="364"/>
    <w:qFormat/>
    <w:uiPriority w:val="0"/>
    <w:pPr>
      <w:wordWrap w:val="0"/>
      <w:overflowPunct w:val="0"/>
      <w:topLinePunct/>
      <w:jc w:val="center"/>
    </w:pPr>
    <w:rPr>
      <w:rFonts w:ascii="Arial" w:hAnsi="Arial" w:eastAsiaTheme="minorEastAsia" w:cstheme="minorBidi"/>
      <w:color w:val="000000"/>
      <w:szCs w:val="22"/>
    </w:rPr>
  </w:style>
  <w:style w:type="character" w:customStyle="1" w:styleId="366">
    <w:name w:val="陆晶 正文 Char Char Char"/>
    <w:link w:val="367"/>
    <w:qFormat/>
    <w:uiPriority w:val="0"/>
    <w:rPr>
      <w:sz w:val="24"/>
      <w:szCs w:val="18"/>
    </w:rPr>
  </w:style>
  <w:style w:type="paragraph" w:customStyle="1" w:styleId="367">
    <w:name w:val="陆晶 正文 Char Char"/>
    <w:basedOn w:val="1"/>
    <w:link w:val="366"/>
    <w:qFormat/>
    <w:uiPriority w:val="0"/>
    <w:pPr>
      <w:snapToGrid w:val="0"/>
      <w:spacing w:line="360" w:lineRule="auto"/>
      <w:ind w:firstLine="480" w:firstLineChars="200"/>
      <w:jc w:val="left"/>
    </w:pPr>
    <w:rPr>
      <w:rFonts w:asciiTheme="minorHAnsi" w:hAnsiTheme="minorHAnsi" w:eastAsiaTheme="minorEastAsia" w:cstheme="minorBidi"/>
      <w:sz w:val="24"/>
      <w:szCs w:val="18"/>
    </w:rPr>
  </w:style>
  <w:style w:type="character" w:customStyle="1" w:styleId="368">
    <w:name w:val="样式 正文文本 + 宋体 四号 Char"/>
    <w:qFormat/>
    <w:uiPriority w:val="0"/>
    <w:rPr>
      <w:rFonts w:ascii="宋体" w:hAnsi="宋体" w:eastAsia="宋体"/>
      <w:spacing w:val="20"/>
      <w:kern w:val="28"/>
      <w:position w:val="2"/>
      <w:sz w:val="28"/>
      <w:lang w:val="en-US" w:eastAsia="zh-CN" w:bidi="ar-SA"/>
    </w:rPr>
  </w:style>
  <w:style w:type="character" w:customStyle="1" w:styleId="369">
    <w:name w:val="content_11"/>
    <w:qFormat/>
    <w:uiPriority w:val="0"/>
    <w:rPr>
      <w:color w:val="333333"/>
      <w:sz w:val="18"/>
      <w:szCs w:val="18"/>
    </w:rPr>
  </w:style>
  <w:style w:type="character" w:customStyle="1" w:styleId="370">
    <w:name w:val="表格标题1 Char Char"/>
    <w:link w:val="371"/>
    <w:qFormat/>
    <w:uiPriority w:val="0"/>
    <w:rPr>
      <w:szCs w:val="21"/>
    </w:rPr>
  </w:style>
  <w:style w:type="paragraph" w:customStyle="1" w:styleId="371">
    <w:name w:val="表格标题1 Char"/>
    <w:basedOn w:val="1"/>
    <w:next w:val="1"/>
    <w:link w:val="370"/>
    <w:qFormat/>
    <w:uiPriority w:val="0"/>
    <w:pPr>
      <w:keepNext/>
      <w:spacing w:line="360" w:lineRule="auto"/>
      <w:jc w:val="center"/>
    </w:pPr>
    <w:rPr>
      <w:rFonts w:asciiTheme="minorHAnsi" w:hAnsiTheme="minorHAnsi" w:eastAsiaTheme="minorEastAsia" w:cstheme="minorBidi"/>
    </w:rPr>
  </w:style>
  <w:style w:type="character" w:customStyle="1" w:styleId="372">
    <w:name w:val="spelle"/>
    <w:qFormat/>
    <w:uiPriority w:val="0"/>
  </w:style>
  <w:style w:type="character" w:customStyle="1" w:styleId="373">
    <w:name w:val="段落 Char Char"/>
    <w:link w:val="374"/>
    <w:qFormat/>
    <w:uiPriority w:val="0"/>
    <w:rPr>
      <w:rFonts w:ascii="宋体" w:hAnsi="宋体"/>
      <w:sz w:val="28"/>
    </w:rPr>
  </w:style>
  <w:style w:type="paragraph" w:customStyle="1" w:styleId="374">
    <w:name w:val="段落"/>
    <w:basedOn w:val="1"/>
    <w:link w:val="373"/>
    <w:qFormat/>
    <w:uiPriority w:val="0"/>
    <w:pPr>
      <w:adjustRightInd w:val="0"/>
      <w:snapToGrid w:val="0"/>
      <w:spacing w:line="300" w:lineRule="auto"/>
      <w:ind w:firstLine="539"/>
    </w:pPr>
    <w:rPr>
      <w:rFonts w:ascii="宋体" w:hAnsi="宋体" w:eastAsiaTheme="minorEastAsia" w:cstheme="minorBidi"/>
      <w:sz w:val="28"/>
      <w:szCs w:val="22"/>
    </w:rPr>
  </w:style>
  <w:style w:type="character" w:customStyle="1" w:styleId="375">
    <w:name w:val="表格 Char Char"/>
    <w:qFormat/>
    <w:uiPriority w:val="0"/>
    <w:rPr>
      <w:rFonts w:eastAsia="楷体_GB2312"/>
      <w:kern w:val="11"/>
      <w:sz w:val="24"/>
      <w:lang w:val="en-US" w:eastAsia="zh-CN" w:bidi="ar-SA"/>
    </w:rPr>
  </w:style>
  <w:style w:type="character" w:customStyle="1" w:styleId="376">
    <w:name w:val="样式 小四 首行缩进:  0.85 厘米 行距: 1.5 倍行距 Char Char"/>
    <w:link w:val="377"/>
    <w:qFormat/>
    <w:uiPriority w:val="0"/>
    <w:rPr>
      <w:sz w:val="24"/>
    </w:rPr>
  </w:style>
  <w:style w:type="paragraph" w:customStyle="1" w:styleId="377">
    <w:name w:val="样式 小四 首行缩进:  0.85 厘米 行距: 1.5 倍行距"/>
    <w:basedOn w:val="1"/>
    <w:link w:val="376"/>
    <w:qFormat/>
    <w:uiPriority w:val="0"/>
    <w:pPr>
      <w:adjustRightInd w:val="0"/>
      <w:spacing w:line="360" w:lineRule="auto"/>
      <w:ind w:firstLine="480"/>
      <w:textAlignment w:val="baseline"/>
    </w:pPr>
    <w:rPr>
      <w:rFonts w:asciiTheme="minorHAnsi" w:hAnsiTheme="minorHAnsi" w:eastAsiaTheme="minorEastAsia" w:cstheme="minorBidi"/>
      <w:sz w:val="24"/>
      <w:szCs w:val="22"/>
    </w:rPr>
  </w:style>
  <w:style w:type="character" w:customStyle="1" w:styleId="378">
    <w:name w:val="批注框文本 Char1"/>
    <w:semiHidden/>
    <w:qFormat/>
    <w:uiPriority w:val="99"/>
    <w:rPr>
      <w:rFonts w:ascii="Times New Roman" w:hAnsi="Times New Roman" w:eastAsia="宋体" w:cs="Times New Roman"/>
      <w:sz w:val="18"/>
      <w:szCs w:val="18"/>
      <w:lang w:eastAsia="zh-TW"/>
    </w:rPr>
  </w:style>
  <w:style w:type="character" w:customStyle="1" w:styleId="379">
    <w:name w:val="正文+小四，黑色 Char Char"/>
    <w:link w:val="380"/>
    <w:qFormat/>
    <w:uiPriority w:val="0"/>
    <w:rPr>
      <w:rFonts w:ascii="宋体" w:hAnsi="宋体"/>
      <w:sz w:val="24"/>
    </w:rPr>
  </w:style>
  <w:style w:type="paragraph" w:customStyle="1" w:styleId="380">
    <w:name w:val="正文+小四，黑色"/>
    <w:basedOn w:val="1"/>
    <w:link w:val="379"/>
    <w:qFormat/>
    <w:uiPriority w:val="0"/>
    <w:pPr>
      <w:snapToGrid w:val="0"/>
      <w:spacing w:line="300" w:lineRule="auto"/>
      <w:ind w:firstLine="492" w:firstLineChars="205"/>
    </w:pPr>
    <w:rPr>
      <w:rFonts w:ascii="宋体" w:hAnsi="宋体" w:eastAsiaTheme="minorEastAsia" w:cstheme="minorBidi"/>
      <w:sz w:val="24"/>
      <w:szCs w:val="22"/>
    </w:rPr>
  </w:style>
  <w:style w:type="character" w:customStyle="1" w:styleId="381">
    <w:name w:val="样式 正 文 Char Char"/>
    <w:link w:val="382"/>
    <w:qFormat/>
    <w:uiPriority w:val="0"/>
    <w:rPr>
      <w:rFonts w:ascii="Arial" w:hAnsi="Arial" w:eastAsia="Times New Roman"/>
      <w:sz w:val="24"/>
    </w:rPr>
  </w:style>
  <w:style w:type="paragraph" w:customStyle="1" w:styleId="382">
    <w:name w:val="样式 正 文"/>
    <w:basedOn w:val="245"/>
    <w:link w:val="381"/>
    <w:qFormat/>
    <w:uiPriority w:val="0"/>
    <w:rPr>
      <w:rFonts w:ascii="Arial" w:hAnsi="Arial" w:eastAsia="Times New Roman" w:cstheme="minorBidi"/>
    </w:rPr>
  </w:style>
  <w:style w:type="character" w:customStyle="1" w:styleId="383">
    <w:name w:val="font11"/>
    <w:qFormat/>
    <w:uiPriority w:val="0"/>
    <w:rPr>
      <w:rFonts w:hint="eastAsia" w:ascii="宋体" w:hAnsi="宋体" w:eastAsia="宋体" w:cs="宋体"/>
      <w:color w:val="000000"/>
      <w:sz w:val="18"/>
      <w:szCs w:val="18"/>
      <w:u w:val="none"/>
    </w:rPr>
  </w:style>
  <w:style w:type="character" w:customStyle="1" w:styleId="384">
    <w:name w:val="15"/>
    <w:qFormat/>
    <w:uiPriority w:val="0"/>
    <w:rPr>
      <w:rFonts w:hint="default" w:ascii="Times New Roman" w:hAnsi="Times New Roman" w:cs="Times New Roman"/>
      <w:i/>
      <w:iCs/>
      <w:color w:val="000000"/>
      <w:sz w:val="21"/>
      <w:szCs w:val="21"/>
    </w:rPr>
  </w:style>
  <w:style w:type="character" w:customStyle="1" w:styleId="385">
    <w:name w:val="自动4 Char Char"/>
    <w:link w:val="386"/>
    <w:qFormat/>
    <w:uiPriority w:val="0"/>
    <w:rPr>
      <w:rFonts w:ascii="宋体" w:hAnsi="宋体"/>
      <w:bCs/>
      <w:color w:val="000000"/>
      <w:sz w:val="24"/>
      <w:szCs w:val="24"/>
    </w:rPr>
  </w:style>
  <w:style w:type="paragraph" w:customStyle="1" w:styleId="386">
    <w:name w:val="自动4"/>
    <w:basedOn w:val="1"/>
    <w:link w:val="385"/>
    <w:qFormat/>
    <w:uiPriority w:val="0"/>
    <w:pPr>
      <w:keepNext/>
      <w:keepLines/>
      <w:spacing w:before="120" w:after="120" w:line="360" w:lineRule="auto"/>
      <w:outlineLvl w:val="3"/>
    </w:pPr>
    <w:rPr>
      <w:rFonts w:ascii="宋体" w:hAnsi="宋体" w:eastAsiaTheme="minorEastAsia" w:cstheme="minorBidi"/>
      <w:bCs/>
      <w:color w:val="000000"/>
      <w:sz w:val="24"/>
    </w:rPr>
  </w:style>
  <w:style w:type="character" w:customStyle="1" w:styleId="387">
    <w:name w:val="消息标题标签"/>
    <w:qFormat/>
    <w:uiPriority w:val="0"/>
    <w:rPr>
      <w:rFonts w:ascii="Arial" w:hAnsi="Arial"/>
      <w:b/>
      <w:spacing w:val="-4"/>
      <w:sz w:val="18"/>
      <w:lang w:eastAsia="zh-CN"/>
    </w:rPr>
  </w:style>
  <w:style w:type="character" w:customStyle="1" w:styleId="388">
    <w:name w:val="引用 Char1"/>
    <w:qFormat/>
    <w:uiPriority w:val="99"/>
    <w:rPr>
      <w:i/>
      <w:iCs/>
      <w:color w:val="000000"/>
      <w:kern w:val="2"/>
      <w:sz w:val="21"/>
      <w:szCs w:val="21"/>
      <w:lang w:eastAsia="zh-TW"/>
    </w:rPr>
  </w:style>
  <w:style w:type="character" w:customStyle="1" w:styleId="389">
    <w:name w:val="一级标题 Char"/>
    <w:link w:val="390"/>
    <w:qFormat/>
    <w:uiPriority w:val="0"/>
    <w:rPr>
      <w:rFonts w:ascii="黑体" w:hAnsi="黑体" w:eastAsia="黑体"/>
      <w:sz w:val="44"/>
      <w:szCs w:val="24"/>
    </w:rPr>
  </w:style>
  <w:style w:type="paragraph" w:customStyle="1" w:styleId="390">
    <w:name w:val="一级标题"/>
    <w:basedOn w:val="1"/>
    <w:link w:val="389"/>
    <w:qFormat/>
    <w:uiPriority w:val="0"/>
    <w:pPr>
      <w:pageBreakBefore/>
      <w:spacing w:beforeLines="100" w:afterLines="50" w:line="560" w:lineRule="atLeast"/>
      <w:ind w:firstLine="471"/>
      <w:jc w:val="center"/>
      <w:outlineLvl w:val="0"/>
    </w:pPr>
    <w:rPr>
      <w:rFonts w:ascii="黑体" w:hAnsi="黑体" w:eastAsia="黑体" w:cstheme="minorBidi"/>
      <w:sz w:val="44"/>
    </w:rPr>
  </w:style>
  <w:style w:type="character" w:customStyle="1" w:styleId="391">
    <w:name w:val="样式 样式 Times New Roman 四号 首行缩进:  0.93 厘米 行距: 固定值 25 磅 + 宋体 Char Char"/>
    <w:link w:val="392"/>
    <w:qFormat/>
    <w:uiPriority w:val="0"/>
    <w:rPr>
      <w:rFonts w:ascii="宋体" w:hAnsi="宋体"/>
      <w:sz w:val="24"/>
    </w:rPr>
  </w:style>
  <w:style w:type="paragraph" w:customStyle="1" w:styleId="392">
    <w:name w:val="样式 样式 Times New Roman 四号 首行缩进:  0.93 厘米 行距: 固定值 25 磅 + 宋体"/>
    <w:basedOn w:val="393"/>
    <w:link w:val="391"/>
    <w:qFormat/>
    <w:uiPriority w:val="0"/>
    <w:rPr>
      <w:rFonts w:ascii="宋体" w:hAnsi="宋体" w:eastAsiaTheme="minorEastAsia" w:cstheme="minorBidi"/>
      <w:kern w:val="2"/>
      <w:szCs w:val="22"/>
    </w:rPr>
  </w:style>
  <w:style w:type="paragraph" w:customStyle="1" w:styleId="393">
    <w:name w:val="样式 Times New Roman 四号 首行缩进:  0.93 厘米 行距: 固定值 25 磅"/>
    <w:basedOn w:val="1"/>
    <w:link w:val="394"/>
    <w:qFormat/>
    <w:uiPriority w:val="0"/>
    <w:pPr>
      <w:spacing w:line="500" w:lineRule="exact"/>
      <w:ind w:firstLine="527"/>
      <w:jc w:val="center"/>
    </w:pPr>
    <w:rPr>
      <w:sz w:val="24"/>
    </w:rPr>
  </w:style>
  <w:style w:type="character" w:customStyle="1" w:styleId="394">
    <w:name w:val="样式 Times New Roman 四号 首行缩进:  0.93 厘米 行距: 固定值 25 磅 Char Char"/>
    <w:link w:val="393"/>
    <w:qFormat/>
    <w:uiPriority w:val="0"/>
    <w:rPr>
      <w:rFonts w:ascii="Times New Roman" w:hAnsi="Times New Roman" w:eastAsia="宋体" w:cs="Times New Roman"/>
      <w:kern w:val="0"/>
      <w:sz w:val="24"/>
      <w:szCs w:val="20"/>
    </w:rPr>
  </w:style>
  <w:style w:type="character" w:customStyle="1" w:styleId="395">
    <w:name w:val="样式 标题 2 + 非加粗 Char Char"/>
    <w:link w:val="396"/>
    <w:qFormat/>
    <w:uiPriority w:val="0"/>
    <w:rPr>
      <w:rFonts w:eastAsia="黑体"/>
      <w:b/>
      <w:sz w:val="24"/>
    </w:rPr>
  </w:style>
  <w:style w:type="paragraph" w:customStyle="1" w:styleId="396">
    <w:name w:val="样式 标题 2 + 非加粗"/>
    <w:basedOn w:val="19"/>
    <w:link w:val="395"/>
    <w:qFormat/>
    <w:uiPriority w:val="0"/>
    <w:pPr>
      <w:keepNext/>
      <w:keepLines/>
      <w:pBdr>
        <w:bottom w:val="none" w:color="auto" w:sz="0" w:space="0"/>
      </w:pBdr>
      <w:spacing w:line="312" w:lineRule="auto"/>
      <w:ind w:left="3685" w:hanging="425"/>
      <w:jc w:val="left"/>
    </w:pPr>
    <w:rPr>
      <w:rFonts w:eastAsia="黑体" w:asciiTheme="minorHAnsi" w:hAnsiTheme="minorHAnsi" w:cstheme="minorBidi"/>
      <w:caps w:val="0"/>
      <w:color w:val="auto"/>
      <w:spacing w:val="0"/>
      <w:kern w:val="2"/>
      <w:sz w:val="24"/>
      <w:szCs w:val="22"/>
      <w:lang w:eastAsia="zh-CN"/>
    </w:rPr>
  </w:style>
  <w:style w:type="character" w:customStyle="1" w:styleId="397">
    <w:name w:val="样式 标题 1Head 1wsa一、标题 111h1标题2标题 1 CharPart'Document1.标题... Char"/>
    <w:link w:val="398"/>
    <w:qFormat/>
    <w:uiPriority w:val="0"/>
    <w:rPr>
      <w:rFonts w:ascii="Impact" w:hAnsi="Impact" w:eastAsia="隶书"/>
      <w:b/>
      <w:bCs/>
      <w:shadow/>
      <w:kern w:val="44"/>
      <w:sz w:val="36"/>
      <w:szCs w:val="44"/>
    </w:rPr>
  </w:style>
  <w:style w:type="paragraph" w:customStyle="1" w:styleId="398">
    <w:name w:val="样式 标题 1Head 1wsa一、标题 111h1标题2标题 1 CharPart'Document1.标题..."/>
    <w:basedOn w:val="18"/>
    <w:link w:val="397"/>
    <w:qFormat/>
    <w:uiPriority w:val="0"/>
    <w:pPr>
      <w:keepNext w:val="0"/>
      <w:pageBreakBefore/>
      <w:tabs>
        <w:tab w:val="left" w:pos="1021"/>
        <w:tab w:val="left" w:pos="1080"/>
      </w:tabs>
      <w:overflowPunct/>
      <w:snapToGrid/>
      <w:spacing w:beforeLines="200" w:after="120" w:afterLines="300" w:line="360" w:lineRule="auto"/>
      <w:ind w:left="1021" w:hanging="181"/>
      <w:jc w:val="center"/>
    </w:pPr>
    <w:rPr>
      <w:rFonts w:ascii="Impact" w:hAnsi="Impact" w:eastAsia="隶书" w:cstheme="minorBidi"/>
      <w:shadow/>
      <w:color w:val="auto"/>
      <w:sz w:val="36"/>
      <w:szCs w:val="44"/>
    </w:rPr>
  </w:style>
  <w:style w:type="character" w:customStyle="1" w:styleId="399">
    <w:name w:val="HTML 预设格式 Char1"/>
    <w:qFormat/>
    <w:uiPriority w:val="0"/>
    <w:rPr>
      <w:rFonts w:ascii="Courier New" w:hAnsi="Courier New" w:cs="Courier New"/>
      <w:kern w:val="2"/>
      <w:lang w:eastAsia="zh-TW"/>
    </w:rPr>
  </w:style>
  <w:style w:type="character" w:customStyle="1" w:styleId="400">
    <w:name w:val="称呼 Char1"/>
    <w:qFormat/>
    <w:uiPriority w:val="0"/>
    <w:rPr>
      <w:kern w:val="2"/>
      <w:sz w:val="21"/>
      <w:szCs w:val="21"/>
      <w:lang w:eastAsia="zh-TW"/>
    </w:rPr>
  </w:style>
  <w:style w:type="character" w:customStyle="1" w:styleId="401">
    <w:name w:val="三级标题 Char Char"/>
    <w:qFormat/>
    <w:uiPriority w:val="0"/>
    <w:rPr>
      <w:rFonts w:ascii="Arial" w:hAnsi="Arial" w:eastAsia="黑体" w:cs="Times New Roman"/>
      <w:b/>
      <w:snapToGrid w:val="0"/>
      <w:kern w:val="2"/>
      <w:sz w:val="24"/>
      <w:szCs w:val="24"/>
      <w:lang w:val="zh-CN" w:eastAsia="zh-CN" w:bidi="ar-SA"/>
    </w:rPr>
  </w:style>
  <w:style w:type="character" w:customStyle="1" w:styleId="402">
    <w:name w:val="样式制图 Char Char"/>
    <w:link w:val="403"/>
    <w:qFormat/>
    <w:uiPriority w:val="0"/>
  </w:style>
  <w:style w:type="paragraph" w:customStyle="1" w:styleId="403">
    <w:name w:val="样式制图"/>
    <w:basedOn w:val="1"/>
    <w:link w:val="402"/>
    <w:qFormat/>
    <w:uiPriority w:val="0"/>
    <w:pPr>
      <w:topLinePunct/>
      <w:adjustRightInd w:val="0"/>
      <w:ind w:left="-180" w:leftChars="-75" w:right="-199" w:rightChars="-83" w:firstLine="9" w:firstLineChars="9"/>
      <w:jc w:val="center"/>
    </w:pPr>
    <w:rPr>
      <w:rFonts w:asciiTheme="minorHAnsi" w:hAnsiTheme="minorHAnsi" w:eastAsiaTheme="minorEastAsia" w:cstheme="minorBidi"/>
      <w:szCs w:val="22"/>
    </w:rPr>
  </w:style>
  <w:style w:type="character" w:customStyle="1" w:styleId="404">
    <w:name w:val="批注文字 Char1"/>
    <w:semiHidden/>
    <w:qFormat/>
    <w:uiPriority w:val="99"/>
    <w:rPr>
      <w:rFonts w:ascii="Times New Roman" w:hAnsi="Times New Roman" w:eastAsia="宋体" w:cs="Times New Roman"/>
      <w:szCs w:val="21"/>
      <w:lang w:eastAsia="zh-TW"/>
    </w:rPr>
  </w:style>
  <w:style w:type="character" w:customStyle="1" w:styleId="405">
    <w:name w:val="表格正文 Char Char"/>
    <w:link w:val="406"/>
    <w:qFormat/>
    <w:uiPriority w:val="0"/>
    <w:rPr>
      <w:rFonts w:ascii="宋体"/>
      <w:spacing w:val="4"/>
      <w:w w:val="90"/>
      <w:kern w:val="18"/>
      <w:szCs w:val="24"/>
      <w:lang w:eastAsia="zh-TW"/>
    </w:rPr>
  </w:style>
  <w:style w:type="paragraph" w:customStyle="1" w:styleId="406">
    <w:name w:val="表格正文"/>
    <w:basedOn w:val="1"/>
    <w:next w:val="1"/>
    <w:link w:val="405"/>
    <w:qFormat/>
    <w:uiPriority w:val="0"/>
    <w:pPr>
      <w:adjustRightInd w:val="0"/>
      <w:jc w:val="center"/>
      <w:textAlignment w:val="baseline"/>
    </w:pPr>
    <w:rPr>
      <w:rFonts w:ascii="宋体" w:hAnsiTheme="minorHAnsi" w:eastAsiaTheme="minorEastAsia" w:cstheme="minorBidi"/>
      <w:spacing w:val="4"/>
      <w:w w:val="90"/>
      <w:kern w:val="18"/>
      <w:lang w:eastAsia="zh-TW"/>
    </w:rPr>
  </w:style>
  <w:style w:type="character" w:customStyle="1" w:styleId="407">
    <w:name w:val="clear2"/>
    <w:qFormat/>
    <w:uiPriority w:val="0"/>
    <w:rPr>
      <w:sz w:val="16"/>
      <w:szCs w:val="0"/>
    </w:rPr>
  </w:style>
  <w:style w:type="character" w:customStyle="1" w:styleId="408">
    <w:name w:val="text1"/>
    <w:qFormat/>
    <w:uiPriority w:val="0"/>
    <w:rPr>
      <w:sz w:val="18"/>
      <w:szCs w:val="18"/>
    </w:rPr>
  </w:style>
  <w:style w:type="character" w:customStyle="1" w:styleId="409">
    <w:name w:val="明显引用 字符3"/>
    <w:link w:val="410"/>
    <w:qFormat/>
    <w:uiPriority w:val="99"/>
    <w:rPr>
      <w:rFonts w:eastAsia="Times New Roman"/>
      <w:b/>
      <w:bCs/>
      <w:i/>
      <w:iCs/>
      <w:color w:val="4F81BD"/>
      <w:sz w:val="24"/>
    </w:rPr>
  </w:style>
  <w:style w:type="paragraph" w:styleId="410">
    <w:name w:val="Intense Quote"/>
    <w:basedOn w:val="1"/>
    <w:next w:val="1"/>
    <w:link w:val="409"/>
    <w:qFormat/>
    <w:uiPriority w:val="99"/>
    <w:pPr>
      <w:pBdr>
        <w:bottom w:val="single" w:color="4F81BD" w:sz="4" w:space="4"/>
      </w:pBdr>
      <w:adjustRightInd w:val="0"/>
      <w:spacing w:before="200" w:after="280" w:line="360" w:lineRule="auto"/>
      <w:ind w:left="936" w:right="936"/>
      <w:textAlignment w:val="baseline"/>
    </w:pPr>
    <w:rPr>
      <w:rFonts w:eastAsia="Times New Roman" w:asciiTheme="minorHAnsi" w:hAnsiTheme="minorHAnsi" w:cstheme="minorBidi"/>
      <w:b/>
      <w:bCs/>
      <w:i/>
      <w:iCs/>
      <w:color w:val="4F81BD"/>
      <w:sz w:val="24"/>
      <w:szCs w:val="22"/>
    </w:rPr>
  </w:style>
  <w:style w:type="character" w:customStyle="1" w:styleId="411">
    <w:name w:val="明显引用 字符"/>
    <w:basedOn w:val="106"/>
    <w:qFormat/>
    <w:uiPriority w:val="99"/>
    <w:rPr>
      <w:rFonts w:ascii="Times New Roman" w:hAnsi="Times New Roman" w:eastAsia="宋体" w:cs="Times New Roman"/>
      <w:i/>
      <w:iCs/>
      <w:color w:val="5B9BD5" w:themeColor="accent1"/>
      <w:szCs w:val="24"/>
      <w14:textFill>
        <w14:solidFill>
          <w14:schemeClr w14:val="accent1"/>
        </w14:solidFill>
      </w14:textFill>
    </w:rPr>
  </w:style>
  <w:style w:type="character" w:customStyle="1" w:styleId="412">
    <w:name w:val="批注主题 Char1"/>
    <w:semiHidden/>
    <w:qFormat/>
    <w:uiPriority w:val="99"/>
    <w:rPr>
      <w:rFonts w:ascii="Times New Roman" w:hAnsi="Times New Roman" w:eastAsia="宋体" w:cs="Times New Roman"/>
      <w:b/>
      <w:bCs/>
      <w:szCs w:val="21"/>
      <w:lang w:eastAsia="zh-TW"/>
    </w:rPr>
  </w:style>
  <w:style w:type="character" w:customStyle="1" w:styleId="413">
    <w:name w:val="样式 标题 3 + 华文中宋 小三 段前: 6 磅 段后: 6 磅 行距: 多倍行距 1.4 字行 Char1"/>
    <w:link w:val="414"/>
    <w:qFormat/>
    <w:uiPriority w:val="0"/>
    <w:rPr>
      <w:rFonts w:ascii="华文中宋" w:hAnsi="华文中宋" w:eastAsia="华文中宋"/>
      <w:b/>
      <w:color w:val="000000"/>
      <w:sz w:val="30"/>
    </w:rPr>
  </w:style>
  <w:style w:type="paragraph" w:customStyle="1" w:styleId="414">
    <w:name w:val="样式 标题 3 + 华文中宋 小三 段前: 6 磅 段后: 6 磅 行距: 多倍行距 1.4 字行"/>
    <w:basedOn w:val="20"/>
    <w:link w:val="413"/>
    <w:qFormat/>
    <w:uiPriority w:val="0"/>
    <w:pPr>
      <w:keepNext/>
      <w:keepLines w:val="0"/>
      <w:widowControl w:val="0"/>
      <w:tabs>
        <w:tab w:val="left" w:pos="844"/>
      </w:tabs>
      <w:snapToGrid/>
      <w:spacing w:line="360" w:lineRule="auto"/>
      <w:ind w:left="844" w:hanging="844"/>
      <w:jc w:val="left"/>
    </w:pPr>
    <w:rPr>
      <w:rFonts w:ascii="华文中宋" w:hAnsi="华文中宋" w:eastAsia="华文中宋" w:cstheme="minorBidi"/>
      <w:bCs w:val="0"/>
      <w:color w:val="000000"/>
      <w:spacing w:val="0"/>
      <w:kern w:val="2"/>
      <w:sz w:val="30"/>
      <w:szCs w:val="22"/>
      <w:lang w:eastAsia="zh-CN"/>
    </w:rPr>
  </w:style>
  <w:style w:type="character" w:customStyle="1" w:styleId="415">
    <w:name w:val="图名 Char"/>
    <w:link w:val="416"/>
    <w:qFormat/>
    <w:uiPriority w:val="0"/>
    <w:rPr>
      <w:rFonts w:ascii="黑体" w:eastAsia="黑体"/>
      <w:sz w:val="24"/>
      <w:szCs w:val="21"/>
    </w:rPr>
  </w:style>
  <w:style w:type="paragraph" w:customStyle="1" w:styleId="416">
    <w:name w:val="图名"/>
    <w:basedOn w:val="344"/>
    <w:next w:val="1"/>
    <w:link w:val="415"/>
    <w:qFormat/>
    <w:uiPriority w:val="0"/>
    <w:pPr>
      <w:autoSpaceDE/>
      <w:autoSpaceDN/>
      <w:spacing w:before="120" w:after="120"/>
      <w:ind w:left="182" w:leftChars="86" w:hanging="1"/>
      <w:jc w:val="center"/>
      <w:textAlignment w:val="baseline"/>
    </w:pPr>
    <w:rPr>
      <w:rFonts w:ascii="黑体" w:eastAsia="黑体" w:hAnsiTheme="minorHAnsi"/>
      <w:color w:val="auto"/>
      <w:spacing w:val="0"/>
      <w:kern w:val="2"/>
      <w:position w:val="0"/>
      <w:sz w:val="24"/>
    </w:rPr>
  </w:style>
  <w:style w:type="character" w:customStyle="1" w:styleId="417">
    <w:name w:val="标题 2 Char Char Char Char Char Char"/>
    <w:qFormat/>
    <w:uiPriority w:val="0"/>
    <w:rPr>
      <w:rFonts w:ascii="Arial" w:hAnsi="Arial" w:eastAsia="黑体"/>
      <w:b/>
      <w:bCs/>
      <w:kern w:val="2"/>
      <w:sz w:val="32"/>
      <w:szCs w:val="32"/>
      <w:lang w:val="en-US" w:eastAsia="zh-CN" w:bidi="ar-SA"/>
    </w:rPr>
  </w:style>
  <w:style w:type="character" w:customStyle="1" w:styleId="418">
    <w:name w:val="content1"/>
    <w:qFormat/>
    <w:uiPriority w:val="0"/>
    <w:rPr>
      <w:sz w:val="21"/>
      <w:szCs w:val="21"/>
    </w:rPr>
  </w:style>
  <w:style w:type="character" w:customStyle="1" w:styleId="419">
    <w:name w:val="中大图片名称 Char"/>
    <w:link w:val="420"/>
    <w:qFormat/>
    <w:uiPriority w:val="0"/>
    <w:rPr>
      <w:rFonts w:ascii="宋体" w:hAnsi="宋体"/>
      <w:b/>
      <w:sz w:val="24"/>
    </w:rPr>
  </w:style>
  <w:style w:type="paragraph" w:customStyle="1" w:styleId="420">
    <w:name w:val="中大图片名称"/>
    <w:basedOn w:val="1"/>
    <w:link w:val="419"/>
    <w:qFormat/>
    <w:uiPriority w:val="0"/>
    <w:pPr>
      <w:overflowPunct w:val="0"/>
      <w:autoSpaceDE w:val="0"/>
      <w:autoSpaceDN w:val="0"/>
      <w:adjustRightInd w:val="0"/>
      <w:snapToGrid w:val="0"/>
      <w:spacing w:line="400" w:lineRule="atLeast"/>
      <w:ind w:firstLine="425"/>
      <w:jc w:val="center"/>
    </w:pPr>
    <w:rPr>
      <w:rFonts w:ascii="宋体" w:hAnsi="宋体" w:eastAsiaTheme="minorEastAsia" w:cstheme="minorBidi"/>
      <w:b/>
      <w:sz w:val="24"/>
      <w:szCs w:val="22"/>
    </w:rPr>
  </w:style>
  <w:style w:type="character" w:customStyle="1" w:styleId="421">
    <w:name w:val="Char Char6"/>
    <w:qFormat/>
    <w:uiPriority w:val="0"/>
    <w:rPr>
      <w:rFonts w:eastAsia="宋体"/>
      <w:kern w:val="2"/>
      <w:sz w:val="24"/>
      <w:szCs w:val="24"/>
      <w:lang w:val="en-US" w:eastAsia="zh-CN" w:bidi="ar-SA"/>
    </w:rPr>
  </w:style>
  <w:style w:type="character" w:customStyle="1" w:styleId="422">
    <w:name w:val="表格 32 Char Char"/>
    <w:link w:val="423"/>
    <w:qFormat/>
    <w:uiPriority w:val="0"/>
    <w:rPr>
      <w:rFonts w:ascii="宋体" w:hAnsi="Impact"/>
      <w:kern w:val="24"/>
      <w:sz w:val="24"/>
      <w:szCs w:val="24"/>
    </w:rPr>
  </w:style>
  <w:style w:type="paragraph" w:customStyle="1" w:styleId="423">
    <w:name w:val="表格 32"/>
    <w:basedOn w:val="1"/>
    <w:link w:val="422"/>
    <w:qFormat/>
    <w:uiPriority w:val="0"/>
    <w:pPr>
      <w:autoSpaceDE w:val="0"/>
      <w:autoSpaceDN w:val="0"/>
      <w:adjustRightInd w:val="0"/>
      <w:jc w:val="center"/>
      <w:textAlignment w:val="baseline"/>
    </w:pPr>
    <w:rPr>
      <w:rFonts w:ascii="宋体" w:hAnsi="Impact" w:eastAsiaTheme="minorEastAsia" w:cstheme="minorBidi"/>
      <w:kern w:val="24"/>
      <w:sz w:val="24"/>
    </w:rPr>
  </w:style>
  <w:style w:type="character" w:customStyle="1" w:styleId="424">
    <w:name w:val="正文文体 Char Char"/>
    <w:link w:val="425"/>
    <w:qFormat/>
    <w:uiPriority w:val="0"/>
    <w:rPr>
      <w:rFonts w:ascii="宋体"/>
      <w:spacing w:val="8"/>
      <w:sz w:val="24"/>
    </w:rPr>
  </w:style>
  <w:style w:type="paragraph" w:customStyle="1" w:styleId="425">
    <w:name w:val="正文文体"/>
    <w:basedOn w:val="1"/>
    <w:link w:val="424"/>
    <w:qFormat/>
    <w:uiPriority w:val="0"/>
    <w:pPr>
      <w:spacing w:line="480" w:lineRule="exact"/>
      <w:jc w:val="center"/>
    </w:pPr>
    <w:rPr>
      <w:rFonts w:ascii="宋体" w:hAnsiTheme="minorHAnsi" w:eastAsiaTheme="minorEastAsia" w:cstheme="minorBidi"/>
      <w:spacing w:val="8"/>
      <w:sz w:val="24"/>
      <w:szCs w:val="22"/>
    </w:rPr>
  </w:style>
  <w:style w:type="character" w:customStyle="1" w:styleId="426">
    <w:name w:val="无间隔 Char"/>
    <w:link w:val="427"/>
    <w:qFormat/>
    <w:uiPriority w:val="0"/>
    <w:rPr>
      <w:color w:val="000000"/>
      <w:szCs w:val="24"/>
    </w:rPr>
  </w:style>
  <w:style w:type="paragraph" w:customStyle="1" w:styleId="427">
    <w:name w:val="无间隔1"/>
    <w:link w:val="426"/>
    <w:qFormat/>
    <w:uiPriority w:val="0"/>
    <w:pPr>
      <w:widowControl w:val="0"/>
      <w:spacing w:line="312" w:lineRule="auto"/>
      <w:jc w:val="center"/>
    </w:pPr>
    <w:rPr>
      <w:rFonts w:asciiTheme="minorHAnsi" w:hAnsiTheme="minorHAnsi" w:eastAsiaTheme="minorEastAsia" w:cstheme="minorBidi"/>
      <w:color w:val="000000"/>
      <w:kern w:val="2"/>
      <w:sz w:val="21"/>
      <w:szCs w:val="24"/>
      <w:lang w:val="en-US" w:eastAsia="zh-CN" w:bidi="ar-SA"/>
    </w:rPr>
  </w:style>
  <w:style w:type="character" w:customStyle="1" w:styleId="428">
    <w:name w:val="p14_black_1501"/>
    <w:qFormat/>
    <w:uiPriority w:val="0"/>
    <w:rPr>
      <w:sz w:val="22"/>
      <w:szCs w:val="22"/>
    </w:rPr>
  </w:style>
  <w:style w:type="character" w:customStyle="1" w:styleId="429">
    <w:name w:val="报告表正文 Char"/>
    <w:link w:val="430"/>
    <w:qFormat/>
    <w:locked/>
    <w:uiPriority w:val="0"/>
  </w:style>
  <w:style w:type="paragraph" w:customStyle="1" w:styleId="430">
    <w:name w:val="报告表正文"/>
    <w:basedOn w:val="1"/>
    <w:link w:val="429"/>
    <w:qFormat/>
    <w:uiPriority w:val="0"/>
    <w:pPr>
      <w:adjustRightInd w:val="0"/>
      <w:jc w:val="center"/>
      <w:textAlignment w:val="baseline"/>
    </w:pPr>
    <w:rPr>
      <w:rFonts w:asciiTheme="minorHAnsi" w:hAnsiTheme="minorHAnsi" w:eastAsiaTheme="minorEastAsia" w:cstheme="minorBidi"/>
      <w:szCs w:val="22"/>
    </w:rPr>
  </w:style>
  <w:style w:type="character" w:customStyle="1" w:styleId="431">
    <w:name w:val="样式7 Char Char"/>
    <w:link w:val="432"/>
    <w:qFormat/>
    <w:uiPriority w:val="0"/>
    <w:rPr>
      <w:sz w:val="24"/>
      <w:szCs w:val="24"/>
      <w:lang w:val="zh-CN"/>
    </w:rPr>
  </w:style>
  <w:style w:type="paragraph" w:customStyle="1" w:styleId="432">
    <w:name w:val="样式7"/>
    <w:basedOn w:val="1"/>
    <w:link w:val="431"/>
    <w:qFormat/>
    <w:uiPriority w:val="0"/>
    <w:pPr>
      <w:adjustRightInd w:val="0"/>
      <w:spacing w:line="300" w:lineRule="auto"/>
      <w:ind w:firstLine="480" w:firstLineChars="200"/>
      <w:textAlignment w:val="baseline"/>
    </w:pPr>
    <w:rPr>
      <w:rFonts w:asciiTheme="minorHAnsi" w:hAnsiTheme="minorHAnsi" w:eastAsiaTheme="minorEastAsia" w:cstheme="minorBidi"/>
      <w:sz w:val="24"/>
      <w:lang w:val="zh-CN"/>
    </w:rPr>
  </w:style>
  <w:style w:type="character" w:customStyle="1" w:styleId="433">
    <w:name w:val="缩进 Char Char"/>
    <w:qFormat/>
    <w:uiPriority w:val="0"/>
    <w:rPr>
      <w:rFonts w:eastAsia="宋体"/>
      <w:color w:val="000000"/>
      <w:sz w:val="24"/>
      <w:szCs w:val="21"/>
    </w:rPr>
  </w:style>
  <w:style w:type="character" w:customStyle="1" w:styleId="434">
    <w:name w:val="第2级标题 Char Char"/>
    <w:link w:val="435"/>
    <w:qFormat/>
    <w:uiPriority w:val="0"/>
    <w:rPr>
      <w:rFonts w:eastAsia="华文中宋"/>
      <w:b/>
      <w:bCs/>
      <w:sz w:val="32"/>
      <w:szCs w:val="32"/>
    </w:rPr>
  </w:style>
  <w:style w:type="paragraph" w:customStyle="1" w:styleId="435">
    <w:name w:val="第2级标题"/>
    <w:basedOn w:val="19"/>
    <w:next w:val="1"/>
    <w:link w:val="434"/>
    <w:qFormat/>
    <w:uiPriority w:val="0"/>
    <w:pPr>
      <w:keepNext/>
      <w:keepLines/>
      <w:pBdr>
        <w:bottom w:val="none" w:color="auto" w:sz="0" w:space="0"/>
      </w:pBdr>
      <w:tabs>
        <w:tab w:val="left" w:pos="864"/>
      </w:tabs>
      <w:spacing w:before="100" w:beforeAutospacing="1" w:after="100" w:afterAutospacing="1" w:line="500" w:lineRule="exact"/>
      <w:ind w:left="864" w:hanging="864"/>
    </w:pPr>
    <w:rPr>
      <w:rFonts w:eastAsia="华文中宋" w:asciiTheme="minorHAnsi" w:hAnsiTheme="minorHAnsi" w:cstheme="minorBidi"/>
      <w:bCs/>
      <w:caps w:val="0"/>
      <w:color w:val="auto"/>
      <w:spacing w:val="0"/>
      <w:kern w:val="2"/>
      <w:sz w:val="32"/>
      <w:szCs w:val="32"/>
      <w:lang w:eastAsia="zh-CN"/>
    </w:rPr>
  </w:style>
  <w:style w:type="character" w:customStyle="1" w:styleId="436">
    <w:name w:val="lh151"/>
    <w:qFormat/>
    <w:uiPriority w:val="0"/>
  </w:style>
  <w:style w:type="character" w:customStyle="1" w:styleId="437">
    <w:name w:val="标题1"/>
    <w:qFormat/>
    <w:uiPriority w:val="0"/>
  </w:style>
  <w:style w:type="character" w:customStyle="1" w:styleId="438">
    <w:name w:val="hei141"/>
    <w:qFormat/>
    <w:uiPriority w:val="0"/>
    <w:rPr>
      <w:sz w:val="21"/>
      <w:szCs w:val="21"/>
      <w:u w:val="none"/>
    </w:rPr>
  </w:style>
  <w:style w:type="character" w:customStyle="1" w:styleId="439">
    <w:name w:val="注释 Char Char"/>
    <w:link w:val="440"/>
    <w:qFormat/>
    <w:uiPriority w:val="0"/>
    <w:rPr>
      <w:rFonts w:ascii="宋体"/>
      <w:spacing w:val="4"/>
      <w:szCs w:val="24"/>
    </w:rPr>
  </w:style>
  <w:style w:type="paragraph" w:customStyle="1" w:styleId="440">
    <w:name w:val="注释"/>
    <w:basedOn w:val="1"/>
    <w:link w:val="439"/>
    <w:qFormat/>
    <w:uiPriority w:val="0"/>
    <w:pPr>
      <w:adjustRightInd w:val="0"/>
      <w:snapToGrid w:val="0"/>
      <w:spacing w:line="360" w:lineRule="auto"/>
      <w:textAlignment w:val="baseline"/>
    </w:pPr>
    <w:rPr>
      <w:rFonts w:ascii="宋体" w:hAnsiTheme="minorHAnsi" w:eastAsiaTheme="minorEastAsia" w:cstheme="minorBidi"/>
      <w:spacing w:val="4"/>
    </w:rPr>
  </w:style>
  <w:style w:type="character" w:customStyle="1" w:styleId="441">
    <w:name w:val="三级标题 Char"/>
    <w:link w:val="442"/>
    <w:qFormat/>
    <w:uiPriority w:val="0"/>
    <w:rPr>
      <w:rFonts w:ascii="宋体" w:hAnsi="宋体"/>
      <w:b/>
      <w:sz w:val="24"/>
      <w:szCs w:val="24"/>
    </w:rPr>
  </w:style>
  <w:style w:type="paragraph" w:customStyle="1" w:styleId="442">
    <w:name w:val="三级标题"/>
    <w:basedOn w:val="1"/>
    <w:link w:val="441"/>
    <w:qFormat/>
    <w:uiPriority w:val="0"/>
    <w:pPr>
      <w:keepNext/>
      <w:tabs>
        <w:tab w:val="left" w:pos="-420"/>
      </w:tabs>
      <w:spacing w:beforeLines="50" w:afterLines="50" w:line="360" w:lineRule="auto"/>
      <w:ind w:left="420" w:hanging="420"/>
      <w:outlineLvl w:val="2"/>
    </w:pPr>
    <w:rPr>
      <w:rFonts w:ascii="宋体" w:hAnsi="宋体" w:eastAsiaTheme="minorEastAsia" w:cstheme="minorBidi"/>
      <w:b/>
      <w:sz w:val="24"/>
    </w:rPr>
  </w:style>
  <w:style w:type="character" w:customStyle="1" w:styleId="443">
    <w:name w:val="缩进 Char"/>
    <w:link w:val="444"/>
    <w:qFormat/>
    <w:uiPriority w:val="0"/>
    <w:rPr>
      <w:rFonts w:ascii="宋体" w:hAnsi="宋体"/>
      <w:sz w:val="24"/>
      <w:szCs w:val="24"/>
    </w:rPr>
  </w:style>
  <w:style w:type="paragraph" w:customStyle="1" w:styleId="444">
    <w:name w:val="缩进"/>
    <w:basedOn w:val="1"/>
    <w:link w:val="443"/>
    <w:qFormat/>
    <w:uiPriority w:val="0"/>
    <w:pPr>
      <w:tabs>
        <w:tab w:val="left" w:pos="-52"/>
      </w:tabs>
      <w:spacing w:line="400" w:lineRule="atLeast"/>
      <w:ind w:right="-4" w:firstLine="425"/>
    </w:pPr>
    <w:rPr>
      <w:rFonts w:ascii="宋体" w:hAnsi="宋体" w:eastAsiaTheme="minorEastAsia" w:cstheme="minorBidi"/>
      <w:sz w:val="24"/>
    </w:rPr>
  </w:style>
  <w:style w:type="character" w:customStyle="1" w:styleId="445">
    <w:name w:val="正 文 Char Char"/>
    <w:qFormat/>
    <w:uiPriority w:val="0"/>
    <w:rPr>
      <w:kern w:val="2"/>
      <w:sz w:val="24"/>
      <w:szCs w:val="22"/>
    </w:rPr>
  </w:style>
  <w:style w:type="character" w:customStyle="1" w:styleId="446">
    <w:name w:val="HTML 地址 Char1"/>
    <w:qFormat/>
    <w:uiPriority w:val="0"/>
    <w:rPr>
      <w:i/>
      <w:iCs/>
      <w:kern w:val="2"/>
      <w:sz w:val="21"/>
      <w:szCs w:val="21"/>
      <w:lang w:eastAsia="zh-TW"/>
    </w:rPr>
  </w:style>
  <w:style w:type="character" w:customStyle="1" w:styleId="447">
    <w:name w:val="phone"/>
    <w:qFormat/>
    <w:uiPriority w:val="0"/>
  </w:style>
  <w:style w:type="character" w:customStyle="1" w:styleId="448">
    <w:name w:val="Char Char Char Char2"/>
    <w:qFormat/>
    <w:uiPriority w:val="0"/>
    <w:rPr>
      <w:rFonts w:ascii="黑体" w:hAnsi="宋体" w:eastAsia="黑体" w:cs="Arial"/>
      <w:kern w:val="2"/>
      <w:sz w:val="24"/>
      <w:szCs w:val="24"/>
      <w:lang w:val="en-US" w:eastAsia="zh-CN" w:bidi="ar-SA"/>
    </w:rPr>
  </w:style>
  <w:style w:type="character" w:customStyle="1" w:styleId="449">
    <w:name w:val="正文标准格式张 Char Char"/>
    <w:link w:val="450"/>
    <w:qFormat/>
    <w:uiPriority w:val="0"/>
    <w:rPr>
      <w:rFonts w:ascii="宋体" w:hAnsi="宋体"/>
      <w:sz w:val="24"/>
    </w:rPr>
  </w:style>
  <w:style w:type="paragraph" w:customStyle="1" w:styleId="450">
    <w:name w:val="正文标准格式张"/>
    <w:basedOn w:val="1"/>
    <w:link w:val="449"/>
    <w:qFormat/>
    <w:uiPriority w:val="0"/>
    <w:pPr>
      <w:adjustRightInd w:val="0"/>
      <w:snapToGrid w:val="0"/>
      <w:spacing w:line="360" w:lineRule="auto"/>
      <w:ind w:firstLine="480" w:firstLineChars="200"/>
      <w:textAlignment w:val="baseline"/>
    </w:pPr>
    <w:rPr>
      <w:rFonts w:ascii="宋体" w:hAnsi="宋体" w:eastAsiaTheme="minorEastAsia" w:cstheme="minorBidi"/>
      <w:sz w:val="24"/>
      <w:szCs w:val="22"/>
    </w:rPr>
  </w:style>
  <w:style w:type="character" w:customStyle="1" w:styleId="451">
    <w:name w:val="M表标题行 Char Char"/>
    <w:link w:val="452"/>
    <w:qFormat/>
    <w:locked/>
    <w:uiPriority w:val="0"/>
    <w:rPr>
      <w:b/>
      <w:szCs w:val="24"/>
    </w:rPr>
  </w:style>
  <w:style w:type="paragraph" w:customStyle="1" w:styleId="452">
    <w:name w:val="M表标题行"/>
    <w:basedOn w:val="1"/>
    <w:link w:val="451"/>
    <w:qFormat/>
    <w:uiPriority w:val="0"/>
    <w:pPr>
      <w:adjustRightInd w:val="0"/>
      <w:snapToGrid w:val="0"/>
      <w:jc w:val="center"/>
    </w:pPr>
    <w:rPr>
      <w:rFonts w:asciiTheme="minorHAnsi" w:hAnsiTheme="minorHAnsi" w:eastAsiaTheme="minorEastAsia" w:cstheme="minorBidi"/>
      <w:b/>
    </w:rPr>
  </w:style>
  <w:style w:type="character" w:customStyle="1" w:styleId="453">
    <w:name w:val="标题四. Char Char"/>
    <w:link w:val="454"/>
    <w:qFormat/>
    <w:uiPriority w:val="0"/>
    <w:rPr>
      <w:sz w:val="24"/>
      <w:szCs w:val="24"/>
    </w:rPr>
  </w:style>
  <w:style w:type="paragraph" w:customStyle="1" w:styleId="454">
    <w:name w:val="标题四."/>
    <w:basedOn w:val="1"/>
    <w:link w:val="453"/>
    <w:qFormat/>
    <w:uiPriority w:val="0"/>
    <w:pPr>
      <w:keepNext/>
      <w:spacing w:line="480" w:lineRule="exact"/>
      <w:ind w:firstLine="471"/>
      <w:outlineLvl w:val="3"/>
    </w:pPr>
    <w:rPr>
      <w:rFonts w:asciiTheme="minorHAnsi" w:hAnsiTheme="minorHAnsi" w:eastAsiaTheme="minorEastAsia" w:cstheme="minorBidi"/>
      <w:sz w:val="24"/>
    </w:rPr>
  </w:style>
  <w:style w:type="character" w:customStyle="1" w:styleId="455">
    <w:name w:val="一级标题 Char Char"/>
    <w:qFormat/>
    <w:uiPriority w:val="0"/>
    <w:rPr>
      <w:rFonts w:ascii="Arial" w:hAnsi="Arial" w:eastAsia="黑体"/>
      <w:kern w:val="2"/>
      <w:sz w:val="44"/>
      <w:szCs w:val="44"/>
      <w:lang w:val="zh-CN" w:eastAsia="zh-CN" w:bidi="ar-SA"/>
    </w:rPr>
  </w:style>
  <w:style w:type="character" w:customStyle="1" w:styleId="456">
    <w:name w:val="批注框文本 Char"/>
    <w:qFormat/>
    <w:uiPriority w:val="0"/>
    <w:rPr>
      <w:rFonts w:ascii="Calibri" w:hAnsi="Calibri"/>
      <w:kern w:val="2"/>
      <w:sz w:val="18"/>
      <w:szCs w:val="18"/>
      <w:lang w:eastAsia="zh-TW"/>
    </w:rPr>
  </w:style>
  <w:style w:type="character" w:customStyle="1" w:styleId="457">
    <w:name w:val="表格 32 Char"/>
    <w:qFormat/>
    <w:uiPriority w:val="0"/>
    <w:rPr>
      <w:rFonts w:ascii="宋体" w:hAnsi="Impact" w:eastAsia="宋体"/>
      <w:kern w:val="24"/>
      <w:sz w:val="24"/>
      <w:lang w:bidi="ar-SA"/>
    </w:rPr>
  </w:style>
  <w:style w:type="character" w:customStyle="1" w:styleId="458">
    <w:name w:val="脚注文本 Char1"/>
    <w:qFormat/>
    <w:uiPriority w:val="0"/>
    <w:rPr>
      <w:kern w:val="2"/>
      <w:sz w:val="18"/>
      <w:szCs w:val="18"/>
      <w:lang w:eastAsia="zh-TW"/>
    </w:rPr>
  </w:style>
  <w:style w:type="character" w:customStyle="1" w:styleId="459">
    <w:name w:val="表头 Char Char Char Char Char"/>
    <w:qFormat/>
    <w:uiPriority w:val="0"/>
    <w:rPr>
      <w:rFonts w:eastAsia="黑体"/>
      <w:kern w:val="24"/>
      <w:sz w:val="24"/>
      <w:lang w:bidi="ar-SA"/>
    </w:rPr>
  </w:style>
  <w:style w:type="character" w:customStyle="1" w:styleId="460">
    <w:name w:val="zengwen11"/>
    <w:qFormat/>
    <w:uiPriority w:val="0"/>
    <w:rPr>
      <w:color w:val="000000"/>
      <w:sz w:val="18"/>
      <w:szCs w:val="18"/>
      <w:u w:val="none"/>
    </w:rPr>
  </w:style>
  <w:style w:type="character" w:customStyle="1" w:styleId="461">
    <w:name w:val="报告正文 Char"/>
    <w:link w:val="462"/>
    <w:qFormat/>
    <w:uiPriority w:val="0"/>
    <w:rPr>
      <w:rFonts w:cs="宋体"/>
      <w:sz w:val="24"/>
      <w:szCs w:val="24"/>
    </w:rPr>
  </w:style>
  <w:style w:type="paragraph" w:customStyle="1" w:styleId="462">
    <w:name w:val="报告正文"/>
    <w:basedOn w:val="1"/>
    <w:link w:val="461"/>
    <w:qFormat/>
    <w:uiPriority w:val="0"/>
    <w:pPr>
      <w:spacing w:beforeLines="50" w:afterLines="50" w:line="460" w:lineRule="exact"/>
      <w:ind w:firstLine="200" w:firstLineChars="200"/>
    </w:pPr>
    <w:rPr>
      <w:rFonts w:cs="宋体" w:asciiTheme="minorHAnsi" w:hAnsiTheme="minorHAnsi" w:eastAsiaTheme="minorEastAsia"/>
      <w:sz w:val="24"/>
    </w:rPr>
  </w:style>
  <w:style w:type="character" w:customStyle="1" w:styleId="463">
    <w:name w:val="四级标题 Char"/>
    <w:link w:val="464"/>
    <w:qFormat/>
    <w:uiPriority w:val="0"/>
    <w:rPr>
      <w:rFonts w:ascii="宋体" w:hAnsi="宋体"/>
      <w:b/>
      <w:sz w:val="24"/>
      <w:szCs w:val="24"/>
    </w:rPr>
  </w:style>
  <w:style w:type="paragraph" w:customStyle="1" w:styleId="464">
    <w:name w:val="四级标题"/>
    <w:basedOn w:val="1"/>
    <w:link w:val="463"/>
    <w:qFormat/>
    <w:uiPriority w:val="0"/>
    <w:pPr>
      <w:keepNext/>
      <w:adjustRightInd w:val="0"/>
      <w:snapToGrid w:val="0"/>
      <w:spacing w:line="360" w:lineRule="auto"/>
    </w:pPr>
    <w:rPr>
      <w:rFonts w:ascii="宋体" w:hAnsi="宋体" w:eastAsiaTheme="minorEastAsia" w:cstheme="minorBidi"/>
      <w:b/>
      <w:sz w:val="24"/>
    </w:rPr>
  </w:style>
  <w:style w:type="character" w:customStyle="1" w:styleId="465">
    <w:name w:val="表格文字 Char"/>
    <w:link w:val="466"/>
    <w:qFormat/>
    <w:uiPriority w:val="0"/>
    <w:rPr>
      <w:rFonts w:ascii="宋体"/>
      <w:sz w:val="24"/>
      <w:lang w:eastAsia="zh-TW"/>
    </w:rPr>
  </w:style>
  <w:style w:type="paragraph" w:customStyle="1" w:styleId="466">
    <w:name w:val="表格文字"/>
    <w:basedOn w:val="1"/>
    <w:link w:val="465"/>
    <w:qFormat/>
    <w:uiPriority w:val="0"/>
    <w:pPr>
      <w:adjustRightInd w:val="0"/>
      <w:snapToGrid w:val="0"/>
      <w:jc w:val="center"/>
    </w:pPr>
    <w:rPr>
      <w:rFonts w:ascii="宋体" w:hAnsiTheme="minorHAnsi" w:eastAsiaTheme="minorEastAsia" w:cstheme="minorBidi"/>
      <w:sz w:val="24"/>
      <w:szCs w:val="22"/>
      <w:lang w:eastAsia="zh-TW"/>
    </w:rPr>
  </w:style>
  <w:style w:type="character" w:customStyle="1" w:styleId="467">
    <w:name w:val="注释标题 Char1"/>
    <w:qFormat/>
    <w:uiPriority w:val="0"/>
    <w:rPr>
      <w:kern w:val="2"/>
      <w:sz w:val="21"/>
      <w:szCs w:val="21"/>
      <w:lang w:eastAsia="zh-TW"/>
    </w:rPr>
  </w:style>
  <w:style w:type="character" w:customStyle="1" w:styleId="468">
    <w:name w:val="表格1 Char1"/>
    <w:link w:val="469"/>
    <w:qFormat/>
    <w:uiPriority w:val="0"/>
    <w:rPr>
      <w:rFonts w:ascii="CG Times (WN)"/>
      <w:sz w:val="24"/>
      <w:lang w:eastAsia="zh-TW"/>
    </w:rPr>
  </w:style>
  <w:style w:type="paragraph" w:customStyle="1" w:styleId="469">
    <w:name w:val="表格1"/>
    <w:basedOn w:val="1"/>
    <w:link w:val="468"/>
    <w:qFormat/>
    <w:uiPriority w:val="0"/>
    <w:pPr>
      <w:adjustRightInd w:val="0"/>
      <w:spacing w:line="360" w:lineRule="atLeast"/>
      <w:jc w:val="center"/>
      <w:textAlignment w:val="baseline"/>
    </w:pPr>
    <w:rPr>
      <w:rFonts w:ascii="CG Times (WN)" w:hAnsiTheme="minorHAnsi" w:eastAsiaTheme="minorEastAsia" w:cstheme="minorBidi"/>
      <w:sz w:val="24"/>
      <w:szCs w:val="22"/>
      <w:lang w:eastAsia="zh-TW"/>
    </w:rPr>
  </w:style>
  <w:style w:type="character" w:customStyle="1" w:styleId="470">
    <w:name w:val="图名. Char Char"/>
    <w:link w:val="471"/>
    <w:qFormat/>
    <w:uiPriority w:val="0"/>
    <w:rPr>
      <w:rFonts w:ascii="Arial" w:hAnsi="Arial" w:eastAsia="黑体"/>
      <w:sz w:val="24"/>
      <w:szCs w:val="24"/>
      <w:lang w:val="eu-ES"/>
    </w:rPr>
  </w:style>
  <w:style w:type="paragraph" w:customStyle="1" w:styleId="471">
    <w:name w:val="图名."/>
    <w:basedOn w:val="1"/>
    <w:link w:val="470"/>
    <w:qFormat/>
    <w:uiPriority w:val="0"/>
    <w:pPr>
      <w:spacing w:line="480" w:lineRule="exact"/>
      <w:jc w:val="center"/>
    </w:pPr>
    <w:rPr>
      <w:rFonts w:ascii="Arial" w:hAnsi="Arial" w:eastAsia="黑体" w:cstheme="minorBidi"/>
      <w:sz w:val="24"/>
      <w:lang w:val="eu-ES"/>
    </w:rPr>
  </w:style>
  <w:style w:type="character" w:customStyle="1" w:styleId="472">
    <w:name w:val="五级标题 Char"/>
    <w:link w:val="473"/>
    <w:qFormat/>
    <w:uiPriority w:val="0"/>
    <w:rPr>
      <w:rFonts w:ascii="宋体" w:hAnsi="宋体"/>
      <w:b/>
      <w:sz w:val="24"/>
      <w:szCs w:val="24"/>
    </w:rPr>
  </w:style>
  <w:style w:type="paragraph" w:customStyle="1" w:styleId="473">
    <w:name w:val="五级标题"/>
    <w:basedOn w:val="464"/>
    <w:link w:val="472"/>
    <w:qFormat/>
    <w:uiPriority w:val="0"/>
  </w:style>
  <w:style w:type="character" w:customStyle="1" w:styleId="474">
    <w:name w:val="postbody1"/>
    <w:qFormat/>
    <w:uiPriority w:val="0"/>
    <w:rPr>
      <w:sz w:val="18"/>
      <w:szCs w:val="18"/>
    </w:rPr>
  </w:style>
  <w:style w:type="character" w:customStyle="1" w:styleId="475">
    <w:name w:val="DL段落 Char Char"/>
    <w:link w:val="476"/>
    <w:qFormat/>
    <w:uiPriority w:val="0"/>
    <w:rPr>
      <w:sz w:val="24"/>
    </w:rPr>
  </w:style>
  <w:style w:type="paragraph" w:customStyle="1" w:styleId="476">
    <w:name w:val="DL段落"/>
    <w:basedOn w:val="1"/>
    <w:link w:val="475"/>
    <w:qFormat/>
    <w:uiPriority w:val="0"/>
    <w:pPr>
      <w:adjustRightInd w:val="0"/>
      <w:spacing w:line="360" w:lineRule="auto"/>
      <w:ind w:firstLine="200" w:firstLineChars="200"/>
      <w:textAlignment w:val="baseline"/>
    </w:pPr>
    <w:rPr>
      <w:rFonts w:asciiTheme="minorHAnsi" w:hAnsiTheme="minorHAnsi" w:eastAsiaTheme="minorEastAsia" w:cstheme="minorBidi"/>
      <w:sz w:val="24"/>
      <w:szCs w:val="22"/>
    </w:rPr>
  </w:style>
  <w:style w:type="character" w:customStyle="1" w:styleId="477">
    <w:name w:val="dectext1"/>
    <w:qFormat/>
    <w:uiPriority w:val="0"/>
  </w:style>
  <w:style w:type="character" w:customStyle="1" w:styleId="478">
    <w:name w:val="detail_style11"/>
    <w:qFormat/>
    <w:uiPriority w:val="0"/>
    <w:rPr>
      <w:rFonts w:hint="default" w:ascii="Arial" w:hAnsi="Arial" w:cs="Arial"/>
      <w:color w:val="000000"/>
      <w:sz w:val="21"/>
      <w:szCs w:val="21"/>
    </w:rPr>
  </w:style>
  <w:style w:type="character" w:customStyle="1" w:styleId="479">
    <w:name w:val="标题 3 Char Char"/>
    <w:qFormat/>
    <w:uiPriority w:val="0"/>
    <w:rPr>
      <w:rFonts w:eastAsia="仿宋_GB2312"/>
      <w:b/>
      <w:bCs/>
      <w:kern w:val="2"/>
      <w:sz w:val="24"/>
      <w:szCs w:val="24"/>
      <w:lang w:val="en-US" w:eastAsia="zh-CN"/>
    </w:rPr>
  </w:style>
  <w:style w:type="character" w:customStyle="1" w:styleId="480">
    <w:name w:val="1正文 Char"/>
    <w:link w:val="481"/>
    <w:qFormat/>
    <w:uiPriority w:val="0"/>
    <w:rPr>
      <w:b/>
      <w:sz w:val="24"/>
      <w:szCs w:val="24"/>
    </w:rPr>
  </w:style>
  <w:style w:type="paragraph" w:customStyle="1" w:styleId="481">
    <w:name w:val="1正文"/>
    <w:basedOn w:val="1"/>
    <w:link w:val="480"/>
    <w:qFormat/>
    <w:uiPriority w:val="0"/>
    <w:pPr>
      <w:spacing w:line="360" w:lineRule="auto"/>
      <w:ind w:firstLine="480" w:firstLineChars="200"/>
    </w:pPr>
    <w:rPr>
      <w:rFonts w:asciiTheme="minorHAnsi" w:hAnsiTheme="minorHAnsi" w:eastAsiaTheme="minorEastAsia" w:cstheme="minorBidi"/>
      <w:b/>
      <w:sz w:val="24"/>
    </w:rPr>
  </w:style>
  <w:style w:type="character" w:customStyle="1" w:styleId="482">
    <w:name w:val="列表(L) Char Char"/>
    <w:link w:val="483"/>
    <w:qFormat/>
    <w:uiPriority w:val="0"/>
    <w:rPr>
      <w:rFonts w:ascii="宋体" w:hAnsi="宋体"/>
    </w:rPr>
  </w:style>
  <w:style w:type="paragraph" w:customStyle="1" w:styleId="483">
    <w:name w:val="列表(L)"/>
    <w:basedOn w:val="16"/>
    <w:link w:val="482"/>
    <w:qFormat/>
    <w:uiPriority w:val="0"/>
    <w:pPr>
      <w:snapToGrid w:val="0"/>
      <w:ind w:left="0" w:firstLine="0" w:firstLineChars="0"/>
    </w:pPr>
    <w:rPr>
      <w:rFonts w:ascii="宋体" w:hAnsi="宋体" w:eastAsiaTheme="minorEastAsia" w:cstheme="minorBidi"/>
      <w:szCs w:val="22"/>
      <w:lang w:eastAsia="zh-CN"/>
    </w:rPr>
  </w:style>
  <w:style w:type="character" w:customStyle="1" w:styleId="484">
    <w:name w:val="文章正文样式 Char"/>
    <w:link w:val="485"/>
    <w:qFormat/>
    <w:uiPriority w:val="0"/>
    <w:rPr>
      <w:rFonts w:ascii="宋体" w:hAnsi="宋体" w:cs="宋体"/>
      <w:sz w:val="24"/>
    </w:rPr>
  </w:style>
  <w:style w:type="paragraph" w:customStyle="1" w:styleId="485">
    <w:name w:val="文章正文样式"/>
    <w:basedOn w:val="1"/>
    <w:link w:val="484"/>
    <w:qFormat/>
    <w:uiPriority w:val="0"/>
    <w:pPr>
      <w:spacing w:line="520" w:lineRule="exact"/>
      <w:ind w:firstLine="480" w:firstLineChars="200"/>
      <w:jc w:val="left"/>
    </w:pPr>
    <w:rPr>
      <w:rFonts w:ascii="宋体" w:hAnsi="宋体" w:cs="宋体" w:eastAsiaTheme="minorEastAsia"/>
      <w:sz w:val="24"/>
      <w:szCs w:val="22"/>
    </w:rPr>
  </w:style>
  <w:style w:type="character" w:customStyle="1" w:styleId="486">
    <w:name w:val="样式 样式 正文首行缩进 2 + 首行缩进:  2 字符1 + 宋体 Char Char"/>
    <w:link w:val="487"/>
    <w:qFormat/>
    <w:uiPriority w:val="0"/>
    <w:rPr>
      <w:rFonts w:ascii="宋体" w:hAnsi="宋体"/>
      <w:sz w:val="24"/>
    </w:rPr>
  </w:style>
  <w:style w:type="paragraph" w:customStyle="1" w:styleId="487">
    <w:name w:val="样式 样式 正文首行缩进 2 + 首行缩进:  2 字符1 + 宋体"/>
    <w:basedOn w:val="1"/>
    <w:link w:val="486"/>
    <w:qFormat/>
    <w:uiPriority w:val="0"/>
    <w:pPr>
      <w:adjustRightInd w:val="0"/>
      <w:spacing w:after="120" w:line="360" w:lineRule="auto"/>
      <w:ind w:firstLine="480" w:firstLineChars="200"/>
      <w:textAlignment w:val="baseline"/>
    </w:pPr>
    <w:rPr>
      <w:rFonts w:ascii="宋体" w:hAnsi="宋体" w:eastAsiaTheme="minorEastAsia" w:cstheme="minorBidi"/>
      <w:sz w:val="24"/>
      <w:szCs w:val="22"/>
    </w:rPr>
  </w:style>
  <w:style w:type="character" w:customStyle="1" w:styleId="488">
    <w:name w:val="样式 注释标题 + Arial Char Char"/>
    <w:link w:val="489"/>
    <w:qFormat/>
    <w:uiPriority w:val="0"/>
    <w:rPr>
      <w:rFonts w:ascii="Arial" w:hAnsi="Arial" w:eastAsia="黑体"/>
      <w:sz w:val="24"/>
    </w:rPr>
  </w:style>
  <w:style w:type="paragraph" w:customStyle="1" w:styleId="489">
    <w:name w:val="样式 注释标题 + Arial"/>
    <w:basedOn w:val="30"/>
    <w:link w:val="488"/>
    <w:qFormat/>
    <w:uiPriority w:val="0"/>
    <w:pPr>
      <w:adjustRightInd/>
      <w:snapToGrid w:val="0"/>
      <w:textAlignment w:val="auto"/>
    </w:pPr>
    <w:rPr>
      <w:rFonts w:ascii="Arial" w:hAnsi="Arial" w:eastAsia="黑体" w:cstheme="minorBidi"/>
    </w:rPr>
  </w:style>
  <w:style w:type="character" w:customStyle="1" w:styleId="490">
    <w:name w:val="Char Char Char Char Char Char1"/>
    <w:qFormat/>
    <w:uiPriority w:val="0"/>
    <w:rPr>
      <w:rFonts w:cs="Arial"/>
      <w:b/>
      <w:sz w:val="21"/>
      <w:szCs w:val="21"/>
    </w:rPr>
  </w:style>
  <w:style w:type="character" w:customStyle="1" w:styleId="491">
    <w:name w:val="样式 正 文 + (西文) Times New Roman (中文) 宋体 Char Char"/>
    <w:link w:val="492"/>
    <w:qFormat/>
    <w:uiPriority w:val="0"/>
    <w:rPr>
      <w:color w:val="000000"/>
      <w:spacing w:val="8"/>
      <w:sz w:val="24"/>
    </w:rPr>
  </w:style>
  <w:style w:type="paragraph" w:customStyle="1" w:styleId="492">
    <w:name w:val="样式 正 文 + (西文) Times New Roman (中文) 宋体"/>
    <w:basedOn w:val="1"/>
    <w:link w:val="491"/>
    <w:qFormat/>
    <w:uiPriority w:val="0"/>
    <w:pPr>
      <w:spacing w:line="480" w:lineRule="exact"/>
      <w:jc w:val="center"/>
    </w:pPr>
    <w:rPr>
      <w:rFonts w:asciiTheme="minorHAnsi" w:hAnsiTheme="minorHAnsi" w:eastAsiaTheme="minorEastAsia" w:cstheme="minorBidi"/>
      <w:color w:val="000000"/>
      <w:spacing w:val="8"/>
      <w:sz w:val="24"/>
      <w:szCs w:val="22"/>
    </w:rPr>
  </w:style>
  <w:style w:type="character" w:customStyle="1" w:styleId="493">
    <w:name w:val="页眉 Char1"/>
    <w:qFormat/>
    <w:uiPriority w:val="0"/>
    <w:rPr>
      <w:rFonts w:hint="eastAsia" w:ascii="宋体" w:hAnsi="宋体" w:eastAsia="宋体" w:cs="宋体"/>
      <w:sz w:val="18"/>
      <w:szCs w:val="18"/>
    </w:rPr>
  </w:style>
  <w:style w:type="character" w:customStyle="1" w:styleId="494">
    <w:name w:val="font81"/>
    <w:qFormat/>
    <w:uiPriority w:val="0"/>
    <w:rPr>
      <w:rFonts w:hint="eastAsia" w:ascii="宋体" w:hAnsi="宋体" w:eastAsia="宋体" w:cs="宋体"/>
      <w:color w:val="000000"/>
      <w:sz w:val="21"/>
      <w:szCs w:val="21"/>
      <w:u w:val="none"/>
    </w:rPr>
  </w:style>
  <w:style w:type="character" w:customStyle="1" w:styleId="495">
    <w:name w:val="divtxt1"/>
    <w:qFormat/>
    <w:uiPriority w:val="0"/>
    <w:rPr>
      <w:color w:val="000000"/>
      <w:spacing w:val="15"/>
    </w:rPr>
  </w:style>
  <w:style w:type="character" w:customStyle="1" w:styleId="496">
    <w:name w:val="表标题 Char Char"/>
    <w:qFormat/>
    <w:uiPriority w:val="0"/>
    <w:rPr>
      <w:rFonts w:eastAsia="宋体"/>
      <w:b/>
      <w:bCs/>
      <w:kern w:val="2"/>
      <w:sz w:val="24"/>
      <w:szCs w:val="24"/>
      <w:lang w:val="en-US" w:eastAsia="zh-CN" w:bidi="ar-SA"/>
    </w:rPr>
  </w:style>
  <w:style w:type="character" w:customStyle="1" w:styleId="497">
    <w:name w:val="页脚 Char1"/>
    <w:qFormat/>
    <w:uiPriority w:val="0"/>
    <w:rPr>
      <w:rFonts w:hint="eastAsia" w:ascii="宋体" w:hAnsi="宋体" w:eastAsia="宋体" w:cs="宋体"/>
      <w:sz w:val="18"/>
      <w:szCs w:val="18"/>
    </w:rPr>
  </w:style>
  <w:style w:type="character" w:customStyle="1" w:styleId="498">
    <w:name w:val="样式 样式 题注 + 加粗 + Times New Roman 行距: 单倍行距 Char"/>
    <w:qFormat/>
    <w:uiPriority w:val="0"/>
    <w:rPr>
      <w:rFonts w:eastAsia="黑体" w:cs="宋体"/>
      <w:kern w:val="2"/>
      <w:sz w:val="24"/>
      <w:lang w:val="en-US" w:eastAsia="zh-CN" w:bidi="ar-SA"/>
    </w:rPr>
  </w:style>
  <w:style w:type="character" w:customStyle="1" w:styleId="499">
    <w:name w:val="fontstyle01"/>
    <w:qFormat/>
    <w:uiPriority w:val="0"/>
    <w:rPr>
      <w:rFonts w:ascii="宋体" w:hAnsi="宋体" w:eastAsia="宋体" w:cs="宋体"/>
      <w:color w:val="000000"/>
      <w:sz w:val="24"/>
      <w:szCs w:val="24"/>
    </w:rPr>
  </w:style>
  <w:style w:type="character" w:customStyle="1" w:styleId="500">
    <w:name w:val="fontstyle21"/>
    <w:qFormat/>
    <w:uiPriority w:val="0"/>
    <w:rPr>
      <w:rFonts w:ascii="TimesNewRomanPSMT" w:hAnsi="TimesNewRomanPSMT" w:eastAsia="TimesNewRomanPSMT" w:cs="TimesNewRomanPSMT"/>
      <w:color w:val="000000"/>
      <w:sz w:val="24"/>
      <w:szCs w:val="24"/>
    </w:rPr>
  </w:style>
  <w:style w:type="character" w:customStyle="1" w:styleId="501">
    <w:name w:val="列表(L) Char"/>
    <w:qFormat/>
    <w:uiPriority w:val="0"/>
    <w:rPr>
      <w:kern w:val="2"/>
      <w:sz w:val="21"/>
      <w:lang w:bidi="ar-SA"/>
    </w:rPr>
  </w:style>
  <w:style w:type="character" w:customStyle="1" w:styleId="502">
    <w:name w:val="表标题 Char"/>
    <w:link w:val="503"/>
    <w:qFormat/>
    <w:uiPriority w:val="0"/>
    <w:rPr>
      <w:rFonts w:hAnsi="宋体"/>
      <w:b/>
      <w:sz w:val="24"/>
      <w:szCs w:val="24"/>
    </w:rPr>
  </w:style>
  <w:style w:type="paragraph" w:customStyle="1" w:styleId="503">
    <w:name w:val="表标题"/>
    <w:basedOn w:val="4"/>
    <w:link w:val="502"/>
    <w:qFormat/>
    <w:uiPriority w:val="0"/>
    <w:pPr>
      <w:spacing w:beforeLines="100" w:afterLines="50"/>
      <w:jc w:val="center"/>
    </w:pPr>
    <w:rPr>
      <w:rFonts w:hAnsi="宋体" w:asciiTheme="minorHAnsi" w:eastAsiaTheme="minorEastAsia" w:cstheme="minorBidi"/>
      <w:b/>
      <w:sz w:val="24"/>
      <w:szCs w:val="24"/>
      <w:lang w:eastAsia="zh-CN"/>
    </w:rPr>
  </w:style>
  <w:style w:type="character" w:customStyle="1" w:styleId="504">
    <w:name w:val="fontstyle11"/>
    <w:qFormat/>
    <w:uiPriority w:val="0"/>
    <w:rPr>
      <w:rFonts w:ascii="TimesNewRomanPSMT" w:hAnsi="TimesNewRomanPSMT" w:eastAsia="TimesNewRomanPSMT" w:cs="TimesNewRomanPSMT"/>
      <w:color w:val="000000"/>
      <w:sz w:val="24"/>
      <w:szCs w:val="24"/>
    </w:rPr>
  </w:style>
  <w:style w:type="character" w:customStyle="1" w:styleId="505">
    <w:name w:val="正文标准格式张 Char"/>
    <w:qFormat/>
    <w:uiPriority w:val="0"/>
    <w:rPr>
      <w:rFonts w:eastAsia="宋体"/>
      <w:snapToGrid w:val="0"/>
      <w:sz w:val="24"/>
      <w:lang w:val="en-US" w:eastAsia="zh-CN" w:bidi="ar-SA"/>
    </w:rPr>
  </w:style>
  <w:style w:type="character" w:customStyle="1" w:styleId="506">
    <w:name w:val="真宗兴表格标题 Char Char"/>
    <w:link w:val="507"/>
    <w:qFormat/>
    <w:uiPriority w:val="0"/>
    <w:rPr>
      <w:rFonts w:ascii="黑体" w:eastAsia="黑体"/>
      <w:sz w:val="24"/>
      <w:szCs w:val="24"/>
    </w:rPr>
  </w:style>
  <w:style w:type="paragraph" w:customStyle="1" w:styleId="507">
    <w:name w:val="真宗兴表格标题"/>
    <w:basedOn w:val="1"/>
    <w:link w:val="506"/>
    <w:qFormat/>
    <w:uiPriority w:val="0"/>
    <w:pPr>
      <w:spacing w:before="93" w:after="93" w:afterLines="30" w:line="400" w:lineRule="atLeast"/>
      <w:ind w:firstLine="480" w:firstLineChars="200"/>
      <w:jc w:val="center"/>
    </w:pPr>
    <w:rPr>
      <w:rFonts w:ascii="黑体" w:eastAsia="黑体" w:hAnsiTheme="minorHAnsi" w:cstheme="minorBidi"/>
      <w:sz w:val="24"/>
    </w:rPr>
  </w:style>
  <w:style w:type="character" w:customStyle="1" w:styleId="508">
    <w:name w:val="Char Char3"/>
    <w:qFormat/>
    <w:uiPriority w:val="0"/>
    <w:rPr>
      <w:rFonts w:ascii="Arial" w:hAnsi="Arial" w:eastAsia="黑体"/>
      <w:kern w:val="2"/>
      <w:sz w:val="24"/>
      <w:lang w:val="en-US" w:eastAsia="zh-CN" w:bidi="ar-SA"/>
    </w:rPr>
  </w:style>
  <w:style w:type="character" w:customStyle="1" w:styleId="509">
    <w:name w:val="16"/>
    <w:qFormat/>
    <w:uiPriority w:val="0"/>
    <w:rPr>
      <w:rFonts w:hint="eastAsia" w:ascii="宋体" w:hAnsi="宋体" w:eastAsia="宋体"/>
      <w:color w:val="000000"/>
      <w:sz w:val="21"/>
      <w:szCs w:val="21"/>
    </w:rPr>
  </w:style>
  <w:style w:type="character" w:customStyle="1" w:styleId="510">
    <w:name w:val="纯文本 Char2"/>
    <w:qFormat/>
    <w:uiPriority w:val="0"/>
    <w:rPr>
      <w:rFonts w:hint="eastAsia" w:ascii="宋体" w:hAnsi="Courier New" w:eastAsia="宋体" w:cs="Courier New"/>
      <w:sz w:val="21"/>
      <w:szCs w:val="21"/>
    </w:rPr>
  </w:style>
  <w:style w:type="character" w:customStyle="1" w:styleId="511">
    <w:name w:val="样式 Char Char Char Char Char Char Char Char Char Char + 黑色 行距: 多... Char"/>
    <w:link w:val="512"/>
    <w:qFormat/>
    <w:uiPriority w:val="0"/>
    <w:rPr>
      <w:rFonts w:ascii="宋体" w:hAnsi="宋体" w:cs="宋体"/>
      <w:color w:val="000000"/>
      <w:sz w:val="24"/>
    </w:rPr>
  </w:style>
  <w:style w:type="paragraph" w:customStyle="1" w:styleId="512">
    <w:name w:val="样式 Char Char Char Char Char Char Char Char Char Char + 黑色 行距: 多..."/>
    <w:basedOn w:val="1"/>
    <w:link w:val="511"/>
    <w:qFormat/>
    <w:uiPriority w:val="0"/>
    <w:pPr>
      <w:spacing w:line="336" w:lineRule="auto"/>
      <w:ind w:right="210" w:rightChars="100" w:firstLine="480" w:firstLineChars="200"/>
      <w:jc w:val="left"/>
    </w:pPr>
    <w:rPr>
      <w:rFonts w:ascii="宋体" w:hAnsi="宋体" w:cs="宋体" w:eastAsiaTheme="minorEastAsia"/>
      <w:color w:val="000000"/>
      <w:sz w:val="24"/>
      <w:szCs w:val="22"/>
    </w:rPr>
  </w:style>
  <w:style w:type="character" w:customStyle="1" w:styleId="513">
    <w:name w:val="正文(首行缩进) Char"/>
    <w:link w:val="514"/>
    <w:qFormat/>
    <w:uiPriority w:val="0"/>
    <w:rPr>
      <w:sz w:val="24"/>
      <w:szCs w:val="21"/>
      <w:lang w:eastAsia="zh-TW"/>
    </w:rPr>
  </w:style>
  <w:style w:type="paragraph" w:customStyle="1" w:styleId="514">
    <w:name w:val="正文(首行缩进)"/>
    <w:basedOn w:val="1"/>
    <w:link w:val="513"/>
    <w:qFormat/>
    <w:uiPriority w:val="0"/>
    <w:pPr>
      <w:spacing w:line="360" w:lineRule="auto"/>
      <w:ind w:firstLine="480" w:firstLineChars="200"/>
    </w:pPr>
    <w:rPr>
      <w:rFonts w:asciiTheme="minorHAnsi" w:hAnsiTheme="minorHAnsi" w:eastAsiaTheme="minorEastAsia" w:cstheme="minorBidi"/>
      <w:sz w:val="24"/>
      <w:lang w:eastAsia="zh-TW"/>
    </w:rPr>
  </w:style>
  <w:style w:type="character" w:customStyle="1" w:styleId="515">
    <w:name w:val="zw1"/>
    <w:qFormat/>
    <w:uiPriority w:val="0"/>
    <w:rPr>
      <w:rFonts w:hint="eastAsia" w:ascii="宋体" w:hAnsi="宋体" w:eastAsia="宋体"/>
      <w:sz w:val="22"/>
      <w:szCs w:val="22"/>
    </w:rPr>
  </w:style>
  <w:style w:type="paragraph" w:customStyle="1" w:styleId="516">
    <w:name w:val="普通(Web)"/>
    <w:basedOn w:val="1"/>
    <w:qFormat/>
    <w:uiPriority w:val="0"/>
    <w:pPr>
      <w:widowControl/>
      <w:spacing w:before="100" w:beforeAutospacing="1" w:after="100" w:afterAutospacing="1"/>
      <w:jc w:val="left"/>
    </w:pPr>
    <w:rPr>
      <w:rFonts w:ascii="宋体" w:hAnsi="宋体" w:cs="宋体"/>
      <w:sz w:val="24"/>
    </w:rPr>
  </w:style>
  <w:style w:type="paragraph" w:customStyle="1" w:styleId="517">
    <w:name w:val="T表格"/>
    <w:qFormat/>
    <w:uiPriority w:val="0"/>
    <w:pPr>
      <w:jc w:val="center"/>
    </w:pPr>
    <w:rPr>
      <w:rFonts w:ascii="Times New Roman" w:hAnsi="Times New Roman" w:eastAsia="宋体" w:cs="Times New Roman"/>
      <w:sz w:val="21"/>
      <w:lang w:val="en-US" w:eastAsia="zh-CN" w:bidi="ar-SA"/>
    </w:rPr>
  </w:style>
  <w:style w:type="paragraph" w:customStyle="1" w:styleId="518">
    <w:name w:val="第几节"/>
    <w:basedOn w:val="1"/>
    <w:qFormat/>
    <w:uiPriority w:val="0"/>
    <w:pPr>
      <w:widowControl/>
      <w:adjustRightInd w:val="0"/>
      <w:snapToGrid w:val="0"/>
      <w:spacing w:beforeLines="50" w:line="360" w:lineRule="auto"/>
      <w:ind w:firstLine="480" w:firstLineChars="200"/>
      <w:jc w:val="center"/>
    </w:pPr>
    <w:rPr>
      <w:rFonts w:ascii="宋体" w:hAnsi="宋体" w:eastAsia="黑体" w:cs="宋体"/>
      <w:b/>
      <w:bCs/>
      <w:color w:val="000000"/>
      <w:sz w:val="30"/>
      <w:szCs w:val="30"/>
    </w:rPr>
  </w:style>
  <w:style w:type="paragraph" w:customStyle="1" w:styleId="519">
    <w:name w:val="xl27"/>
    <w:basedOn w:val="1"/>
    <w:qFormat/>
    <w:uiPriority w:val="0"/>
    <w:pPr>
      <w:widowControl/>
      <w:pBdr>
        <w:top w:val="single" w:color="auto" w:sz="4" w:space="0"/>
        <w:left w:val="single" w:color="auto" w:sz="4" w:space="0"/>
        <w:bottom w:val="single" w:color="auto" w:sz="4" w:space="0"/>
        <w:right w:val="single" w:color="auto" w:sz="4" w:space="0"/>
      </w:pBdr>
      <w:spacing w:before="100" w:after="100"/>
      <w:jc w:val="left"/>
    </w:pPr>
    <w:rPr>
      <w:rFonts w:ascii="宋体" w:hAnsi="宋体"/>
      <w:sz w:val="20"/>
    </w:rPr>
  </w:style>
  <w:style w:type="paragraph" w:customStyle="1" w:styleId="520">
    <w:name w:val="样式 标题 3 + 左侧:  0 厘米 首行缩进:  0 厘米"/>
    <w:basedOn w:val="20"/>
    <w:qFormat/>
    <w:uiPriority w:val="0"/>
    <w:pPr>
      <w:keepNext/>
      <w:widowControl w:val="0"/>
      <w:spacing w:before="240" w:line="360" w:lineRule="auto"/>
      <w:textAlignment w:val="auto"/>
    </w:pPr>
    <w:rPr>
      <w:rFonts w:ascii="宋体" w:hAnsi="宋体" w:eastAsia="黑体" w:cs="宋体"/>
      <w:bCs w:val="0"/>
      <w:color w:val="000000"/>
      <w:spacing w:val="0"/>
      <w:kern w:val="2"/>
      <w:szCs w:val="20"/>
      <w:lang w:eastAsia="zh-CN"/>
    </w:rPr>
  </w:style>
  <w:style w:type="paragraph" w:customStyle="1" w:styleId="521">
    <w:name w:val="Date1"/>
    <w:basedOn w:val="1"/>
    <w:next w:val="1"/>
    <w:qFormat/>
    <w:uiPriority w:val="0"/>
    <w:pPr>
      <w:adjustRightInd w:val="0"/>
      <w:textAlignment w:val="baseline"/>
    </w:pPr>
    <w:rPr>
      <w:rFonts w:ascii="Calibri" w:hAnsi="Calibri"/>
      <w:lang w:eastAsia="zh-TW"/>
    </w:rPr>
  </w:style>
  <w:style w:type="paragraph" w:customStyle="1" w:styleId="522">
    <w:name w:val="样式 标题 4H4Subsection + 黑色"/>
    <w:basedOn w:val="21"/>
    <w:qFormat/>
    <w:uiPriority w:val="0"/>
    <w:pPr>
      <w:keepNext w:val="0"/>
      <w:keepLines w:val="0"/>
      <w:tabs>
        <w:tab w:val="left" w:pos="34"/>
      </w:tabs>
      <w:adjustRightInd w:val="0"/>
      <w:snapToGrid w:val="0"/>
      <w:ind w:firstLine="482" w:firstLineChars="200"/>
    </w:pPr>
    <w:rPr>
      <w:rFonts w:ascii="宋体" w:hAnsi="宋体"/>
      <w:bCs/>
      <w:color w:val="000000"/>
      <w:sz w:val="24"/>
      <w:szCs w:val="24"/>
      <w:lang w:eastAsia="zh-CN"/>
    </w:rPr>
  </w:style>
  <w:style w:type="paragraph" w:customStyle="1" w:styleId="523">
    <w:name w:val="文字"/>
    <w:basedOn w:val="1"/>
    <w:qFormat/>
    <w:uiPriority w:val="0"/>
    <w:pPr>
      <w:spacing w:line="360" w:lineRule="auto"/>
    </w:pPr>
    <w:rPr>
      <w:sz w:val="24"/>
    </w:rPr>
  </w:style>
  <w:style w:type="paragraph" w:customStyle="1" w:styleId="524">
    <w:name w:val="样式 样式 标题 4H4Subsection + 黑色 + 段前: 0.5 行 段后: 0.5 行"/>
    <w:basedOn w:val="522"/>
    <w:qFormat/>
    <w:uiPriority w:val="0"/>
    <w:pPr>
      <w:spacing w:before="120" w:after="120"/>
    </w:pPr>
    <w:rPr>
      <w:rFonts w:cs="宋体"/>
      <w:b w:val="0"/>
      <w:szCs w:val="20"/>
    </w:rPr>
  </w:style>
  <w:style w:type="paragraph" w:customStyle="1" w:styleId="525">
    <w:name w:val="样式 行距: 固定值 25 磅"/>
    <w:basedOn w:val="1"/>
    <w:qFormat/>
    <w:uiPriority w:val="0"/>
    <w:pPr>
      <w:spacing w:line="360" w:lineRule="auto"/>
      <w:ind w:firstLine="480" w:firstLineChars="200"/>
    </w:pPr>
    <w:rPr>
      <w:rFonts w:cs="宋体"/>
      <w:sz w:val="24"/>
    </w:rPr>
  </w:style>
  <w:style w:type="paragraph" w:customStyle="1" w:styleId="526">
    <w:name w:val="表格 21"/>
    <w:qFormat/>
    <w:uiPriority w:val="0"/>
    <w:pPr>
      <w:widowControl w:val="0"/>
      <w:autoSpaceDE w:val="0"/>
      <w:autoSpaceDN w:val="0"/>
      <w:adjustRightInd w:val="0"/>
      <w:jc w:val="center"/>
      <w:textAlignment w:val="baseline"/>
    </w:pPr>
    <w:rPr>
      <w:rFonts w:ascii="Times New Roman" w:hAnsi="Times New Roman" w:eastAsia="仿宋体" w:cs="Times New Roman"/>
      <w:sz w:val="28"/>
      <w:lang w:val="en-US" w:eastAsia="zh-CN" w:bidi="ar-SA"/>
    </w:rPr>
  </w:style>
  <w:style w:type="paragraph" w:customStyle="1" w:styleId="527">
    <w:name w:val="页面 4"/>
    <w:basedOn w:val="528"/>
    <w:qFormat/>
    <w:uiPriority w:val="0"/>
    <w:rPr>
      <w:rFonts w:eastAsia="隶书"/>
      <w:sz w:val="48"/>
    </w:rPr>
  </w:style>
  <w:style w:type="paragraph" w:customStyle="1" w:styleId="528">
    <w:name w:val="页面"/>
    <w:qFormat/>
    <w:uiPriority w:val="0"/>
    <w:pPr>
      <w:widowControl w:val="0"/>
      <w:adjustRightInd w:val="0"/>
      <w:jc w:val="center"/>
    </w:pPr>
    <w:rPr>
      <w:rFonts w:ascii="Times New Roman" w:hAnsi="Times New Roman" w:eastAsia="宋体" w:cs="Times New Roman"/>
      <w:sz w:val="28"/>
      <w:lang w:val="en-US" w:eastAsia="zh-CN" w:bidi="ar-SA"/>
    </w:rPr>
  </w:style>
  <w:style w:type="paragraph" w:customStyle="1" w:styleId="529">
    <w:name w:val="样式 标题 3标题 3 Char标题3H3h33rd level第二层条三级标题ReHead 3 WSA头...1"/>
    <w:basedOn w:val="20"/>
    <w:qFormat/>
    <w:uiPriority w:val="0"/>
    <w:pPr>
      <w:keepNext/>
      <w:tabs>
        <w:tab w:val="left" w:pos="-840"/>
      </w:tabs>
      <w:adjustRightInd/>
      <w:snapToGrid/>
      <w:spacing w:line="360" w:lineRule="auto"/>
      <w:ind w:left="840" w:hanging="420"/>
      <w:textAlignment w:val="auto"/>
    </w:pPr>
    <w:rPr>
      <w:rFonts w:ascii="宋体" w:hAnsi="宋体"/>
      <w:spacing w:val="0"/>
      <w:kern w:val="2"/>
      <w:lang w:eastAsia="zh-CN"/>
    </w:rPr>
  </w:style>
  <w:style w:type="paragraph" w:customStyle="1" w:styleId="530">
    <w:name w:val="表格 22"/>
    <w:basedOn w:val="526"/>
    <w:qFormat/>
    <w:uiPriority w:val="0"/>
    <w:rPr>
      <w:sz w:val="24"/>
    </w:rPr>
  </w:style>
  <w:style w:type="paragraph" w:customStyle="1" w:styleId="531">
    <w:name w:val="样式 标题 2SeHead wsa2H21标题 1.1Chapter TitleChapter节标题 1.1h..."/>
    <w:basedOn w:val="19"/>
    <w:qFormat/>
    <w:uiPriority w:val="0"/>
    <w:pPr>
      <w:keepNext/>
      <w:keepLines/>
      <w:pBdr>
        <w:bottom w:val="none" w:color="auto" w:sz="0" w:space="0"/>
      </w:pBdr>
      <w:tabs>
        <w:tab w:val="left" w:pos="480"/>
        <w:tab w:val="left" w:pos="630"/>
      </w:tabs>
      <w:spacing w:before="100" w:beforeAutospacing="1" w:after="100" w:afterAutospacing="1" w:line="240" w:lineRule="auto"/>
      <w:ind w:left="480" w:hanging="480"/>
      <w:jc w:val="left"/>
    </w:pPr>
    <w:rPr>
      <w:bCs/>
      <w:caps w:val="0"/>
      <w:color w:val="auto"/>
      <w:spacing w:val="0"/>
      <w:kern w:val="2"/>
      <w:sz w:val="32"/>
      <w:szCs w:val="32"/>
      <w:lang w:eastAsia="zh-CN"/>
    </w:rPr>
  </w:style>
  <w:style w:type="paragraph" w:customStyle="1" w:styleId="532">
    <w:name w:val="T正文"/>
    <w:qFormat/>
    <w:uiPriority w:val="0"/>
    <w:pPr>
      <w:widowControl w:val="0"/>
      <w:adjustRightInd w:val="0"/>
      <w:snapToGrid w:val="0"/>
      <w:spacing w:line="360" w:lineRule="auto"/>
      <w:ind w:firstLine="200" w:firstLineChars="200"/>
      <w:jc w:val="both"/>
    </w:pPr>
    <w:rPr>
      <w:rFonts w:ascii="Calibri" w:hAnsi="Calibri" w:eastAsia="仿宋_GB2312" w:cs="Times New Roman"/>
      <w:sz w:val="28"/>
      <w:szCs w:val="22"/>
      <w:lang w:val="en-US" w:eastAsia="zh-CN" w:bidi="ar-SA"/>
    </w:rPr>
  </w:style>
  <w:style w:type="paragraph" w:customStyle="1" w:styleId="533">
    <w:name w:val="条文1"/>
    <w:basedOn w:val="1"/>
    <w:qFormat/>
    <w:uiPriority w:val="0"/>
    <w:pPr>
      <w:tabs>
        <w:tab w:val="left" w:pos="2565"/>
      </w:tabs>
      <w:spacing w:line="360" w:lineRule="auto"/>
      <w:ind w:left="1845"/>
    </w:pPr>
    <w:rPr>
      <w:rFonts w:ascii="MS UI Gothic" w:hAnsi="MS UI Gothic"/>
      <w:bCs/>
      <w:kern w:val="44"/>
      <w:sz w:val="24"/>
      <w:szCs w:val="44"/>
    </w:rPr>
  </w:style>
  <w:style w:type="paragraph" w:customStyle="1" w:styleId="534">
    <w:name w:val="Char Char Char Char Char Char1 Char Char Char1 Char Char Char1 Char Char Char Char Char Char Char Char Char Char"/>
    <w:basedOn w:val="1"/>
    <w:next w:val="1"/>
    <w:qFormat/>
    <w:uiPriority w:val="0"/>
    <w:pPr>
      <w:spacing w:line="360" w:lineRule="auto"/>
      <w:ind w:firstLine="200" w:firstLineChars="200"/>
    </w:pPr>
    <w:rPr>
      <w:rFonts w:ascii="宋体" w:hAnsi="宋体" w:cs="宋体"/>
      <w:sz w:val="24"/>
    </w:rPr>
  </w:style>
  <w:style w:type="paragraph" w:customStyle="1" w:styleId="535">
    <w:name w:val="页面 8"/>
    <w:basedOn w:val="528"/>
    <w:qFormat/>
    <w:uiPriority w:val="0"/>
    <w:rPr>
      <w:sz w:val="30"/>
    </w:rPr>
  </w:style>
  <w:style w:type="paragraph" w:customStyle="1" w:styleId="536">
    <w:name w:val="1"/>
    <w:next w:val="1"/>
    <w:unhideWhenUsed/>
    <w:qFormat/>
    <w:uiPriority w:val="99"/>
    <w:pPr>
      <w:widowControl w:val="0"/>
      <w:jc w:val="both"/>
    </w:pPr>
    <w:rPr>
      <w:rFonts w:ascii="Calibri" w:hAnsi="Calibri" w:eastAsia="宋体" w:cs="Times New Roman"/>
      <w:kern w:val="2"/>
      <w:sz w:val="21"/>
      <w:szCs w:val="21"/>
      <w:lang w:val="en-US" w:eastAsia="zh-TW" w:bidi="ar-SA"/>
    </w:rPr>
  </w:style>
  <w:style w:type="paragraph" w:customStyle="1" w:styleId="537">
    <w:name w:val="Char Char Char Char Char Char Char Char Char Char Char Char"/>
    <w:basedOn w:val="1"/>
    <w:qFormat/>
    <w:uiPriority w:val="0"/>
    <w:pPr>
      <w:adjustRightInd w:val="0"/>
      <w:spacing w:line="360" w:lineRule="auto"/>
    </w:pPr>
    <w:rPr>
      <w:sz w:val="24"/>
    </w:rPr>
  </w:style>
  <w:style w:type="paragraph" w:customStyle="1" w:styleId="538">
    <w:name w:val="目录 71"/>
    <w:basedOn w:val="27"/>
    <w:qFormat/>
    <w:uiPriority w:val="0"/>
    <w:pPr>
      <w:tabs>
        <w:tab w:val="right" w:leader="dot" w:pos="9071"/>
      </w:tabs>
      <w:ind w:left="567" w:leftChars="0"/>
      <w:jc w:val="center"/>
    </w:pPr>
    <w:rPr>
      <w:rFonts w:ascii="Times New Roman" w:hAnsi="Times New Roman" w:eastAsia="楷体_GB2312"/>
      <w:szCs w:val="20"/>
    </w:rPr>
  </w:style>
  <w:style w:type="paragraph" w:customStyle="1" w:styleId="539">
    <w:name w:val="字元 字元1 Char Char 字元 字元"/>
    <w:basedOn w:val="1"/>
    <w:qFormat/>
    <w:uiPriority w:val="0"/>
    <w:rPr>
      <w:sz w:val="24"/>
    </w:rPr>
  </w:style>
  <w:style w:type="paragraph" w:customStyle="1" w:styleId="540">
    <w:name w:val="样式 标题 3 + 段前: 0.5 行"/>
    <w:basedOn w:val="20"/>
    <w:qFormat/>
    <w:uiPriority w:val="0"/>
    <w:pPr>
      <w:keepNext/>
      <w:widowControl w:val="0"/>
      <w:adjustRightInd/>
      <w:snapToGrid/>
      <w:spacing w:before="100" w:beforeLines="50" w:beforeAutospacing="1" w:after="100" w:afterAutospacing="1"/>
      <w:ind w:firstLine="482"/>
      <w:jc w:val="left"/>
      <w:textAlignment w:val="auto"/>
    </w:pPr>
    <w:rPr>
      <w:rFonts w:cs="宋体"/>
      <w:spacing w:val="0"/>
      <w:kern w:val="2"/>
      <w:szCs w:val="20"/>
      <w:lang w:eastAsia="zh-CN"/>
    </w:rPr>
  </w:style>
  <w:style w:type="paragraph" w:customStyle="1" w:styleId="541">
    <w:name w:val="5"/>
    <w:basedOn w:val="1"/>
    <w:next w:val="47"/>
    <w:qFormat/>
    <w:uiPriority w:val="0"/>
    <w:pPr>
      <w:spacing w:line="360" w:lineRule="auto"/>
    </w:pPr>
    <w:rPr>
      <w:sz w:val="24"/>
    </w:rPr>
  </w:style>
  <w:style w:type="paragraph" w:customStyle="1" w:styleId="542">
    <w:name w:val="Char Char2 Char Char Char Char1"/>
    <w:basedOn w:val="1"/>
    <w:semiHidden/>
    <w:qFormat/>
    <w:uiPriority w:val="0"/>
    <w:pPr>
      <w:widowControl/>
      <w:jc w:val="left"/>
    </w:pPr>
    <w:rPr>
      <w:sz w:val="24"/>
      <w:lang w:val="pl-PL" w:eastAsia="pl-PL"/>
    </w:rPr>
  </w:style>
  <w:style w:type="paragraph" w:customStyle="1" w:styleId="543">
    <w:name w:val="unnamed2"/>
    <w:basedOn w:val="1"/>
    <w:qFormat/>
    <w:uiPriority w:val="0"/>
    <w:pPr>
      <w:widowControl/>
      <w:spacing w:before="100" w:beforeAutospacing="1" w:after="100" w:afterAutospacing="1" w:line="360" w:lineRule="auto"/>
      <w:ind w:left="-2" w:leftChars="-1" w:firstLine="456" w:firstLineChars="190"/>
      <w:jc w:val="left"/>
    </w:pPr>
    <w:rPr>
      <w:rFonts w:ascii="宋体" w:hAnsi="宋体" w:cs="宋体"/>
      <w:sz w:val="24"/>
    </w:rPr>
  </w:style>
  <w:style w:type="paragraph" w:customStyle="1" w:styleId="544">
    <w:name w:val="标题11"/>
    <w:basedOn w:val="1"/>
    <w:qFormat/>
    <w:uiPriority w:val="0"/>
    <w:pPr>
      <w:adjustRightInd w:val="0"/>
      <w:ind w:left="210" w:hanging="210"/>
      <w:jc w:val="left"/>
      <w:textAlignment w:val="baseline"/>
    </w:pPr>
    <w:rPr>
      <w:sz w:val="24"/>
    </w:rPr>
  </w:style>
  <w:style w:type="paragraph" w:styleId="545">
    <w:name w:val="List Paragraph"/>
    <w:basedOn w:val="1"/>
    <w:qFormat/>
    <w:uiPriority w:val="0"/>
    <w:pPr>
      <w:adjustRightInd w:val="0"/>
      <w:spacing w:line="360" w:lineRule="auto"/>
      <w:ind w:firstLine="420" w:firstLineChars="200"/>
      <w:textAlignment w:val="baseline"/>
    </w:pPr>
    <w:rPr>
      <w:rFonts w:ascii="Calibri" w:hAnsi="Calibri" w:eastAsia="Times New Roman"/>
      <w:sz w:val="24"/>
      <w:szCs w:val="22"/>
    </w:rPr>
  </w:style>
  <w:style w:type="paragraph" w:customStyle="1" w:styleId="546">
    <w:name w:val="10"/>
    <w:basedOn w:val="1"/>
    <w:next w:val="48"/>
    <w:qFormat/>
    <w:uiPriority w:val="0"/>
    <w:pPr>
      <w:spacing w:line="360" w:lineRule="auto"/>
      <w:ind w:firstLine="425"/>
    </w:pPr>
    <w:rPr>
      <w:rFonts w:eastAsia="楷体_GB2312"/>
      <w:sz w:val="24"/>
    </w:rPr>
  </w:style>
  <w:style w:type="paragraph" w:customStyle="1" w:styleId="547">
    <w:name w:val="样式 标题 4H4Subsection + 黑色 段前: 0.5 行 段后: 0.5 行"/>
    <w:basedOn w:val="21"/>
    <w:qFormat/>
    <w:uiPriority w:val="0"/>
    <w:pPr>
      <w:keepNext w:val="0"/>
      <w:keepLines w:val="0"/>
      <w:tabs>
        <w:tab w:val="left" w:pos="600"/>
        <w:tab w:val="left" w:pos="926"/>
      </w:tabs>
      <w:spacing w:before="120" w:beforeLines="50" w:after="120" w:afterLines="50"/>
      <w:ind w:left="926" w:hanging="864"/>
    </w:pPr>
    <w:rPr>
      <w:rFonts w:ascii="Times New Roman" w:hAnsi="Times New Roman" w:eastAsia="黑体" w:cs="宋体"/>
      <w:b w:val="0"/>
      <w:color w:val="000000"/>
      <w:sz w:val="24"/>
      <w:szCs w:val="24"/>
      <w:lang w:eastAsia="zh-CN"/>
    </w:rPr>
  </w:style>
  <w:style w:type="paragraph" w:customStyle="1" w:styleId="548">
    <w:name w:val="正文 3"/>
    <w:basedOn w:val="1"/>
    <w:qFormat/>
    <w:uiPriority w:val="0"/>
    <w:pPr>
      <w:autoSpaceDE w:val="0"/>
      <w:autoSpaceDN w:val="0"/>
      <w:adjustRightInd w:val="0"/>
      <w:spacing w:line="300" w:lineRule="auto"/>
      <w:ind w:firstLine="567"/>
      <w:textAlignment w:val="baseline"/>
    </w:pPr>
    <w:rPr>
      <w:rFonts w:eastAsia="楷体_GB2312"/>
    </w:rPr>
  </w:style>
  <w:style w:type="paragraph" w:customStyle="1" w:styleId="549">
    <w:name w:val="图表文字"/>
    <w:basedOn w:val="1"/>
    <w:qFormat/>
    <w:uiPriority w:val="0"/>
    <w:pPr>
      <w:widowControl/>
      <w:adjustRightInd w:val="0"/>
      <w:spacing w:before="120" w:after="120"/>
      <w:jc w:val="center"/>
    </w:pPr>
    <w:rPr>
      <w:rFonts w:ascii="黑体" w:eastAsia="黑体"/>
      <w:sz w:val="28"/>
    </w:rPr>
  </w:style>
  <w:style w:type="paragraph" w:customStyle="1" w:styleId="550">
    <w:name w:val="样式16"/>
    <w:basedOn w:val="1"/>
    <w:qFormat/>
    <w:uiPriority w:val="0"/>
    <w:pPr>
      <w:spacing w:beforeLines="50" w:afterLines="50"/>
    </w:pPr>
    <w:rPr>
      <w:b/>
    </w:rPr>
  </w:style>
  <w:style w:type="paragraph" w:customStyle="1" w:styleId="551">
    <w:name w:val="TOC 标题1"/>
    <w:basedOn w:val="18"/>
    <w:next w:val="1"/>
    <w:qFormat/>
    <w:uiPriority w:val="39"/>
    <w:pPr>
      <w:keepLines/>
      <w:widowControl/>
      <w:overflowPunct/>
      <w:snapToGrid/>
      <w:spacing w:before="240" w:after="0"/>
      <w:ind w:left="0" w:firstLine="0"/>
      <w:jc w:val="left"/>
      <w:outlineLvl w:val="9"/>
    </w:pPr>
    <w:rPr>
      <w:rFonts w:ascii="Calibri Light" w:hAnsi="Calibri Light" w:eastAsia="宋体"/>
      <w:b w:val="0"/>
      <w:bCs w:val="0"/>
      <w:color w:val="2E74B5"/>
      <w:kern w:val="0"/>
      <w:sz w:val="32"/>
      <w:szCs w:val="32"/>
    </w:rPr>
  </w:style>
  <w:style w:type="paragraph" w:customStyle="1" w:styleId="552">
    <w:name w:val="表题 3"/>
    <w:basedOn w:val="553"/>
    <w:qFormat/>
    <w:uiPriority w:val="0"/>
    <w:rPr>
      <w:sz w:val="24"/>
    </w:rPr>
  </w:style>
  <w:style w:type="paragraph" w:customStyle="1" w:styleId="553">
    <w:name w:val="表题 1"/>
    <w:qFormat/>
    <w:uiPriority w:val="0"/>
    <w:pPr>
      <w:widowControl w:val="0"/>
      <w:adjustRightInd w:val="0"/>
      <w:spacing w:before="120" w:after="120"/>
      <w:jc w:val="center"/>
      <w:textAlignment w:val="baseline"/>
    </w:pPr>
    <w:rPr>
      <w:rFonts w:ascii="Times New Roman" w:hAnsi="Times New Roman" w:eastAsia="宋体" w:cs="Times New Roman"/>
      <w:sz w:val="30"/>
      <w:lang w:val="en-US" w:eastAsia="zh-CN" w:bidi="ar-SA"/>
    </w:rPr>
  </w:style>
  <w:style w:type="paragraph" w:customStyle="1" w:styleId="554">
    <w:name w:val="Char Char Char Char Char Char Char Char Char Char1 Char Char Char Char Char Char Char Char Char Char Char Char Char Char Char Char Char Char"/>
    <w:basedOn w:val="1"/>
    <w:semiHidden/>
    <w:qFormat/>
    <w:uiPriority w:val="0"/>
  </w:style>
  <w:style w:type="paragraph" w:customStyle="1" w:styleId="555">
    <w:name w:val="表题 12"/>
    <w:basedOn w:val="556"/>
    <w:qFormat/>
    <w:uiPriority w:val="0"/>
    <w:rPr>
      <w:sz w:val="28"/>
    </w:rPr>
  </w:style>
  <w:style w:type="paragraph" w:customStyle="1" w:styleId="556">
    <w:name w:val="表题 11"/>
    <w:qFormat/>
    <w:uiPriority w:val="0"/>
    <w:pPr>
      <w:widowControl w:val="0"/>
      <w:adjustRightInd w:val="0"/>
      <w:spacing w:before="120" w:after="120"/>
      <w:jc w:val="center"/>
      <w:textAlignment w:val="baseline"/>
    </w:pPr>
    <w:rPr>
      <w:rFonts w:ascii="Times New Roman" w:hAnsi="Times New Roman" w:eastAsia="宋体" w:cs="Times New Roman"/>
      <w:sz w:val="30"/>
      <w:lang w:val="en-US" w:eastAsia="zh-CN" w:bidi="ar-SA"/>
    </w:rPr>
  </w:style>
  <w:style w:type="paragraph" w:customStyle="1" w:styleId="557">
    <w:name w:val="mm正文"/>
    <w:basedOn w:val="1"/>
    <w:qFormat/>
    <w:uiPriority w:val="0"/>
    <w:pPr>
      <w:spacing w:line="480" w:lineRule="exact"/>
      <w:ind w:firstLine="200" w:firstLineChars="200"/>
    </w:pPr>
    <w:rPr>
      <w:rFonts w:ascii="Calibri" w:hAnsi="Calibri" w:cs="宋体"/>
      <w:color w:val="000000"/>
    </w:rPr>
  </w:style>
  <w:style w:type="paragraph" w:customStyle="1" w:styleId="558">
    <w:name w:val="样式 样式 标题 4H4Subsection + 黑体 非加粗 黑色 段前: 6 磅 + 非加粗 段后: 0.5 行2"/>
    <w:basedOn w:val="559"/>
    <w:qFormat/>
    <w:uiPriority w:val="0"/>
    <w:pPr>
      <w:tabs>
        <w:tab w:val="left" w:pos="600"/>
        <w:tab w:val="left" w:pos="926"/>
      </w:tabs>
      <w:spacing w:beforeLines="100" w:afterLines="100"/>
    </w:pPr>
    <w:rPr>
      <w:b w:val="0"/>
    </w:rPr>
  </w:style>
  <w:style w:type="paragraph" w:customStyle="1" w:styleId="559">
    <w:name w:val="样式 标题 4H4Subsection + 黑体 非加粗 黑色 段前: 6 磅"/>
    <w:basedOn w:val="21"/>
    <w:qFormat/>
    <w:uiPriority w:val="0"/>
    <w:pPr>
      <w:keepNext w:val="0"/>
      <w:keepLines w:val="0"/>
      <w:tabs>
        <w:tab w:val="left" w:pos="600"/>
        <w:tab w:val="left" w:pos="926"/>
      </w:tabs>
      <w:spacing w:before="120" w:beforeLines="50" w:after="120" w:afterLines="50"/>
      <w:ind w:left="862" w:hanging="862"/>
    </w:pPr>
    <w:rPr>
      <w:rFonts w:ascii="黑体" w:hAnsi="黑体" w:eastAsia="黑体" w:cs="宋体"/>
      <w:color w:val="000000"/>
      <w:sz w:val="24"/>
      <w:lang w:eastAsia="zh-CN"/>
    </w:rPr>
  </w:style>
  <w:style w:type="paragraph" w:customStyle="1" w:styleId="560">
    <w:name w:val="修订1"/>
    <w:unhideWhenUsed/>
    <w:qFormat/>
    <w:uiPriority w:val="99"/>
    <w:pPr>
      <w:widowControl w:val="0"/>
      <w:adjustRightInd w:val="0"/>
      <w:spacing w:line="360" w:lineRule="atLeast"/>
      <w:jc w:val="both"/>
      <w:textAlignment w:val="baseline"/>
    </w:pPr>
    <w:rPr>
      <w:rFonts w:ascii="Calibri" w:hAnsi="Calibri" w:eastAsia="Times New Roman" w:cs="Times New Roman"/>
      <w:kern w:val="2"/>
      <w:sz w:val="24"/>
      <w:szCs w:val="22"/>
      <w:lang w:val="en-US" w:eastAsia="zh-CN" w:bidi="ar-SA"/>
    </w:rPr>
  </w:style>
  <w:style w:type="paragraph" w:customStyle="1" w:styleId="561">
    <w:name w:val="表格+小五"/>
    <w:basedOn w:val="1"/>
    <w:qFormat/>
    <w:uiPriority w:val="0"/>
    <w:pPr>
      <w:jc w:val="center"/>
    </w:pPr>
    <w:rPr>
      <w:color w:val="000000"/>
      <w:sz w:val="18"/>
    </w:rPr>
  </w:style>
  <w:style w:type="paragraph" w:customStyle="1" w:styleId="562">
    <w:name w:val="正文 1"/>
    <w:qFormat/>
    <w:uiPriority w:val="0"/>
    <w:pPr>
      <w:keepNext/>
      <w:widowControl w:val="0"/>
      <w:topLinePunct/>
      <w:autoSpaceDE w:val="0"/>
      <w:autoSpaceDN w:val="0"/>
      <w:adjustRightInd w:val="0"/>
      <w:ind w:firstLine="454"/>
      <w:textAlignment w:val="baseline"/>
    </w:pPr>
    <w:rPr>
      <w:rFonts w:ascii="Times New Roman" w:hAnsi="Times New Roman" w:eastAsia="宋体" w:cs="Times New Roman"/>
      <w:sz w:val="24"/>
      <w:lang w:val="en-US" w:eastAsia="zh-CN" w:bidi="ar-SA"/>
    </w:rPr>
  </w:style>
  <w:style w:type="paragraph" w:customStyle="1" w:styleId="563">
    <w:name w:val="Char Char1 Char Char Char Char Char Char Char Char Char Char Char Char Char Char Char Char Char Char Char Char1 Char"/>
    <w:basedOn w:val="1"/>
    <w:qFormat/>
    <w:uiPriority w:val="0"/>
    <w:pPr>
      <w:spacing w:line="360" w:lineRule="auto"/>
      <w:ind w:firstLine="200" w:firstLineChars="200"/>
    </w:pPr>
    <w:rPr>
      <w:rFonts w:ascii="宋体" w:hAnsi="宋体" w:cs="宋体"/>
      <w:sz w:val="24"/>
    </w:rPr>
  </w:style>
  <w:style w:type="paragraph" w:customStyle="1" w:styleId="564">
    <w:name w:val="表 内容"/>
    <w:basedOn w:val="1"/>
    <w:qFormat/>
    <w:uiPriority w:val="0"/>
    <w:pPr>
      <w:jc w:val="center"/>
    </w:pPr>
    <w:rPr>
      <w:rFonts w:ascii="Calibri" w:hAnsi="宋体"/>
    </w:rPr>
  </w:style>
  <w:style w:type="paragraph" w:customStyle="1" w:styleId="565">
    <w:name w:val="图表头"/>
    <w:basedOn w:val="1"/>
    <w:qFormat/>
    <w:uiPriority w:val="0"/>
    <w:pPr>
      <w:adjustRightInd w:val="0"/>
      <w:spacing w:line="360" w:lineRule="auto"/>
      <w:jc w:val="center"/>
      <w:textAlignment w:val="baseline"/>
    </w:pPr>
    <w:rPr>
      <w:rFonts w:ascii="黑体" w:eastAsia="黑体"/>
      <w:spacing w:val="5"/>
      <w:sz w:val="24"/>
    </w:rPr>
  </w:style>
  <w:style w:type="paragraph" w:customStyle="1" w:styleId="566">
    <w:name w:val="页面 2"/>
    <w:basedOn w:val="1"/>
    <w:qFormat/>
    <w:uiPriority w:val="0"/>
    <w:pPr>
      <w:adjustRightInd w:val="0"/>
      <w:jc w:val="center"/>
    </w:pPr>
    <w:rPr>
      <w:sz w:val="72"/>
    </w:rPr>
  </w:style>
  <w:style w:type="paragraph" w:customStyle="1" w:styleId="567">
    <w:name w:val="样式 (符号) Bookman Old Style 小四 行距: 1.5 倍行距"/>
    <w:basedOn w:val="1"/>
    <w:qFormat/>
    <w:uiPriority w:val="0"/>
    <w:pPr>
      <w:spacing w:line="360" w:lineRule="auto"/>
    </w:pPr>
    <w:rPr>
      <w:rFonts w:hAnsi="Bookman Old Style" w:cs="宋体"/>
      <w:sz w:val="24"/>
    </w:rPr>
  </w:style>
  <w:style w:type="paragraph" w:customStyle="1" w:styleId="568">
    <w:name w:val="大表内容"/>
    <w:qFormat/>
    <w:uiPriority w:val="0"/>
    <w:pPr>
      <w:widowControl w:val="0"/>
      <w:tabs>
        <w:tab w:val="left" w:pos="480"/>
      </w:tabs>
      <w:spacing w:line="360" w:lineRule="auto"/>
      <w:jc w:val="center"/>
    </w:pPr>
    <w:rPr>
      <w:rFonts w:ascii="宋体" w:hAnsi="宋体" w:eastAsia="宋体" w:cs="仿宋_GB2312"/>
      <w:kern w:val="2"/>
      <w:sz w:val="21"/>
      <w:szCs w:val="21"/>
      <w:lang w:val="en-US" w:eastAsia="zh-CN" w:bidi="ar-SA"/>
    </w:rPr>
  </w:style>
  <w:style w:type="paragraph" w:customStyle="1" w:styleId="569">
    <w:name w:val="正文 32"/>
    <w:basedOn w:val="1"/>
    <w:qFormat/>
    <w:uiPriority w:val="0"/>
    <w:pPr>
      <w:autoSpaceDE w:val="0"/>
      <w:autoSpaceDN w:val="0"/>
      <w:adjustRightInd w:val="0"/>
      <w:spacing w:line="360" w:lineRule="auto"/>
      <w:ind w:firstLine="567"/>
      <w:textAlignment w:val="baseline"/>
    </w:pPr>
    <w:rPr>
      <w:sz w:val="24"/>
    </w:rPr>
  </w:style>
  <w:style w:type="paragraph" w:customStyle="1" w:styleId="570">
    <w:name w:val="正文首行缩进2个字"/>
    <w:basedOn w:val="1"/>
    <w:qFormat/>
    <w:uiPriority w:val="0"/>
    <w:pPr>
      <w:spacing w:line="460" w:lineRule="atLeast"/>
    </w:pPr>
    <w:rPr>
      <w:rFonts w:ascii="Calibri" w:hAnsi="Calibri"/>
      <w:lang w:eastAsia="zh-TW"/>
    </w:rPr>
  </w:style>
  <w:style w:type="paragraph" w:customStyle="1" w:styleId="571">
    <w:name w:val="Char3"/>
    <w:basedOn w:val="1"/>
    <w:qFormat/>
    <w:uiPriority w:val="0"/>
  </w:style>
  <w:style w:type="paragraph" w:customStyle="1" w:styleId="572">
    <w:name w:val="样式 正文缩进正文（首行缩进两字）1s4正文（首行缩进两字） Char正文缩进 Char表正文正文非缩进ALT+Z..."/>
    <w:basedOn w:val="34"/>
    <w:semiHidden/>
    <w:qFormat/>
    <w:uiPriority w:val="0"/>
    <w:pPr>
      <w:widowControl/>
      <w:tabs>
        <w:tab w:val="left" w:pos="3600"/>
        <w:tab w:val="left" w:pos="6845"/>
      </w:tabs>
      <w:adjustRightInd w:val="0"/>
      <w:snapToGrid w:val="0"/>
      <w:spacing w:line="360" w:lineRule="auto"/>
      <w:ind w:firstLine="480" w:firstLineChars="200"/>
    </w:pPr>
    <w:rPr>
      <w:rFonts w:ascii="仿宋_GB2312" w:eastAsia="仿宋_GB2312"/>
      <w:color w:val="000000"/>
      <w:sz w:val="24"/>
      <w:szCs w:val="24"/>
      <w:lang w:val="zh-CN" w:eastAsia="zh-CN"/>
    </w:rPr>
  </w:style>
  <w:style w:type="paragraph" w:customStyle="1" w:styleId="573">
    <w:name w:val="图标题"/>
    <w:basedOn w:val="1"/>
    <w:next w:val="1"/>
    <w:qFormat/>
    <w:uiPriority w:val="0"/>
    <w:pPr>
      <w:keepNext/>
      <w:autoSpaceDE w:val="0"/>
      <w:autoSpaceDN w:val="0"/>
      <w:adjustRightInd w:val="0"/>
      <w:spacing w:before="60" w:after="120" w:line="400" w:lineRule="atLeast"/>
      <w:jc w:val="center"/>
      <w:textAlignment w:val="baseline"/>
    </w:pPr>
    <w:rPr>
      <w:rFonts w:ascii="Calibri" w:hAnsi="Calibri" w:eastAsia="Times New Roman"/>
      <w:b/>
      <w:spacing w:val="2"/>
      <w:sz w:val="24"/>
    </w:rPr>
  </w:style>
  <w:style w:type="paragraph" w:customStyle="1" w:styleId="574">
    <w:name w:val="正文 + 宋体"/>
    <w:basedOn w:val="1"/>
    <w:qFormat/>
    <w:uiPriority w:val="0"/>
    <w:pPr>
      <w:widowControl/>
      <w:adjustRightInd w:val="0"/>
      <w:snapToGrid w:val="0"/>
      <w:spacing w:after="200" w:line="400" w:lineRule="exact"/>
      <w:ind w:firstLine="480"/>
      <w:jc w:val="left"/>
      <w:textAlignment w:val="baseline"/>
    </w:pPr>
    <w:rPr>
      <w:rFonts w:ascii="Calibri" w:hAnsi="Calibri"/>
      <w:color w:val="000000"/>
      <w:sz w:val="22"/>
      <w:szCs w:val="22"/>
      <w:lang w:eastAsia="en-US" w:bidi="en-US"/>
    </w:rPr>
  </w:style>
  <w:style w:type="paragraph" w:customStyle="1" w:styleId="575">
    <w:name w:val="正文001"/>
    <w:basedOn w:val="1"/>
    <w:qFormat/>
    <w:uiPriority w:val="0"/>
    <w:pPr>
      <w:spacing w:line="440" w:lineRule="atLeast"/>
      <w:ind w:firstLine="200" w:firstLineChars="200"/>
    </w:pPr>
    <w:rPr>
      <w:sz w:val="24"/>
    </w:rPr>
  </w:style>
  <w:style w:type="paragraph" w:customStyle="1" w:styleId="576">
    <w:name w:val="1 Char Char Char Char"/>
    <w:basedOn w:val="1"/>
    <w:qFormat/>
    <w:uiPriority w:val="0"/>
  </w:style>
  <w:style w:type="paragraph" w:customStyle="1" w:styleId="577">
    <w:name w:val="Char Char Char Char1"/>
    <w:basedOn w:val="1"/>
    <w:qFormat/>
    <w:uiPriority w:val="0"/>
  </w:style>
  <w:style w:type="paragraph" w:customStyle="1" w:styleId="578">
    <w:name w:val="xl28"/>
    <w:basedOn w:val="1"/>
    <w:qFormat/>
    <w:uiPriority w:val="0"/>
    <w:pPr>
      <w:widowControl/>
      <w:pBdr>
        <w:top w:val="single" w:color="auto" w:sz="4" w:space="0"/>
        <w:left w:val="single" w:color="auto" w:sz="4" w:space="0"/>
        <w:bottom w:val="single" w:color="auto" w:sz="4" w:space="0"/>
        <w:right w:val="single" w:color="auto" w:sz="4" w:space="0"/>
      </w:pBdr>
      <w:spacing w:before="100" w:after="100"/>
      <w:jc w:val="left"/>
    </w:pPr>
    <w:rPr>
      <w:rFonts w:ascii="宋体" w:hAnsi="宋体"/>
      <w:sz w:val="20"/>
    </w:rPr>
  </w:style>
  <w:style w:type="paragraph" w:customStyle="1" w:styleId="579">
    <w:name w:val="表格 12"/>
    <w:basedOn w:val="1"/>
    <w:qFormat/>
    <w:uiPriority w:val="0"/>
    <w:pPr>
      <w:autoSpaceDE w:val="0"/>
      <w:autoSpaceDN w:val="0"/>
      <w:adjustRightInd w:val="0"/>
      <w:jc w:val="center"/>
      <w:textAlignment w:val="baseline"/>
    </w:pPr>
    <w:rPr>
      <w:sz w:val="24"/>
    </w:rPr>
  </w:style>
  <w:style w:type="paragraph" w:customStyle="1" w:styleId="580">
    <w:name w:val="样式 样式 标题 4H4Subsection + 黑体 非加粗 黑色 段前: 6 磅 + 非加粗 左侧:  0 厘米 段后:..."/>
    <w:basedOn w:val="559"/>
    <w:qFormat/>
    <w:uiPriority w:val="0"/>
    <w:pPr>
      <w:ind w:left="0" w:firstLine="200" w:firstLineChars="200"/>
    </w:pPr>
    <w:rPr>
      <w:b w:val="0"/>
    </w:rPr>
  </w:style>
  <w:style w:type="paragraph" w:customStyle="1" w:styleId="581">
    <w:name w:val="Char1 Char Char Char Char Char Char Char Char Char"/>
    <w:basedOn w:val="1"/>
    <w:qFormat/>
    <w:uiPriority w:val="0"/>
    <w:pPr>
      <w:widowControl/>
      <w:spacing w:after="160" w:line="240" w:lineRule="exact"/>
      <w:jc w:val="left"/>
    </w:pPr>
    <w:rPr>
      <w:rFonts w:ascii="Verdana" w:hAnsi="Verdana" w:eastAsia="仿宋_GB2312"/>
      <w:sz w:val="24"/>
      <w:lang w:eastAsia="en-US"/>
    </w:rPr>
  </w:style>
  <w:style w:type="paragraph" w:customStyle="1" w:styleId="582">
    <w:name w:val="样式 标题 4H4Subsection + 黑体 黑色 段前: 0.5 行 段后: 0.5 行"/>
    <w:basedOn w:val="21"/>
    <w:qFormat/>
    <w:uiPriority w:val="0"/>
    <w:pPr>
      <w:keepNext w:val="0"/>
      <w:keepLines w:val="0"/>
      <w:tabs>
        <w:tab w:val="left" w:pos="600"/>
        <w:tab w:val="left" w:pos="926"/>
      </w:tabs>
      <w:spacing w:before="120" w:beforeLines="50" w:after="120" w:afterLines="50"/>
      <w:ind w:left="862" w:hanging="862"/>
    </w:pPr>
    <w:rPr>
      <w:rFonts w:ascii="黑体" w:hAnsi="Times New Roman" w:eastAsia="黑体" w:cs="宋体"/>
      <w:b w:val="0"/>
      <w:color w:val="000000"/>
      <w:sz w:val="24"/>
      <w:szCs w:val="24"/>
      <w:lang w:eastAsia="zh-CN"/>
    </w:rPr>
  </w:style>
  <w:style w:type="paragraph" w:customStyle="1" w:styleId="583">
    <w:name w:val="表格格式"/>
    <w:basedOn w:val="1"/>
    <w:qFormat/>
    <w:uiPriority w:val="0"/>
    <w:pPr>
      <w:jc w:val="center"/>
    </w:pPr>
    <w:rPr>
      <w:rFonts w:ascii="Calibri" w:hAnsi="Calibri"/>
      <w:szCs w:val="22"/>
    </w:rPr>
  </w:style>
  <w:style w:type="paragraph" w:customStyle="1" w:styleId="584">
    <w:name w:val="Char Char Char Char Char Char Char Char Char Char Char Char1 Char"/>
    <w:basedOn w:val="1"/>
    <w:qFormat/>
    <w:uiPriority w:val="0"/>
    <w:pPr>
      <w:spacing w:line="360" w:lineRule="auto"/>
      <w:ind w:firstLine="200" w:firstLineChars="200"/>
    </w:pPr>
    <w:rPr>
      <w:rFonts w:ascii="Arial Unicode MS" w:hAnsi="Arial Unicode MS" w:cs="Arial Unicode MS"/>
      <w:sz w:val="24"/>
    </w:rPr>
  </w:style>
  <w:style w:type="paragraph" w:customStyle="1" w:styleId="585">
    <w:name w:val="样式 样式 标题 4H4Subsection + 黑色 段前: 0.5 行 段后: 0.5 行 + 段前: 0.5 行 段后:..."/>
    <w:basedOn w:val="547"/>
    <w:qFormat/>
    <w:uiPriority w:val="0"/>
    <w:pPr>
      <w:ind w:left="862" w:hanging="862"/>
    </w:pPr>
    <w:rPr>
      <w:szCs w:val="20"/>
    </w:rPr>
  </w:style>
  <w:style w:type="paragraph" w:customStyle="1" w:styleId="586">
    <w:name w:val="Char1"/>
    <w:basedOn w:val="1"/>
    <w:qFormat/>
    <w:uiPriority w:val="0"/>
  </w:style>
  <w:style w:type="paragraph" w:customStyle="1" w:styleId="587">
    <w:name w:val="Pa4"/>
    <w:basedOn w:val="1"/>
    <w:next w:val="1"/>
    <w:qFormat/>
    <w:uiPriority w:val="0"/>
    <w:pPr>
      <w:autoSpaceDE w:val="0"/>
      <w:autoSpaceDN w:val="0"/>
      <w:adjustRightInd w:val="0"/>
      <w:spacing w:line="211" w:lineRule="atLeast"/>
      <w:jc w:val="left"/>
    </w:pPr>
    <w:rPr>
      <w:rFonts w:ascii="Sim Sun" w:eastAsia="Sim Sun"/>
      <w:sz w:val="24"/>
    </w:rPr>
  </w:style>
  <w:style w:type="paragraph" w:customStyle="1" w:styleId="588">
    <w:name w:val="样式 标题 21标题 2 Char Char Char Char Char标题 2 Char Char Char Char...1"/>
    <w:basedOn w:val="19"/>
    <w:qFormat/>
    <w:uiPriority w:val="0"/>
    <w:pPr>
      <w:keepNext/>
      <w:keepLines/>
      <w:pBdr>
        <w:bottom w:val="none" w:color="auto" w:sz="0" w:space="0"/>
      </w:pBdr>
      <w:tabs>
        <w:tab w:val="left" w:pos="576"/>
      </w:tabs>
      <w:spacing w:line="416" w:lineRule="auto"/>
      <w:ind w:left="576" w:hanging="576"/>
    </w:pPr>
    <w:rPr>
      <w:rFonts w:eastAsia="黑体"/>
      <w:bCs/>
      <w:caps w:val="0"/>
      <w:spacing w:val="0"/>
      <w:kern w:val="2"/>
      <w:sz w:val="32"/>
      <w:szCs w:val="32"/>
      <w:lang w:eastAsia="zh-CN"/>
    </w:rPr>
  </w:style>
  <w:style w:type="paragraph" w:customStyle="1" w:styleId="589">
    <w:name w:val="注:"/>
    <w:qFormat/>
    <w:uiPriority w:val="0"/>
    <w:rPr>
      <w:rFonts w:ascii="Times New Roman" w:hAnsi="Times New Roman" w:eastAsia="宋体" w:cs="Times New Roman"/>
      <w:sz w:val="21"/>
      <w:szCs w:val="21"/>
      <w:lang w:val="en-US" w:eastAsia="zh-CN" w:bidi="ar-SA"/>
    </w:rPr>
  </w:style>
  <w:style w:type="paragraph" w:customStyle="1" w:styleId="590">
    <w:name w:val="正文段"/>
    <w:basedOn w:val="1"/>
    <w:qFormat/>
    <w:uiPriority w:val="0"/>
    <w:pPr>
      <w:spacing w:line="360" w:lineRule="auto"/>
      <w:ind w:firstLine="420"/>
    </w:pPr>
    <w:rPr>
      <w:rFonts w:ascii="宋体"/>
      <w:sz w:val="24"/>
    </w:rPr>
  </w:style>
  <w:style w:type="paragraph" w:customStyle="1" w:styleId="591">
    <w:name w:val="样式 宋体 小四 行距: 1.5 倍行距 首行缩进:  2 字符 Char"/>
    <w:basedOn w:val="1"/>
    <w:qFormat/>
    <w:uiPriority w:val="0"/>
    <w:pPr>
      <w:spacing w:line="360" w:lineRule="auto"/>
      <w:ind w:firstLine="480" w:firstLineChars="200"/>
    </w:pPr>
    <w:rPr>
      <w:rFonts w:ascii="宋体" w:hAnsi="宋体"/>
      <w:sz w:val="24"/>
      <w:szCs w:val="18"/>
    </w:rPr>
  </w:style>
  <w:style w:type="paragraph" w:customStyle="1" w:styleId="592">
    <w:name w:val="页面 1"/>
    <w:basedOn w:val="528"/>
    <w:qFormat/>
    <w:uiPriority w:val="0"/>
    <w:rPr>
      <w:rFonts w:eastAsia="隶书"/>
      <w:sz w:val="84"/>
    </w:rPr>
  </w:style>
  <w:style w:type="paragraph" w:customStyle="1" w:styleId="593">
    <w:name w:val="样式 样式 标题 4H4Subsection + 黑体 非加粗 黑色 段前: 6 磅 + 非加粗 段后: 0.5 行1"/>
    <w:basedOn w:val="559"/>
    <w:qFormat/>
    <w:uiPriority w:val="0"/>
    <w:rPr>
      <w:b w:val="0"/>
    </w:rPr>
  </w:style>
  <w:style w:type="paragraph" w:customStyle="1" w:styleId="594">
    <w:name w:val="样式 标题 4H4Subsection + 黑体 加粗 黑色 段前: 0.5 行 段后: 0.5 行"/>
    <w:basedOn w:val="21"/>
    <w:qFormat/>
    <w:uiPriority w:val="0"/>
    <w:pPr>
      <w:keepNext w:val="0"/>
      <w:keepLines w:val="0"/>
      <w:tabs>
        <w:tab w:val="left" w:pos="600"/>
        <w:tab w:val="left" w:pos="926"/>
      </w:tabs>
      <w:spacing w:before="120" w:beforeLines="50" w:after="120" w:afterLines="50"/>
      <w:ind w:left="862" w:hanging="862"/>
    </w:pPr>
    <w:rPr>
      <w:rFonts w:ascii="黑体" w:hAnsi="Times New Roman" w:eastAsia="黑体" w:cs="宋体"/>
      <w:bCs/>
      <w:color w:val="000000"/>
      <w:sz w:val="24"/>
      <w:lang w:eastAsia="zh-CN"/>
    </w:rPr>
  </w:style>
  <w:style w:type="paragraph" w:customStyle="1" w:styleId="595">
    <w:name w:val="封面"/>
    <w:basedOn w:val="1"/>
    <w:qFormat/>
    <w:uiPriority w:val="0"/>
    <w:pPr>
      <w:tabs>
        <w:tab w:val="left" w:pos="1080"/>
      </w:tabs>
      <w:spacing w:line="360" w:lineRule="auto"/>
      <w:ind w:firstLine="200" w:firstLineChars="200"/>
      <w:jc w:val="left"/>
    </w:pPr>
    <w:rPr>
      <w:rFonts w:ascii="宋体" w:hAnsi="宋体" w:cs="宋体"/>
      <w:sz w:val="24"/>
    </w:rPr>
  </w:style>
  <w:style w:type="paragraph" w:customStyle="1" w:styleId="596">
    <w:name w:val="表格 2"/>
    <w:basedOn w:val="197"/>
    <w:qFormat/>
    <w:uiPriority w:val="0"/>
    <w:pPr>
      <w:autoSpaceDE w:val="0"/>
      <w:autoSpaceDN w:val="0"/>
      <w:snapToGrid/>
      <w:spacing w:beforeLines="0" w:afterLines="0" w:line="240" w:lineRule="auto"/>
      <w:textAlignment w:val="baseline"/>
    </w:pPr>
    <w:rPr>
      <w:rFonts w:ascii="Times New Roman" w:eastAsia="楷体_GB2312"/>
      <w:sz w:val="24"/>
    </w:rPr>
  </w:style>
  <w:style w:type="paragraph" w:customStyle="1" w:styleId="597">
    <w:name w:val="表格标题"/>
    <w:basedOn w:val="1"/>
    <w:qFormat/>
    <w:uiPriority w:val="0"/>
    <w:pPr>
      <w:spacing w:line="300" w:lineRule="auto"/>
      <w:jc w:val="center"/>
    </w:pPr>
    <w:rPr>
      <w:rFonts w:ascii="Calibri" w:hAnsi="Calibri"/>
      <w:lang w:eastAsia="zh-TW"/>
    </w:rPr>
  </w:style>
  <w:style w:type="paragraph" w:customStyle="1" w:styleId="598">
    <w:name w:val="表格2"/>
    <w:basedOn w:val="469"/>
    <w:next w:val="1"/>
    <w:qFormat/>
    <w:uiPriority w:val="0"/>
    <w:pPr>
      <w:topLinePunct/>
      <w:autoSpaceDE w:val="0"/>
      <w:autoSpaceDN w:val="0"/>
      <w:spacing w:line="240" w:lineRule="auto"/>
    </w:pPr>
    <w:rPr>
      <w:rFonts w:ascii="宋体" w:hAnsi="Impact"/>
      <w:kern w:val="24"/>
      <w:position w:val="-28"/>
      <w:sz w:val="21"/>
      <w:lang w:eastAsia="zh-CN"/>
    </w:rPr>
  </w:style>
  <w:style w:type="paragraph" w:customStyle="1" w:styleId="599">
    <w:name w:val="报告样式"/>
    <w:basedOn w:val="1"/>
    <w:next w:val="462"/>
    <w:qFormat/>
    <w:uiPriority w:val="0"/>
    <w:rPr>
      <w:sz w:val="24"/>
    </w:rPr>
  </w:style>
  <w:style w:type="paragraph" w:customStyle="1" w:styleId="600">
    <w:name w:val="样式 样式 标题 1 + 黑体 小三 非加粗 + 二号 加粗 黑色 段前: 7.8 磅 段后: 7.8 磅 行距: 1..."/>
    <w:basedOn w:val="1"/>
    <w:qFormat/>
    <w:uiPriority w:val="0"/>
    <w:pPr>
      <w:tabs>
        <w:tab w:val="left" w:pos="549"/>
      </w:tabs>
      <w:ind w:left="552" w:firstLine="66"/>
    </w:pPr>
  </w:style>
  <w:style w:type="paragraph" w:customStyle="1" w:styleId="601">
    <w:name w:val="0"/>
    <w:basedOn w:val="1"/>
    <w:qFormat/>
    <w:uiPriority w:val="0"/>
    <w:pPr>
      <w:widowControl/>
      <w:snapToGrid w:val="0"/>
    </w:pPr>
  </w:style>
  <w:style w:type="paragraph" w:customStyle="1" w:styleId="602">
    <w:name w:val="表格 1"/>
    <w:basedOn w:val="1"/>
    <w:qFormat/>
    <w:uiPriority w:val="0"/>
    <w:pPr>
      <w:autoSpaceDE w:val="0"/>
      <w:autoSpaceDN w:val="0"/>
      <w:adjustRightInd w:val="0"/>
      <w:jc w:val="center"/>
    </w:pPr>
    <w:rPr>
      <w:rFonts w:eastAsia="楷体_GB2312"/>
      <w:sz w:val="28"/>
    </w:rPr>
  </w:style>
  <w:style w:type="paragraph" w:customStyle="1" w:styleId="603">
    <w:name w:val="Char1 Char Char Char Char Char Char"/>
    <w:basedOn w:val="1"/>
    <w:qFormat/>
    <w:uiPriority w:val="0"/>
  </w:style>
  <w:style w:type="paragraph" w:customStyle="1" w:styleId="604">
    <w:name w:val="xl21"/>
    <w:basedOn w:val="1"/>
    <w:qFormat/>
    <w:uiPriority w:val="0"/>
    <w:pPr>
      <w:widowControl/>
      <w:spacing w:before="100" w:beforeAutospacing="1" w:after="100" w:afterAutospacing="1"/>
      <w:jc w:val="center"/>
    </w:pPr>
    <w:rPr>
      <w:rFonts w:ascii="宋体" w:hAnsi="宋体"/>
      <w:sz w:val="24"/>
    </w:rPr>
  </w:style>
  <w:style w:type="paragraph" w:customStyle="1" w:styleId="605">
    <w:name w:val="表格 23"/>
    <w:basedOn w:val="526"/>
    <w:qFormat/>
    <w:uiPriority w:val="0"/>
    <w:rPr>
      <w:sz w:val="21"/>
    </w:rPr>
  </w:style>
  <w:style w:type="paragraph" w:customStyle="1" w:styleId="606">
    <w:name w:val="表格32"/>
    <w:basedOn w:val="598"/>
    <w:qFormat/>
    <w:uiPriority w:val="0"/>
    <w:rPr>
      <w:rFonts w:hAnsi="Times New Roman"/>
      <w:kern w:val="0"/>
      <w:sz w:val="18"/>
    </w:rPr>
  </w:style>
  <w:style w:type="paragraph" w:customStyle="1" w:styleId="607">
    <w:name w:val="表文字"/>
    <w:basedOn w:val="1"/>
    <w:qFormat/>
    <w:uiPriority w:val="0"/>
    <w:pPr>
      <w:overflowPunct w:val="0"/>
      <w:autoSpaceDE w:val="0"/>
      <w:autoSpaceDN w:val="0"/>
      <w:adjustRightInd w:val="0"/>
      <w:spacing w:line="240" w:lineRule="atLeast"/>
      <w:jc w:val="center"/>
      <w:textAlignment w:val="baseline"/>
    </w:pPr>
    <w:rPr>
      <w:sz w:val="24"/>
    </w:rPr>
  </w:style>
  <w:style w:type="paragraph" w:customStyle="1" w:styleId="608">
    <w:name w:val="书目1"/>
    <w:basedOn w:val="1"/>
    <w:next w:val="1"/>
    <w:unhideWhenUsed/>
    <w:qFormat/>
    <w:uiPriority w:val="37"/>
    <w:pPr>
      <w:adjustRightInd w:val="0"/>
      <w:spacing w:line="360" w:lineRule="auto"/>
      <w:textAlignment w:val="baseline"/>
    </w:pPr>
    <w:rPr>
      <w:rFonts w:ascii="Calibri" w:hAnsi="Calibri" w:eastAsia="Times New Roman"/>
      <w:sz w:val="24"/>
      <w:szCs w:val="22"/>
    </w:rPr>
  </w:style>
  <w:style w:type="paragraph" w:customStyle="1" w:styleId="609">
    <w:name w:val="佛风险表"/>
    <w:basedOn w:val="1"/>
    <w:qFormat/>
    <w:uiPriority w:val="0"/>
    <w:pPr>
      <w:spacing w:line="0" w:lineRule="atLeast"/>
      <w:jc w:val="center"/>
    </w:pPr>
    <w:rPr>
      <w:rFonts w:ascii="宋体" w:hAnsi="宋体"/>
      <w:color w:val="000000"/>
      <w:sz w:val="18"/>
      <w:szCs w:val="18"/>
      <w:lang w:val="sq-AL"/>
    </w:rPr>
  </w:style>
  <w:style w:type="paragraph" w:customStyle="1" w:styleId="610">
    <w:name w:val="样式 正文缩进 +"/>
    <w:basedOn w:val="34"/>
    <w:qFormat/>
    <w:uiPriority w:val="0"/>
    <w:pPr>
      <w:adjustRightInd w:val="0"/>
      <w:spacing w:after="120" w:line="360" w:lineRule="auto"/>
      <w:ind w:firstLine="567"/>
      <w:textAlignment w:val="baseline"/>
    </w:pPr>
    <w:rPr>
      <w:sz w:val="24"/>
      <w:szCs w:val="24"/>
      <w:lang w:eastAsia="zh-CN"/>
    </w:rPr>
  </w:style>
  <w:style w:type="paragraph" w:customStyle="1" w:styleId="611">
    <w:name w:val="Char2 Char Char Char Char Char Char"/>
    <w:basedOn w:val="1"/>
    <w:qFormat/>
    <w:uiPriority w:val="0"/>
    <w:rPr>
      <w:rFonts w:ascii="Arial" w:hAnsi="Arial"/>
      <w:sz w:val="24"/>
    </w:rPr>
  </w:style>
  <w:style w:type="paragraph" w:customStyle="1" w:styleId="612">
    <w:name w:val="正文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13">
    <w:name w:val="No Spacing"/>
    <w:qFormat/>
    <w:uiPriority w:val="99"/>
    <w:pPr>
      <w:widowControl w:val="0"/>
      <w:jc w:val="center"/>
    </w:pPr>
    <w:rPr>
      <w:rFonts w:ascii="Calibri" w:hAnsi="Calibri" w:eastAsia="宋体" w:cs="Times New Roman"/>
      <w:kern w:val="2"/>
      <w:sz w:val="21"/>
      <w:szCs w:val="24"/>
      <w:lang w:val="en-US" w:eastAsia="zh-CN" w:bidi="ar-SA"/>
    </w:rPr>
  </w:style>
  <w:style w:type="paragraph" w:customStyle="1" w:styleId="614">
    <w:name w:val="表标头jophy"/>
    <w:qFormat/>
    <w:uiPriority w:val="0"/>
    <w:pPr>
      <w:adjustRightInd w:val="0"/>
      <w:snapToGrid w:val="0"/>
      <w:jc w:val="center"/>
    </w:pPr>
    <w:rPr>
      <w:rFonts w:ascii="Calibri" w:hAnsi="Calibri" w:eastAsia="宋体" w:cs="Times New Roman"/>
      <w:b/>
      <w:bCs/>
      <w:kern w:val="2"/>
      <w:sz w:val="24"/>
      <w:szCs w:val="28"/>
      <w:lang w:val="en-US" w:eastAsia="zh-CN" w:bidi="ar-SA"/>
    </w:rPr>
  </w:style>
  <w:style w:type="paragraph" w:customStyle="1" w:styleId="615">
    <w:name w:val="样式 标题 4H4Subsection + 段前: 6 磅 段后: 6 磅"/>
    <w:basedOn w:val="21"/>
    <w:qFormat/>
    <w:uiPriority w:val="0"/>
    <w:pPr>
      <w:keepNext w:val="0"/>
      <w:keepLines w:val="0"/>
      <w:tabs>
        <w:tab w:val="left" w:pos="-34"/>
      </w:tabs>
      <w:ind w:left="-20"/>
    </w:pPr>
    <w:rPr>
      <w:rFonts w:ascii="Times New Roman" w:hAnsi="Times New Roman" w:cs="宋体"/>
      <w:bCs/>
      <w:sz w:val="24"/>
      <w:lang w:eastAsia="zh-CN"/>
    </w:rPr>
  </w:style>
  <w:style w:type="paragraph" w:customStyle="1" w:styleId="616">
    <w:name w:val="表格内容"/>
    <w:basedOn w:val="1"/>
    <w:link w:val="617"/>
    <w:qFormat/>
    <w:uiPriority w:val="1"/>
    <w:pPr>
      <w:keepNext/>
      <w:adjustRightInd w:val="0"/>
      <w:snapToGrid w:val="0"/>
      <w:jc w:val="center"/>
    </w:pPr>
    <w:rPr>
      <w:lang w:eastAsia="zh-TW"/>
    </w:rPr>
  </w:style>
  <w:style w:type="character" w:customStyle="1" w:styleId="617">
    <w:name w:val="表格内容 字符"/>
    <w:link w:val="616"/>
    <w:qFormat/>
    <w:uiPriority w:val="1"/>
    <w:rPr>
      <w:rFonts w:ascii="Times New Roman" w:hAnsi="Times New Roman" w:eastAsia="宋体" w:cs="Times New Roman"/>
      <w:szCs w:val="20"/>
      <w:lang w:eastAsia="zh-TW"/>
    </w:rPr>
  </w:style>
  <w:style w:type="paragraph" w:customStyle="1" w:styleId="618">
    <w:name w:val="缩2"/>
    <w:basedOn w:val="1"/>
    <w:qFormat/>
    <w:uiPriority w:val="0"/>
    <w:pPr>
      <w:adjustRightInd w:val="0"/>
      <w:snapToGrid w:val="0"/>
      <w:spacing w:line="360" w:lineRule="auto"/>
      <w:ind w:firstLine="560" w:firstLineChars="200"/>
    </w:pPr>
    <w:rPr>
      <w:sz w:val="28"/>
      <w:szCs w:val="28"/>
    </w:rPr>
  </w:style>
  <w:style w:type="paragraph" w:customStyle="1" w:styleId="619">
    <w:name w:val="Char Char1"/>
    <w:basedOn w:val="1"/>
    <w:qFormat/>
    <w:uiPriority w:val="0"/>
    <w:pPr>
      <w:tabs>
        <w:tab w:val="left" w:pos="900"/>
      </w:tabs>
      <w:ind w:left="900" w:hanging="420"/>
    </w:pPr>
    <w:rPr>
      <w:sz w:val="24"/>
    </w:rPr>
  </w:style>
  <w:style w:type="paragraph" w:customStyle="1" w:styleId="620">
    <w:name w:val="font7"/>
    <w:basedOn w:val="1"/>
    <w:qFormat/>
    <w:uiPriority w:val="0"/>
    <w:pPr>
      <w:widowControl/>
      <w:spacing w:before="100" w:after="100"/>
      <w:jc w:val="left"/>
    </w:pPr>
    <w:rPr>
      <w:sz w:val="20"/>
    </w:rPr>
  </w:style>
  <w:style w:type="paragraph" w:customStyle="1" w:styleId="621">
    <w:name w:val="修订2"/>
    <w:unhideWhenUsed/>
    <w:qFormat/>
    <w:uiPriority w:val="99"/>
    <w:rPr>
      <w:rFonts w:ascii="Calibri" w:hAnsi="Calibri" w:eastAsia="宋体" w:cs="Times New Roman"/>
      <w:kern w:val="2"/>
      <w:sz w:val="21"/>
      <w:szCs w:val="21"/>
      <w:lang w:val="en-US" w:eastAsia="zh-TW" w:bidi="ar-SA"/>
    </w:rPr>
  </w:style>
  <w:style w:type="paragraph" w:customStyle="1" w:styleId="622">
    <w:name w:val="Char Char Char Char"/>
    <w:basedOn w:val="1"/>
    <w:qFormat/>
    <w:uiPriority w:val="0"/>
    <w:pPr>
      <w:adjustRightInd w:val="0"/>
      <w:spacing w:line="360" w:lineRule="auto"/>
    </w:pPr>
    <w:rPr>
      <w:sz w:val="24"/>
    </w:rPr>
  </w:style>
  <w:style w:type="paragraph" w:customStyle="1" w:styleId="623">
    <w:name w:val="标题 13"/>
    <w:basedOn w:val="18"/>
    <w:qFormat/>
    <w:uiPriority w:val="0"/>
    <w:pPr>
      <w:keepNext w:val="0"/>
      <w:tabs>
        <w:tab w:val="left" w:pos="1021"/>
      </w:tabs>
      <w:overflowPunct/>
      <w:autoSpaceDE w:val="0"/>
      <w:autoSpaceDN w:val="0"/>
      <w:adjustRightInd w:val="0"/>
      <w:snapToGrid/>
      <w:spacing w:after="120" w:line="240" w:lineRule="auto"/>
      <w:ind w:left="1021" w:hanging="181"/>
      <w:jc w:val="center"/>
      <w:textAlignment w:val="baseline"/>
      <w:outlineLvl w:val="9"/>
    </w:pPr>
    <w:rPr>
      <w:rFonts w:eastAsia="隶书体"/>
      <w:bCs w:val="0"/>
      <w:shadow/>
      <w:color w:val="auto"/>
      <w:sz w:val="44"/>
      <w:szCs w:val="20"/>
    </w:rPr>
  </w:style>
  <w:style w:type="paragraph" w:customStyle="1" w:styleId="624">
    <w:name w:val="样式 样式 标题 4H4Subsection + 黑色 段前: 0.5 行 段后: 0.5 行 + 黑体 段前: 0.5 行..."/>
    <w:basedOn w:val="547"/>
    <w:qFormat/>
    <w:uiPriority w:val="0"/>
    <w:pPr>
      <w:ind w:left="862" w:hanging="862"/>
    </w:pPr>
    <w:rPr>
      <w:rFonts w:ascii="黑体" w:hAnsi="黑体"/>
      <w:szCs w:val="20"/>
    </w:rPr>
  </w:style>
  <w:style w:type="paragraph" w:customStyle="1" w:styleId="625">
    <w:name w:val="1 Char"/>
    <w:basedOn w:val="1"/>
    <w:qFormat/>
    <w:uiPriority w:val="0"/>
  </w:style>
  <w:style w:type="paragraph" w:customStyle="1" w:styleId="626">
    <w:name w:val="小点"/>
    <w:qFormat/>
    <w:uiPriority w:val="0"/>
    <w:pPr>
      <w:tabs>
        <w:tab w:val="left" w:pos="1080"/>
        <w:tab w:val="left" w:pos="1140"/>
      </w:tabs>
      <w:adjustRightInd w:val="0"/>
      <w:snapToGrid w:val="0"/>
      <w:spacing w:line="360" w:lineRule="auto"/>
      <w:ind w:left="480" w:leftChars="200" w:firstLine="240" w:firstLineChars="100"/>
    </w:pPr>
    <w:rPr>
      <w:rFonts w:ascii="宋体" w:hAnsi="宋体" w:eastAsia="宋体" w:cs="宋体"/>
      <w:sz w:val="24"/>
      <w:szCs w:val="24"/>
      <w:lang w:val="en-US" w:eastAsia="zh-CN" w:bidi="ar-SA"/>
    </w:rPr>
  </w:style>
  <w:style w:type="paragraph" w:customStyle="1" w:styleId="627">
    <w:name w:val="Char"/>
    <w:basedOn w:val="1"/>
    <w:qFormat/>
    <w:uiPriority w:val="0"/>
  </w:style>
  <w:style w:type="paragraph" w:customStyle="1" w:styleId="628">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Arial Unicode MS" w:hAnsi="Arial Unicode MS" w:eastAsia="Arial Unicode MS" w:cs="Arial Unicode MS"/>
      <w:sz w:val="20"/>
    </w:rPr>
  </w:style>
  <w:style w:type="paragraph" w:customStyle="1" w:styleId="629">
    <w:name w:val="正文 New New New New New New New New New New New New New New New New New New"/>
    <w:qFormat/>
    <w:uiPriority w:val="0"/>
    <w:pPr>
      <w:widowControl w:val="0"/>
      <w:jc w:val="both"/>
    </w:pPr>
    <w:rPr>
      <w:rFonts w:ascii="Calibri" w:hAnsi="Calibri" w:eastAsia="Times New Roman" w:cs="Times New Roman"/>
      <w:kern w:val="2"/>
      <w:sz w:val="21"/>
      <w:szCs w:val="24"/>
      <w:lang w:val="en-US" w:eastAsia="zh-CN" w:bidi="ar-SA"/>
    </w:rPr>
  </w:style>
  <w:style w:type="paragraph" w:customStyle="1" w:styleId="630">
    <w:name w:val="font0"/>
    <w:basedOn w:val="1"/>
    <w:qFormat/>
    <w:uiPriority w:val="0"/>
    <w:pPr>
      <w:widowControl/>
      <w:spacing w:before="100" w:after="100"/>
      <w:jc w:val="left"/>
    </w:pPr>
    <w:rPr>
      <w:rFonts w:hint="eastAsia" w:ascii="宋体" w:hAnsi="宋体"/>
      <w:sz w:val="24"/>
    </w:rPr>
  </w:style>
  <w:style w:type="paragraph" w:customStyle="1" w:styleId="631">
    <w:name w:val="样式 标题 4H4Subsection + 黑体 加粗 段前: 0.5 行 段后: 0.5 行1"/>
    <w:basedOn w:val="21"/>
    <w:qFormat/>
    <w:uiPriority w:val="0"/>
    <w:pPr>
      <w:keepNext w:val="0"/>
      <w:keepLines w:val="0"/>
      <w:tabs>
        <w:tab w:val="left" w:pos="600"/>
        <w:tab w:val="left" w:pos="926"/>
      </w:tabs>
      <w:spacing w:before="120" w:beforeLines="100" w:after="120" w:afterLines="100"/>
      <w:ind w:left="862" w:hanging="862"/>
    </w:pPr>
    <w:rPr>
      <w:rFonts w:ascii="黑体" w:hAnsi="黑体" w:eastAsia="黑体" w:cs="宋体"/>
      <w:b w:val="0"/>
      <w:bCs/>
      <w:snapToGrid w:val="0"/>
      <w:sz w:val="24"/>
      <w:lang w:eastAsia="zh-CN"/>
    </w:rPr>
  </w:style>
  <w:style w:type="paragraph" w:customStyle="1" w:styleId="632">
    <w:name w:val="1表格"/>
    <w:basedOn w:val="1"/>
    <w:qFormat/>
    <w:uiPriority w:val="0"/>
    <w:pPr>
      <w:snapToGrid w:val="0"/>
      <w:spacing w:line="300" w:lineRule="auto"/>
      <w:jc w:val="center"/>
      <w:outlineLvl w:val="4"/>
    </w:pPr>
    <w:rPr>
      <w:color w:val="FF0000"/>
      <w:spacing w:val="4"/>
      <w:sz w:val="24"/>
    </w:rPr>
  </w:style>
  <w:style w:type="paragraph" w:customStyle="1" w:styleId="633">
    <w:name w:val="样式 标题 4H4Subsection + 黑体 段前: 0.5 行 段后: 0.5 行"/>
    <w:basedOn w:val="21"/>
    <w:qFormat/>
    <w:uiPriority w:val="0"/>
    <w:pPr>
      <w:keepNext w:val="0"/>
      <w:keepLines w:val="0"/>
      <w:tabs>
        <w:tab w:val="left" w:pos="600"/>
        <w:tab w:val="left" w:pos="926"/>
      </w:tabs>
      <w:spacing w:before="120" w:beforeLines="50" w:after="120" w:afterLines="50"/>
      <w:ind w:left="862" w:hanging="862"/>
    </w:pPr>
    <w:rPr>
      <w:rFonts w:ascii="黑体" w:hAnsi="宋体" w:eastAsia="黑体" w:cs="宋体"/>
      <w:b w:val="0"/>
      <w:sz w:val="24"/>
      <w:lang w:eastAsia="zh-CN"/>
    </w:rPr>
  </w:style>
  <w:style w:type="paragraph" w:customStyle="1" w:styleId="634">
    <w:name w:val="body"/>
    <w:basedOn w:val="1"/>
    <w:qFormat/>
    <w:uiPriority w:val="0"/>
    <w:pPr>
      <w:spacing w:line="360" w:lineRule="auto"/>
    </w:pPr>
    <w:rPr>
      <w:rFonts w:ascii="宋体" w:hAnsi="宋体" w:cs="宋体"/>
      <w:sz w:val="24"/>
    </w:rPr>
  </w:style>
  <w:style w:type="paragraph" w:customStyle="1" w:styleId="635">
    <w:name w:val="正文 31"/>
    <w:basedOn w:val="548"/>
    <w:qFormat/>
    <w:uiPriority w:val="0"/>
    <w:pPr>
      <w:spacing w:line="360" w:lineRule="auto"/>
      <w:jc w:val="left"/>
    </w:pPr>
    <w:rPr>
      <w:rFonts w:eastAsia="楷体"/>
      <w:sz w:val="28"/>
    </w:rPr>
  </w:style>
  <w:style w:type="paragraph" w:customStyle="1" w:styleId="636">
    <w:name w:val="前言"/>
    <w:basedOn w:val="1"/>
    <w:qFormat/>
    <w:uiPriority w:val="0"/>
    <w:pPr>
      <w:pageBreakBefore/>
      <w:autoSpaceDE w:val="0"/>
      <w:autoSpaceDN w:val="0"/>
      <w:adjustRightInd w:val="0"/>
      <w:spacing w:line="288" w:lineRule="auto"/>
      <w:ind w:firstLine="454"/>
      <w:jc w:val="center"/>
      <w:textAlignment w:val="baseline"/>
    </w:pPr>
    <w:rPr>
      <w:rFonts w:ascii="黑体" w:eastAsia="黑体"/>
      <w:sz w:val="32"/>
    </w:rPr>
  </w:style>
  <w:style w:type="paragraph" w:customStyle="1" w:styleId="637">
    <w:name w:val="样式 标题 2标题 2 Char Char Char Char Char标题 2 Char Char Char Char C...1"/>
    <w:basedOn w:val="19"/>
    <w:qFormat/>
    <w:uiPriority w:val="0"/>
    <w:pPr>
      <w:keepNext/>
      <w:keepLines/>
      <w:pBdr>
        <w:bottom w:val="none" w:color="auto" w:sz="0" w:space="0"/>
      </w:pBdr>
      <w:adjustRightInd w:val="0"/>
      <w:snapToGrid w:val="0"/>
      <w:spacing w:before="120" w:beforeLines="50"/>
      <w:ind w:left="3685" w:hanging="425"/>
    </w:pPr>
    <w:rPr>
      <w:rFonts w:ascii="黑体" w:eastAsia="黑体"/>
      <w:b w:val="0"/>
      <w:bCs/>
      <w:caps w:val="0"/>
      <w:color w:val="auto"/>
      <w:spacing w:val="0"/>
      <w:kern w:val="2"/>
      <w:sz w:val="28"/>
      <w:szCs w:val="28"/>
      <w:lang w:eastAsia="zh-CN"/>
    </w:rPr>
  </w:style>
  <w:style w:type="paragraph" w:customStyle="1" w:styleId="638">
    <w:name w:val="页面 5"/>
    <w:basedOn w:val="528"/>
    <w:qFormat/>
    <w:uiPriority w:val="0"/>
    <w:rPr>
      <w:sz w:val="44"/>
    </w:rPr>
  </w:style>
  <w:style w:type="paragraph" w:customStyle="1" w:styleId="639">
    <w:name w:val="样式 标题 4H4Subsection + 段前: 0.5 行 段后: 0.5 行"/>
    <w:basedOn w:val="21"/>
    <w:qFormat/>
    <w:uiPriority w:val="0"/>
    <w:pPr>
      <w:keepNext w:val="0"/>
      <w:keepLines w:val="0"/>
      <w:tabs>
        <w:tab w:val="left" w:pos="600"/>
        <w:tab w:val="left" w:pos="926"/>
      </w:tabs>
      <w:spacing w:before="120" w:beforeLines="50" w:after="120" w:afterLines="50"/>
      <w:ind w:left="862" w:hanging="862"/>
    </w:pPr>
    <w:rPr>
      <w:rFonts w:ascii="Times New Roman" w:hAnsi="Times New Roman" w:eastAsia="黑体" w:cs="宋体"/>
      <w:b w:val="0"/>
      <w:sz w:val="24"/>
      <w:lang w:eastAsia="zh-CN"/>
    </w:rPr>
  </w:style>
  <w:style w:type="paragraph" w:customStyle="1" w:styleId="640">
    <w:name w:val="xl25"/>
    <w:basedOn w:val="1"/>
    <w:qFormat/>
    <w:uiPriority w:val="0"/>
    <w:pPr>
      <w:widowControl/>
      <w:spacing w:before="100" w:after="100"/>
      <w:jc w:val="center"/>
      <w:textAlignment w:val="center"/>
    </w:pPr>
    <w:rPr>
      <w:rFonts w:ascii="宋体" w:hAnsi="宋体"/>
      <w:sz w:val="24"/>
    </w:rPr>
  </w:style>
  <w:style w:type="paragraph" w:customStyle="1" w:styleId="641">
    <w:name w:val="Char Char Char Char Char Char"/>
    <w:basedOn w:val="1"/>
    <w:qFormat/>
    <w:uiPriority w:val="0"/>
  </w:style>
  <w:style w:type="paragraph" w:customStyle="1" w:styleId="642">
    <w:name w:val="样式 行距: 1.5 倍行距"/>
    <w:basedOn w:val="1"/>
    <w:qFormat/>
    <w:uiPriority w:val="0"/>
    <w:pPr>
      <w:adjustRightInd w:val="0"/>
      <w:snapToGrid w:val="0"/>
      <w:spacing w:line="360" w:lineRule="auto"/>
      <w:ind w:firstLine="504" w:firstLineChars="200"/>
    </w:pPr>
    <w:rPr>
      <w:rFonts w:cs="宋体"/>
      <w:color w:val="000000"/>
      <w:spacing w:val="6"/>
      <w:sz w:val="24"/>
    </w:rPr>
  </w:style>
  <w:style w:type="paragraph" w:customStyle="1" w:styleId="643">
    <w:name w:val="样式 标题 2H22nd levelh22Header 21SeHead wsa2Chapter Title..."/>
    <w:basedOn w:val="19"/>
    <w:qFormat/>
    <w:uiPriority w:val="0"/>
    <w:pPr>
      <w:keepNext/>
      <w:keepLines/>
      <w:pBdr>
        <w:bottom w:val="none" w:color="auto" w:sz="0" w:space="0"/>
      </w:pBdr>
      <w:spacing w:before="100" w:beforeAutospacing="1" w:after="100" w:afterAutospacing="1"/>
      <w:ind w:left="3685" w:hanging="425"/>
      <w:jc w:val="left"/>
    </w:pPr>
    <w:rPr>
      <w:rFonts w:cs="宋体"/>
      <w:bCs/>
      <w:caps w:val="0"/>
      <w:color w:val="auto"/>
      <w:spacing w:val="0"/>
      <w:sz w:val="32"/>
      <w:szCs w:val="32"/>
      <w:lang w:eastAsia="zh-CN"/>
    </w:rPr>
  </w:style>
  <w:style w:type="paragraph" w:customStyle="1" w:styleId="644">
    <w:name w:val="TOC 标题11"/>
    <w:basedOn w:val="18"/>
    <w:next w:val="1"/>
    <w:qFormat/>
    <w:uiPriority w:val="39"/>
    <w:pPr>
      <w:keepLines/>
      <w:widowControl/>
      <w:overflowPunct/>
      <w:adjustRightInd w:val="0"/>
      <w:snapToGrid/>
      <w:spacing w:before="240" w:after="0"/>
      <w:ind w:left="0" w:firstLine="0"/>
      <w:jc w:val="left"/>
      <w:textAlignment w:val="baseline"/>
      <w:outlineLvl w:val="9"/>
    </w:pPr>
    <w:rPr>
      <w:rFonts w:ascii="Calibri Light" w:hAnsi="Calibri Light" w:eastAsia="宋体"/>
      <w:b w:val="0"/>
      <w:bCs w:val="0"/>
      <w:color w:val="2E74B5"/>
      <w:kern w:val="0"/>
      <w:sz w:val="32"/>
      <w:szCs w:val="32"/>
    </w:rPr>
  </w:style>
  <w:style w:type="paragraph" w:customStyle="1" w:styleId="645">
    <w:name w:val="5文章(治)"/>
    <w:basedOn w:val="1"/>
    <w:qFormat/>
    <w:uiPriority w:val="0"/>
    <w:pPr>
      <w:spacing w:line="360" w:lineRule="auto"/>
      <w:ind w:firstLine="560" w:firstLineChars="200"/>
    </w:pPr>
    <w:rPr>
      <w:rFonts w:eastAsia="楷体_GB2312"/>
      <w:sz w:val="28"/>
    </w:rPr>
  </w:style>
  <w:style w:type="paragraph" w:customStyle="1" w:styleId="646">
    <w:name w:val="样式 标题 3条标题1.1.1h3H3level_3PIM 3Level 3 HeadHeading 3 - ol...9"/>
    <w:basedOn w:val="20"/>
    <w:qFormat/>
    <w:uiPriority w:val="0"/>
    <w:pPr>
      <w:keepNext/>
      <w:widowControl w:val="0"/>
      <w:tabs>
        <w:tab w:val="left" w:pos="720"/>
      </w:tabs>
      <w:spacing w:before="120" w:beforeLines="50" w:after="120" w:afterLines="50" w:line="360" w:lineRule="auto"/>
      <w:ind w:left="720" w:hanging="720"/>
      <w:jc w:val="left"/>
    </w:pPr>
    <w:rPr>
      <w:rFonts w:hAnsi="宋体"/>
      <w:snapToGrid w:val="0"/>
      <w:spacing w:val="0"/>
      <w:kern w:val="2"/>
      <w:sz w:val="24"/>
      <w:szCs w:val="20"/>
      <w:lang w:eastAsia="zh-CN"/>
    </w:rPr>
  </w:style>
  <w:style w:type="paragraph" w:customStyle="1" w:styleId="647">
    <w:name w:val="xl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pPr>
    <w:rPr>
      <w:rFonts w:ascii="仿宋_GB2312" w:hAnsi="Arial Unicode MS" w:eastAsia="仿宋_GB2312" w:cs="仿宋_GB2312"/>
    </w:rPr>
  </w:style>
  <w:style w:type="paragraph" w:customStyle="1" w:styleId="648">
    <w:name w:val="Char Char Char Char Char Char1 Char Char"/>
    <w:basedOn w:val="1"/>
    <w:next w:val="1"/>
    <w:qFormat/>
    <w:uiPriority w:val="0"/>
    <w:pPr>
      <w:spacing w:line="360" w:lineRule="auto"/>
      <w:ind w:firstLine="200" w:firstLineChars="200"/>
    </w:pPr>
    <w:rPr>
      <w:rFonts w:ascii="宋体" w:hAnsi="宋体" w:cs="宋体"/>
      <w:sz w:val="24"/>
    </w:rPr>
  </w:style>
  <w:style w:type="paragraph" w:customStyle="1" w:styleId="649">
    <w:name w:val="样式 正文文本缩进 + 左侧:  2 字符"/>
    <w:basedOn w:val="48"/>
    <w:qFormat/>
    <w:uiPriority w:val="0"/>
    <w:pPr>
      <w:widowControl/>
      <w:adjustRightInd w:val="0"/>
      <w:snapToGrid w:val="0"/>
      <w:spacing w:beforeLines="50" w:line="360" w:lineRule="auto"/>
      <w:ind w:left="0" w:leftChars="0" w:firstLine="200" w:firstLineChars="200"/>
      <w:jc w:val="left"/>
    </w:pPr>
  </w:style>
  <w:style w:type="paragraph" w:customStyle="1" w:styleId="650">
    <w:name w:val="报告表格"/>
    <w:basedOn w:val="1"/>
    <w:qFormat/>
    <w:uiPriority w:val="0"/>
    <w:pPr>
      <w:autoSpaceDE w:val="0"/>
      <w:autoSpaceDN w:val="0"/>
      <w:adjustRightInd w:val="0"/>
      <w:jc w:val="center"/>
      <w:textAlignment w:val="baseline"/>
    </w:pPr>
    <w:rPr>
      <w:b/>
      <w:sz w:val="24"/>
    </w:rPr>
  </w:style>
  <w:style w:type="paragraph" w:customStyle="1" w:styleId="651">
    <w:name w:val="报告表大标题"/>
    <w:basedOn w:val="1"/>
    <w:qFormat/>
    <w:uiPriority w:val="0"/>
    <w:pPr>
      <w:adjustRightInd w:val="0"/>
      <w:spacing w:line="360" w:lineRule="auto"/>
      <w:textAlignment w:val="baseline"/>
    </w:pPr>
    <w:rPr>
      <w:rFonts w:ascii="Calibri" w:hAnsi="Calibri" w:eastAsia="黑体"/>
      <w:b/>
      <w:sz w:val="28"/>
    </w:rPr>
  </w:style>
  <w:style w:type="paragraph" w:customStyle="1" w:styleId="652">
    <w:name w:val="xl181"/>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Tahoma" w:hAnsi="Tahoma" w:eastAsia="Arial Unicode MS" w:cs="Tahoma"/>
      <w:sz w:val="20"/>
    </w:rPr>
  </w:style>
  <w:style w:type="paragraph" w:customStyle="1" w:styleId="653">
    <w:name w:val="图题"/>
    <w:basedOn w:val="1"/>
    <w:qFormat/>
    <w:uiPriority w:val="0"/>
    <w:pPr>
      <w:tabs>
        <w:tab w:val="left" w:pos="1260"/>
      </w:tabs>
      <w:spacing w:beforeLines="50" w:afterLines="100" w:line="312" w:lineRule="auto"/>
      <w:jc w:val="center"/>
    </w:pPr>
    <w:rPr>
      <w:rFonts w:ascii="宋体" w:hAnsi="宋体" w:cs="Arial"/>
      <w:bCs/>
      <w:sz w:val="24"/>
    </w:rPr>
  </w:style>
  <w:style w:type="paragraph" w:customStyle="1" w:styleId="654">
    <w:name w:val="正文 New New New New New New New New New New New New New New New New New New New"/>
    <w:qFormat/>
    <w:uiPriority w:val="0"/>
    <w:pPr>
      <w:widowControl w:val="0"/>
      <w:jc w:val="both"/>
    </w:pPr>
    <w:rPr>
      <w:rFonts w:ascii="Times New Roman" w:hAnsi="Times New Roman" w:eastAsia="宋体" w:cs="Times New Roman"/>
      <w:kern w:val="2"/>
      <w:sz w:val="24"/>
      <w:szCs w:val="24"/>
      <w:lang w:val="en-US" w:eastAsia="zh-CN" w:bidi="ar-SA"/>
    </w:rPr>
  </w:style>
  <w:style w:type="paragraph" w:customStyle="1" w:styleId="655">
    <w:name w:val="Char2"/>
    <w:basedOn w:val="1"/>
    <w:qFormat/>
    <w:uiPriority w:val="0"/>
    <w:pPr>
      <w:adjustRightInd w:val="0"/>
      <w:spacing w:line="360" w:lineRule="auto"/>
    </w:pPr>
    <w:rPr>
      <w:sz w:val="24"/>
    </w:rPr>
  </w:style>
  <w:style w:type="paragraph" w:customStyle="1" w:styleId="656">
    <w:name w:val="第几章"/>
    <w:basedOn w:val="518"/>
    <w:qFormat/>
    <w:uiPriority w:val="0"/>
    <w:pPr>
      <w:spacing w:beforeLines="0"/>
    </w:pPr>
    <w:rPr>
      <w:sz w:val="32"/>
      <w:szCs w:val="32"/>
    </w:rPr>
  </w:style>
  <w:style w:type="paragraph" w:customStyle="1" w:styleId="657">
    <w:name w:val="样式 样式 样式 标题 4H4Subsection + 黑色 段前: 0.5 行 段后: 0.5 行 + 段前: 0.5 行 段..."/>
    <w:basedOn w:val="585"/>
    <w:qFormat/>
    <w:uiPriority w:val="0"/>
  </w:style>
  <w:style w:type="paragraph" w:customStyle="1" w:styleId="658">
    <w:name w:val="样式 样式 宋体 小四 左 + 首行缩进:  2 字符"/>
    <w:basedOn w:val="1"/>
    <w:qFormat/>
    <w:uiPriority w:val="0"/>
    <w:pPr>
      <w:spacing w:line="360" w:lineRule="auto"/>
      <w:ind w:firstLine="200" w:firstLineChars="200"/>
      <w:jc w:val="left"/>
    </w:pPr>
    <w:rPr>
      <w:rFonts w:cs="宋体"/>
      <w:sz w:val="24"/>
    </w:rPr>
  </w:style>
  <w:style w:type="paragraph" w:customStyle="1" w:styleId="659">
    <w:name w:val="正文1"/>
    <w:qFormat/>
    <w:uiPriority w:val="0"/>
    <w:pPr>
      <w:jc w:val="both"/>
    </w:pPr>
    <w:rPr>
      <w:rFonts w:ascii="Calibri" w:hAnsi="Calibri" w:eastAsia="宋体" w:cs="Times New Roman"/>
      <w:kern w:val="2"/>
      <w:sz w:val="21"/>
      <w:szCs w:val="21"/>
      <w:lang w:val="en-US" w:eastAsia="zh-CN" w:bidi="ar-SA"/>
    </w:rPr>
  </w:style>
  <w:style w:type="paragraph" w:customStyle="1" w:styleId="660">
    <w:name w:val="列出段落1"/>
    <w:basedOn w:val="1"/>
    <w:qFormat/>
    <w:uiPriority w:val="0"/>
    <w:pPr>
      <w:ind w:firstLine="420" w:firstLineChars="200"/>
    </w:pPr>
    <w:rPr>
      <w:rFonts w:ascii="Calibri" w:hAnsi="Calibri"/>
      <w:szCs w:val="22"/>
    </w:rPr>
  </w:style>
  <w:style w:type="paragraph" w:customStyle="1" w:styleId="661">
    <w:name w:val="样式 标题 4H4Subsection + 黑色 段前: 0.5 行 段后: 0.5 行1"/>
    <w:basedOn w:val="21"/>
    <w:qFormat/>
    <w:uiPriority w:val="0"/>
    <w:pPr>
      <w:keepNext w:val="0"/>
      <w:keepLines w:val="0"/>
      <w:tabs>
        <w:tab w:val="left" w:pos="600"/>
        <w:tab w:val="left" w:pos="926"/>
      </w:tabs>
      <w:spacing w:before="120" w:beforeLines="50" w:after="120" w:afterLines="50"/>
      <w:ind w:left="862" w:hanging="862"/>
    </w:pPr>
    <w:rPr>
      <w:rFonts w:ascii="Times New Roman" w:hAnsi="Times New Roman" w:eastAsia="黑体" w:cs="宋体"/>
      <w:b w:val="0"/>
      <w:color w:val="000000"/>
      <w:sz w:val="24"/>
      <w:lang w:eastAsia="zh-CN"/>
    </w:rPr>
  </w:style>
  <w:style w:type="paragraph" w:customStyle="1" w:styleId="662">
    <w:name w:val="表题 2"/>
    <w:basedOn w:val="553"/>
    <w:qFormat/>
    <w:uiPriority w:val="0"/>
    <w:rPr>
      <w:sz w:val="28"/>
    </w:rPr>
  </w:style>
  <w:style w:type="paragraph" w:customStyle="1" w:styleId="663">
    <w:name w:val="Char Char"/>
    <w:basedOn w:val="1"/>
    <w:qFormat/>
    <w:uiPriority w:val="0"/>
    <w:rPr>
      <w:rFonts w:eastAsia="仿宋_GB2312"/>
      <w:b/>
      <w:sz w:val="24"/>
    </w:rPr>
  </w:style>
  <w:style w:type="paragraph" w:customStyle="1" w:styleId="664">
    <w:name w:val="表文字a"/>
    <w:basedOn w:val="1"/>
    <w:next w:val="1"/>
    <w:qFormat/>
    <w:uiPriority w:val="0"/>
    <w:pPr>
      <w:adjustRightInd w:val="0"/>
      <w:snapToGrid w:val="0"/>
      <w:jc w:val="center"/>
    </w:pPr>
    <w:rPr>
      <w:rFonts w:ascii="Calibri" w:hAnsi="Calibri"/>
      <w:color w:val="7030A0"/>
      <w:lang w:eastAsia="zh-TW"/>
    </w:rPr>
  </w:style>
  <w:style w:type="paragraph" w:customStyle="1" w:styleId="665">
    <w:name w:val="图底"/>
    <w:basedOn w:val="1"/>
    <w:qFormat/>
    <w:uiPriority w:val="0"/>
    <w:pPr>
      <w:kinsoku w:val="0"/>
      <w:wordWrap w:val="0"/>
      <w:overflowPunct w:val="0"/>
      <w:autoSpaceDE w:val="0"/>
      <w:autoSpaceDN w:val="0"/>
      <w:adjustRightInd w:val="0"/>
      <w:jc w:val="center"/>
      <w:textAlignment w:val="baseline"/>
    </w:pPr>
    <w:rPr>
      <w:b/>
      <w:sz w:val="24"/>
    </w:rPr>
  </w:style>
  <w:style w:type="paragraph" w:customStyle="1" w:styleId="666">
    <w:name w:val="样式 标题 3B HeadH3ReHead 3 WSAh3标题 3 Char.. + 段前: 0 磅 行距: 1..."/>
    <w:basedOn w:val="20"/>
    <w:qFormat/>
    <w:uiPriority w:val="0"/>
    <w:pPr>
      <w:keepNext/>
      <w:widowControl w:val="0"/>
      <w:adjustRightInd/>
      <w:snapToGrid/>
      <w:spacing w:before="100" w:beforeLines="50" w:beforeAutospacing="1" w:after="100" w:afterLines="50" w:afterAutospacing="1" w:line="360" w:lineRule="auto"/>
      <w:jc w:val="left"/>
      <w:textAlignment w:val="auto"/>
    </w:pPr>
    <w:rPr>
      <w:rFonts w:eastAsia="黑体" w:cs="宋体"/>
      <w:b w:val="0"/>
      <w:color w:val="000000"/>
      <w:spacing w:val="0"/>
      <w:kern w:val="2"/>
      <w:szCs w:val="20"/>
      <w:lang w:eastAsia="zh-CN"/>
    </w:rPr>
  </w:style>
  <w:style w:type="paragraph" w:customStyle="1" w:styleId="667">
    <w:name w:val="yqy5"/>
    <w:basedOn w:val="21"/>
    <w:qFormat/>
    <w:uiPriority w:val="0"/>
    <w:pPr>
      <w:spacing w:beforeLines="50"/>
    </w:pPr>
    <w:rPr>
      <w:sz w:val="24"/>
      <w:szCs w:val="24"/>
      <w:lang w:eastAsia="zh-CN"/>
    </w:rPr>
  </w:style>
  <w:style w:type="paragraph" w:customStyle="1" w:styleId="668">
    <w:name w:val="样式 标题 4H4Subsection + 黑体 段前: 0.5 行 段后: 0.5 行1"/>
    <w:basedOn w:val="21"/>
    <w:qFormat/>
    <w:uiPriority w:val="0"/>
    <w:pPr>
      <w:keepNext w:val="0"/>
      <w:keepLines w:val="0"/>
      <w:tabs>
        <w:tab w:val="left" w:pos="600"/>
        <w:tab w:val="left" w:pos="926"/>
      </w:tabs>
      <w:spacing w:before="120" w:beforeLines="50" w:after="120" w:afterLines="50"/>
      <w:ind w:left="862" w:hanging="862"/>
    </w:pPr>
    <w:rPr>
      <w:rFonts w:ascii="黑体" w:hAnsi="Times New Roman" w:eastAsia="黑体" w:cs="宋体"/>
      <w:b w:val="0"/>
      <w:sz w:val="24"/>
      <w:lang w:eastAsia="zh-CN"/>
    </w:rPr>
  </w:style>
  <w:style w:type="paragraph" w:customStyle="1" w:styleId="669">
    <w:name w:val="正文尾 1"/>
    <w:qFormat/>
    <w:uiPriority w:val="0"/>
    <w:pPr>
      <w:widowControl w:val="0"/>
      <w:adjustRightInd w:val="0"/>
      <w:spacing w:line="360" w:lineRule="auto"/>
      <w:ind w:left="3969"/>
      <w:jc w:val="center"/>
      <w:textAlignment w:val="baseline"/>
    </w:pPr>
    <w:rPr>
      <w:rFonts w:ascii="Times New Roman" w:hAnsi="Times New Roman" w:eastAsia="宋体" w:cs="Times New Roman"/>
      <w:sz w:val="28"/>
      <w:lang w:val="en-US" w:eastAsia="zh-CN" w:bidi="ar-SA"/>
    </w:rPr>
  </w:style>
  <w:style w:type="paragraph" w:customStyle="1" w:styleId="670">
    <w:name w:val="正文0"/>
    <w:basedOn w:val="1"/>
    <w:qFormat/>
    <w:uiPriority w:val="0"/>
    <w:pPr>
      <w:topLinePunct/>
      <w:autoSpaceDE w:val="0"/>
      <w:autoSpaceDN w:val="0"/>
      <w:adjustRightInd w:val="0"/>
      <w:spacing w:line="360" w:lineRule="auto"/>
      <w:ind w:firstLine="567"/>
      <w:textAlignment w:val="baseline"/>
    </w:pPr>
    <w:rPr>
      <w:rFonts w:eastAsia="仿宋体"/>
      <w:sz w:val="24"/>
    </w:rPr>
  </w:style>
  <w:style w:type="paragraph" w:customStyle="1" w:styleId="671">
    <w:name w:val="表号"/>
    <w:qFormat/>
    <w:uiPriority w:val="0"/>
    <w:pPr>
      <w:widowControl w:val="0"/>
      <w:autoSpaceDE w:val="0"/>
      <w:autoSpaceDN w:val="0"/>
      <w:adjustRightInd w:val="0"/>
      <w:spacing w:before="120" w:after="120" w:line="288" w:lineRule="auto"/>
      <w:jc w:val="center"/>
      <w:textAlignment w:val="center"/>
    </w:pPr>
    <w:rPr>
      <w:rFonts w:ascii="Arial" w:hAnsi="Arial" w:eastAsia="楷体_GB2312" w:cs="Times New Roman"/>
      <w:sz w:val="24"/>
      <w:lang w:val="en-US" w:eastAsia="zh-CN" w:bidi="ar-SA"/>
    </w:rPr>
  </w:style>
  <w:style w:type="paragraph" w:customStyle="1" w:styleId="672">
    <w:name w:val="正文11"/>
    <w:basedOn w:val="1"/>
    <w:qFormat/>
    <w:uiPriority w:val="0"/>
    <w:pPr>
      <w:adjustRightInd w:val="0"/>
      <w:jc w:val="left"/>
      <w:textAlignment w:val="baseline"/>
    </w:pPr>
    <w:rPr>
      <w:rFonts w:ascii="Calibri" w:hAnsi="Calibri" w:eastAsia="楷体_GB2312" w:cs="Calibri"/>
      <w:sz w:val="24"/>
      <w:lang w:eastAsia="en-US"/>
    </w:rPr>
  </w:style>
  <w:style w:type="paragraph" w:customStyle="1" w:styleId="673">
    <w:name w:val="TTT表格标题"/>
    <w:basedOn w:val="1"/>
    <w:qFormat/>
    <w:uiPriority w:val="0"/>
    <w:pPr>
      <w:autoSpaceDE w:val="0"/>
      <w:autoSpaceDN w:val="0"/>
      <w:adjustRightInd w:val="0"/>
      <w:jc w:val="center"/>
      <w:textAlignment w:val="baseline"/>
    </w:pPr>
    <w:rPr>
      <w:rFonts w:ascii="Calibri" w:hAnsi="Calibri"/>
      <w:b/>
      <w:bCs/>
      <w:sz w:val="24"/>
      <w:lang w:eastAsia="zh-TW"/>
    </w:rPr>
  </w:style>
  <w:style w:type="paragraph" w:customStyle="1" w:styleId="674">
    <w:name w:val="样式 (西文) 宋体 小四 段前: 6 磅 段后: 6 磅 行距: 多倍行距 1.25 字行 首行缩进:  2 字符"/>
    <w:basedOn w:val="1"/>
    <w:qFormat/>
    <w:uiPriority w:val="0"/>
    <w:pPr>
      <w:spacing w:line="360" w:lineRule="auto"/>
      <w:ind w:firstLine="480" w:firstLineChars="200"/>
    </w:pPr>
    <w:rPr>
      <w:sz w:val="24"/>
      <w:lang w:val="zh-CN"/>
    </w:rPr>
  </w:style>
  <w:style w:type="paragraph" w:customStyle="1" w:styleId="675">
    <w:name w:val="Char Char Char1 Char Char Char"/>
    <w:basedOn w:val="1"/>
    <w:qFormat/>
    <w:uiPriority w:val="0"/>
    <w:pPr>
      <w:adjustRightInd w:val="0"/>
      <w:spacing w:line="360" w:lineRule="auto"/>
    </w:pPr>
    <w:rPr>
      <w:sz w:val="24"/>
    </w:rPr>
  </w:style>
  <w:style w:type="paragraph" w:customStyle="1" w:styleId="676">
    <w:name w:val="封面2"/>
    <w:basedOn w:val="1"/>
    <w:qFormat/>
    <w:uiPriority w:val="0"/>
    <w:pPr>
      <w:jc w:val="center"/>
    </w:pPr>
    <w:rPr>
      <w:b/>
      <w:sz w:val="44"/>
    </w:rPr>
  </w:style>
  <w:style w:type="paragraph" w:customStyle="1" w:styleId="677">
    <w:name w:val="正文 03"/>
    <w:basedOn w:val="1"/>
    <w:qFormat/>
    <w:uiPriority w:val="0"/>
    <w:pPr>
      <w:autoSpaceDE w:val="0"/>
      <w:autoSpaceDN w:val="0"/>
      <w:adjustRightInd w:val="0"/>
      <w:textAlignment w:val="baseline"/>
    </w:pPr>
    <w:rPr>
      <w:sz w:val="24"/>
    </w:rPr>
  </w:style>
  <w:style w:type="paragraph" w:customStyle="1" w:styleId="678">
    <w:name w:val="样式 样式 样式 标题 4H4Subsection + 黑体 加粗 黑色 段前: 0.5 行 段后: 0.5 行 + 段前: 0..."/>
    <w:basedOn w:val="679"/>
    <w:qFormat/>
    <w:uiPriority w:val="0"/>
    <w:pPr>
      <w:tabs>
        <w:tab w:val="left" w:pos="0"/>
        <w:tab w:val="left" w:pos="600"/>
        <w:tab w:val="left" w:pos="926"/>
      </w:tabs>
    </w:pPr>
  </w:style>
  <w:style w:type="paragraph" w:customStyle="1" w:styleId="679">
    <w:name w:val="样式 样式 标题 4H4Subsection + 黑体 加粗 黑色 段前: 0.5 行 段后: 0.5 行 + 段前: 0.5 ..."/>
    <w:basedOn w:val="594"/>
    <w:qFormat/>
    <w:uiPriority w:val="0"/>
    <w:pPr>
      <w:tabs>
        <w:tab w:val="left" w:pos="0"/>
      </w:tabs>
      <w:ind w:left="0" w:firstLine="0"/>
    </w:pPr>
  </w:style>
  <w:style w:type="paragraph" w:customStyle="1" w:styleId="680">
    <w:name w:val="表1表2"/>
    <w:basedOn w:val="1"/>
    <w:qFormat/>
    <w:uiPriority w:val="0"/>
    <w:pPr>
      <w:topLinePunct/>
      <w:autoSpaceDE w:val="0"/>
      <w:autoSpaceDN w:val="0"/>
      <w:adjustRightInd w:val="0"/>
      <w:jc w:val="center"/>
      <w:textAlignment w:val="center"/>
    </w:pPr>
    <w:rPr>
      <w:rFonts w:eastAsia="仿宋体"/>
      <w:sz w:val="24"/>
    </w:rPr>
  </w:style>
  <w:style w:type="paragraph" w:customStyle="1" w:styleId="681">
    <w:name w:val="正文尾"/>
    <w:qFormat/>
    <w:uiPriority w:val="0"/>
    <w:pPr>
      <w:widowControl w:val="0"/>
      <w:adjustRightInd w:val="0"/>
      <w:spacing w:line="300" w:lineRule="auto"/>
      <w:ind w:left="3969"/>
      <w:jc w:val="center"/>
      <w:textAlignment w:val="baseline"/>
    </w:pPr>
    <w:rPr>
      <w:rFonts w:ascii="Times New Roman" w:hAnsi="Times New Roman" w:eastAsia="宋体" w:cs="Times New Roman"/>
      <w:sz w:val="28"/>
      <w:lang w:val="en-US" w:eastAsia="zh-CN" w:bidi="ar-SA"/>
    </w:rPr>
  </w:style>
  <w:style w:type="paragraph" w:customStyle="1" w:styleId="682">
    <w:name w:val="样式 首行缩进:  2 字符3"/>
    <w:basedOn w:val="1"/>
    <w:qFormat/>
    <w:uiPriority w:val="0"/>
    <w:pPr>
      <w:snapToGrid w:val="0"/>
      <w:spacing w:line="360" w:lineRule="auto"/>
      <w:ind w:firstLine="480" w:firstLineChars="200"/>
    </w:pPr>
    <w:rPr>
      <w:rFonts w:cs="宋体"/>
      <w:sz w:val="24"/>
    </w:rPr>
  </w:style>
  <w:style w:type="paragraph" w:customStyle="1" w:styleId="683">
    <w:name w:val="样式 标题 4H4Subsection + 黑体 加粗 段前: 0.5 行 段后: 0.5 行"/>
    <w:basedOn w:val="21"/>
    <w:qFormat/>
    <w:uiPriority w:val="0"/>
    <w:pPr>
      <w:keepNext w:val="0"/>
      <w:keepLines w:val="0"/>
      <w:tabs>
        <w:tab w:val="left" w:pos="600"/>
        <w:tab w:val="left" w:pos="926"/>
      </w:tabs>
      <w:spacing w:before="120" w:beforeLines="100" w:after="120" w:afterLines="100"/>
      <w:ind w:left="862" w:hanging="862"/>
    </w:pPr>
    <w:rPr>
      <w:rFonts w:ascii="黑体" w:hAnsi="黑体" w:eastAsia="黑体" w:cs="宋体"/>
      <w:b w:val="0"/>
      <w:bCs/>
      <w:sz w:val="24"/>
      <w:lang w:eastAsia="zh-CN"/>
    </w:rPr>
  </w:style>
  <w:style w:type="paragraph" w:customStyle="1" w:styleId="684">
    <w:name w:val="样式 标题 3ReHead 3 WSAh3B HeadH3..标题 13标题 13 Char标题 3 Char..."/>
    <w:basedOn w:val="20"/>
    <w:qFormat/>
    <w:uiPriority w:val="0"/>
    <w:pPr>
      <w:keepNext/>
      <w:keepLines w:val="0"/>
      <w:widowControl w:val="0"/>
      <w:tabs>
        <w:tab w:val="left" w:pos="240"/>
        <w:tab w:val="left" w:pos="482"/>
      </w:tabs>
      <w:adjustRightInd/>
      <w:snapToGrid/>
      <w:spacing w:before="50" w:after="50" w:line="360" w:lineRule="auto"/>
      <w:ind w:left="258" w:hanging="150"/>
      <w:textAlignment w:val="auto"/>
    </w:pPr>
    <w:rPr>
      <w:rFonts w:ascii="黑体" w:hAnsi="宋体" w:eastAsia="黑体" w:cs="宋体"/>
      <w:b w:val="0"/>
      <w:bCs w:val="0"/>
      <w:spacing w:val="0"/>
      <w:kern w:val="2"/>
      <w:sz w:val="24"/>
      <w:szCs w:val="20"/>
      <w:lang w:eastAsia="zh-CN"/>
    </w:rPr>
  </w:style>
  <w:style w:type="paragraph" w:customStyle="1" w:styleId="685">
    <w:name w:val="表体"/>
    <w:basedOn w:val="1"/>
    <w:qFormat/>
    <w:uiPriority w:val="0"/>
    <w:pPr>
      <w:keepNext/>
      <w:overflowPunct w:val="0"/>
      <w:adjustRightInd w:val="0"/>
      <w:ind w:left="-57" w:right="-57" w:firstLine="420" w:firstLineChars="200"/>
      <w:textAlignment w:val="baseline"/>
    </w:pPr>
    <w:rPr>
      <w:color w:val="000000"/>
      <w:kern w:val="24"/>
    </w:rPr>
  </w:style>
  <w:style w:type="paragraph" w:customStyle="1" w:styleId="686">
    <w:name w:val="样式 (符号) Bookman Old Style 小四 首行缩进:  0.85 厘米 行距: 1.5 倍行距"/>
    <w:basedOn w:val="1"/>
    <w:qFormat/>
    <w:uiPriority w:val="0"/>
    <w:pPr>
      <w:spacing w:line="360" w:lineRule="auto"/>
      <w:ind w:firstLine="482"/>
    </w:pPr>
    <w:rPr>
      <w:rFonts w:hAnsi="Bookman Old Style" w:cs="宋体"/>
      <w:sz w:val="24"/>
    </w:rPr>
  </w:style>
  <w:style w:type="paragraph" w:customStyle="1" w:styleId="687">
    <w:name w:val="7表格(治)"/>
    <w:qFormat/>
    <w:uiPriority w:val="0"/>
    <w:pPr>
      <w:jc w:val="center"/>
    </w:pPr>
    <w:rPr>
      <w:rFonts w:ascii="Times New Roman" w:hAnsi="Times New Roman" w:eastAsia="楷体_GB2312" w:cs="Times New Roman"/>
      <w:sz w:val="18"/>
      <w:lang w:val="en-US" w:eastAsia="zh-CN" w:bidi="ar-SA"/>
    </w:rPr>
  </w:style>
  <w:style w:type="paragraph" w:customStyle="1" w:styleId="688">
    <w:name w:val="标题 33"/>
    <w:basedOn w:val="20"/>
    <w:qFormat/>
    <w:uiPriority w:val="0"/>
    <w:pPr>
      <w:keepLines w:val="0"/>
      <w:widowControl w:val="0"/>
      <w:snapToGrid/>
      <w:spacing w:before="120" w:after="120"/>
      <w:ind w:firstLine="567"/>
      <w:jc w:val="left"/>
      <w:outlineLvl w:val="9"/>
    </w:pPr>
    <w:rPr>
      <w:rFonts w:eastAsia="隶书体"/>
      <w:b w:val="0"/>
      <w:bCs w:val="0"/>
      <w:spacing w:val="0"/>
      <w:kern w:val="0"/>
      <w:sz w:val="32"/>
      <w:szCs w:val="20"/>
      <w:lang w:eastAsia="zh-CN"/>
    </w:rPr>
  </w:style>
  <w:style w:type="paragraph" w:customStyle="1" w:styleId="689">
    <w:name w:val="zhang正文 + 仿宋_GB2312"/>
    <w:basedOn w:val="48"/>
    <w:qFormat/>
    <w:uiPriority w:val="0"/>
    <w:pPr>
      <w:spacing w:after="0" w:line="360" w:lineRule="auto"/>
      <w:ind w:left="0" w:leftChars="0" w:firstLine="560" w:firstLineChars="200"/>
    </w:pPr>
    <w:rPr>
      <w:rFonts w:ascii="仿宋_GB2312" w:eastAsia="仿宋_GB2312"/>
      <w:kern w:val="2"/>
      <w:sz w:val="28"/>
      <w:szCs w:val="22"/>
    </w:rPr>
  </w:style>
  <w:style w:type="paragraph" w:customStyle="1" w:styleId="690">
    <w:name w:val="样式 表格 32 + 首行缩进:  2 字符"/>
    <w:basedOn w:val="1"/>
    <w:qFormat/>
    <w:uiPriority w:val="0"/>
    <w:pPr>
      <w:autoSpaceDE w:val="0"/>
      <w:autoSpaceDN w:val="0"/>
      <w:adjustRightInd w:val="0"/>
      <w:spacing w:line="0" w:lineRule="atLeast"/>
      <w:jc w:val="center"/>
      <w:textAlignment w:val="baseline"/>
    </w:pPr>
    <w:rPr>
      <w:rFonts w:ascii="Calibri" w:hAnsi="Calibri" w:eastAsia="Times New Roman"/>
      <w:sz w:val="24"/>
    </w:rPr>
  </w:style>
  <w:style w:type="paragraph" w:customStyle="1" w:styleId="691">
    <w:name w:val="正文文本缩进1"/>
    <w:basedOn w:val="1"/>
    <w:qFormat/>
    <w:uiPriority w:val="0"/>
    <w:pPr>
      <w:spacing w:line="300" w:lineRule="auto"/>
      <w:ind w:firstLine="454"/>
    </w:pPr>
    <w:rPr>
      <w:rFonts w:ascii="Calibri" w:hAnsi="Calibri"/>
      <w:lang w:eastAsia="zh-TW"/>
    </w:rPr>
  </w:style>
  <w:style w:type="paragraph" w:customStyle="1" w:styleId="692">
    <w:name w:val="xl26"/>
    <w:basedOn w:val="1"/>
    <w:qFormat/>
    <w:uiPriority w:val="0"/>
    <w:pPr>
      <w:widowControl/>
      <w:spacing w:before="100" w:after="100"/>
      <w:jc w:val="center"/>
      <w:textAlignment w:val="center"/>
    </w:pPr>
    <w:rPr>
      <w:rFonts w:ascii="宋体" w:hAnsi="宋体"/>
      <w:sz w:val="24"/>
    </w:rPr>
  </w:style>
  <w:style w:type="paragraph" w:customStyle="1" w:styleId="693">
    <w:name w:val="标准"/>
    <w:basedOn w:val="1"/>
    <w:qFormat/>
    <w:uiPriority w:val="0"/>
    <w:pPr>
      <w:adjustRightInd w:val="0"/>
      <w:spacing w:line="480" w:lineRule="exact"/>
      <w:textAlignment w:val="baseline"/>
    </w:pPr>
    <w:rPr>
      <w:sz w:val="28"/>
      <w:lang w:val="en-GB"/>
    </w:rPr>
  </w:style>
  <w:style w:type="paragraph" w:customStyle="1" w:styleId="694">
    <w:name w:val="表格 3"/>
    <w:basedOn w:val="197"/>
    <w:qFormat/>
    <w:uiPriority w:val="0"/>
    <w:pPr>
      <w:autoSpaceDE w:val="0"/>
      <w:autoSpaceDN w:val="0"/>
      <w:snapToGrid/>
      <w:spacing w:beforeLines="0" w:afterLines="0" w:line="240" w:lineRule="auto"/>
    </w:pPr>
    <w:rPr>
      <w:rFonts w:ascii="Times New Roman" w:eastAsia="楷体_GB2312"/>
    </w:rPr>
  </w:style>
  <w:style w:type="paragraph" w:customStyle="1" w:styleId="695">
    <w:name w:val="图片名称"/>
    <w:basedOn w:val="1"/>
    <w:qFormat/>
    <w:uiPriority w:val="0"/>
    <w:pPr>
      <w:jc w:val="center"/>
    </w:pPr>
    <w:rPr>
      <w:rFonts w:ascii="Calibri" w:hAnsi="Calibri" w:cs="宋体"/>
      <w:b/>
      <w:bCs/>
      <w:lang w:eastAsia="zh-TW"/>
    </w:rPr>
  </w:style>
  <w:style w:type="paragraph" w:customStyle="1" w:styleId="696">
    <w:name w:val="标题111"/>
    <w:basedOn w:val="1"/>
    <w:qFormat/>
    <w:uiPriority w:val="0"/>
    <w:pPr>
      <w:adjustRightInd w:val="0"/>
      <w:spacing w:before="440" w:after="440" w:line="400" w:lineRule="exact"/>
      <w:jc w:val="left"/>
      <w:textAlignment w:val="baseline"/>
      <w:outlineLvl w:val="0"/>
    </w:pPr>
    <w:rPr>
      <w:rFonts w:ascii="Calibri" w:hAnsi="Calibri" w:eastAsia="Times New Roman"/>
    </w:rPr>
  </w:style>
  <w:style w:type="paragraph" w:customStyle="1" w:styleId="697">
    <w:name w:val="带括号的正文"/>
    <w:basedOn w:val="1"/>
    <w:next w:val="1"/>
    <w:qFormat/>
    <w:uiPriority w:val="0"/>
    <w:pPr>
      <w:suppressAutoHyphens/>
      <w:snapToGrid w:val="0"/>
      <w:spacing w:line="360" w:lineRule="auto"/>
      <w:ind w:firstLine="100"/>
    </w:pPr>
    <w:rPr>
      <w:kern w:val="1"/>
      <w:sz w:val="24"/>
      <w:szCs w:val="28"/>
      <w:lang w:eastAsia="ar-SA"/>
    </w:rPr>
  </w:style>
  <w:style w:type="paragraph" w:customStyle="1" w:styleId="698">
    <w:name w:val="INDEX"/>
    <w:basedOn w:val="1"/>
    <w:qFormat/>
    <w:uiPriority w:val="0"/>
    <w:pPr>
      <w:adjustRightInd w:val="0"/>
      <w:spacing w:line="360" w:lineRule="atLeast"/>
      <w:ind w:left="720" w:hanging="720"/>
      <w:jc w:val="left"/>
      <w:textAlignment w:val="baseline"/>
    </w:pPr>
    <w:rPr>
      <w:rFonts w:ascii="全真楷書" w:eastAsia="全真楷書" w:cs="Dutch801 Rm BT"/>
      <w:sz w:val="24"/>
      <w:lang w:eastAsia="zh-TW"/>
    </w:rPr>
  </w:style>
  <w:style w:type="paragraph" w:customStyle="1" w:styleId="699">
    <w:name w:val="表格样式1"/>
    <w:basedOn w:val="1"/>
    <w:qFormat/>
    <w:uiPriority w:val="0"/>
    <w:pPr>
      <w:adjustRightInd w:val="0"/>
      <w:spacing w:line="20" w:lineRule="atLeast"/>
      <w:jc w:val="center"/>
      <w:textAlignment w:val="baseline"/>
    </w:pPr>
    <w:rPr>
      <w:rFonts w:ascii="宋体" w:hAnsi="宋体"/>
    </w:rPr>
  </w:style>
  <w:style w:type="paragraph" w:customStyle="1" w:styleId="700">
    <w:name w:val="封面3"/>
    <w:basedOn w:val="676"/>
    <w:qFormat/>
    <w:uiPriority w:val="0"/>
    <w:pPr>
      <w:spacing w:beforeLines="50" w:afterLines="50" w:line="360" w:lineRule="auto"/>
    </w:pPr>
    <w:rPr>
      <w:rFonts w:ascii="黑体" w:eastAsia="黑体"/>
      <w:szCs w:val="44"/>
    </w:rPr>
  </w:style>
  <w:style w:type="paragraph" w:customStyle="1" w:styleId="701">
    <w:name w:val="表格 33"/>
    <w:basedOn w:val="702"/>
    <w:qFormat/>
    <w:uiPriority w:val="0"/>
    <w:rPr>
      <w:sz w:val="21"/>
    </w:rPr>
  </w:style>
  <w:style w:type="paragraph" w:customStyle="1" w:styleId="702">
    <w:name w:val="表格 31"/>
    <w:qFormat/>
    <w:uiPriority w:val="0"/>
    <w:pPr>
      <w:widowControl w:val="0"/>
      <w:autoSpaceDE w:val="0"/>
      <w:autoSpaceDN w:val="0"/>
      <w:adjustRightInd w:val="0"/>
      <w:jc w:val="center"/>
      <w:textAlignment w:val="baseline"/>
    </w:pPr>
    <w:rPr>
      <w:rFonts w:ascii="Times New Roman" w:hAnsi="Times New Roman" w:eastAsia="楷体" w:cs="Times New Roman"/>
      <w:sz w:val="28"/>
      <w:lang w:val="en-US" w:eastAsia="zh-CN" w:bidi="ar-SA"/>
    </w:rPr>
  </w:style>
  <w:style w:type="paragraph" w:customStyle="1" w:styleId="703">
    <w:name w:val="正文表格"/>
    <w:basedOn w:val="1"/>
    <w:qFormat/>
    <w:uiPriority w:val="0"/>
    <w:pPr>
      <w:jc w:val="center"/>
    </w:pPr>
  </w:style>
  <w:style w:type="paragraph" w:customStyle="1" w:styleId="704">
    <w:name w:val="样式 标题 2H2SeHead wsa21标题 1.1. + 段前: 4.65 磅 段后: 4.65 磅 行距:..."/>
    <w:basedOn w:val="19"/>
    <w:qFormat/>
    <w:uiPriority w:val="0"/>
    <w:pPr>
      <w:keepNext/>
      <w:keepLines/>
      <w:pBdr>
        <w:bottom w:val="none" w:color="auto" w:sz="0" w:space="0"/>
      </w:pBdr>
      <w:spacing w:before="100" w:beforeAutospacing="1" w:after="120"/>
      <w:ind w:left="3685" w:hanging="425"/>
      <w:jc w:val="left"/>
    </w:pPr>
    <w:rPr>
      <w:rFonts w:ascii="Arial" w:hAnsi="Arial" w:cs="宋体"/>
      <w:b w:val="0"/>
      <w:bCs/>
      <w:caps w:val="0"/>
      <w:spacing w:val="0"/>
      <w:kern w:val="2"/>
      <w:sz w:val="32"/>
      <w:szCs w:val="32"/>
      <w:lang w:eastAsia="zh-CN"/>
    </w:rPr>
  </w:style>
  <w:style w:type="paragraph" w:customStyle="1" w:styleId="705">
    <w:name w:val="自制正文1"/>
    <w:basedOn w:val="1"/>
    <w:next w:val="1"/>
    <w:qFormat/>
    <w:uiPriority w:val="0"/>
    <w:pPr>
      <w:adjustRightInd w:val="0"/>
      <w:snapToGrid w:val="0"/>
      <w:spacing w:line="360" w:lineRule="auto"/>
      <w:ind w:firstLine="480" w:firstLineChars="200"/>
    </w:pPr>
    <w:rPr>
      <w:sz w:val="24"/>
    </w:rPr>
  </w:style>
  <w:style w:type="paragraph" w:customStyle="1" w:styleId="706">
    <w:name w:val="Char1 Char Char Char"/>
    <w:basedOn w:val="1"/>
    <w:qFormat/>
    <w:uiPriority w:val="0"/>
  </w:style>
  <w:style w:type="paragraph" w:customStyle="1" w:styleId="707">
    <w:name w:val="封面正文"/>
    <w:qFormat/>
    <w:uiPriority w:val="0"/>
    <w:pPr>
      <w:jc w:val="both"/>
    </w:pPr>
    <w:rPr>
      <w:rFonts w:ascii="Times New Roman" w:hAnsi="Times New Roman" w:eastAsia="宋体" w:cs="Times New Roman"/>
      <w:lang w:val="en-US" w:eastAsia="zh-CN" w:bidi="ar-SA"/>
    </w:rPr>
  </w:style>
  <w:style w:type="paragraph" w:customStyle="1" w:styleId="708">
    <w:name w:val="标题22"/>
    <w:basedOn w:val="19"/>
    <w:qFormat/>
    <w:uiPriority w:val="0"/>
    <w:pPr>
      <w:keepNext/>
      <w:keepLines/>
      <w:pBdr>
        <w:bottom w:val="none" w:color="auto" w:sz="0" w:space="0"/>
      </w:pBdr>
      <w:tabs>
        <w:tab w:val="left" w:pos="2380"/>
      </w:tabs>
      <w:spacing w:before="120" w:beforeLines="50" w:after="120" w:afterLines="50"/>
      <w:ind w:left="3685" w:hanging="425"/>
      <w:jc w:val="left"/>
    </w:pPr>
    <w:rPr>
      <w:bCs/>
      <w:caps w:val="0"/>
      <w:color w:val="auto"/>
      <w:spacing w:val="0"/>
      <w:kern w:val="2"/>
      <w:sz w:val="32"/>
      <w:szCs w:val="32"/>
      <w:lang w:eastAsia="zh-CN"/>
    </w:rPr>
  </w:style>
  <w:style w:type="paragraph" w:customStyle="1" w:styleId="709">
    <w:name w:val="报告书表格"/>
    <w:basedOn w:val="1"/>
    <w:qFormat/>
    <w:uiPriority w:val="0"/>
    <w:pPr>
      <w:adjustRightInd w:val="0"/>
      <w:spacing w:before="60" w:after="60" w:line="240" w:lineRule="atLeast"/>
      <w:jc w:val="center"/>
      <w:textAlignment w:val="baseline"/>
    </w:pPr>
    <w:rPr>
      <w:rFonts w:ascii="Calibri" w:hAnsi="Calibri" w:eastAsia="Times New Roman" w:cs="Calibri"/>
      <w:sz w:val="24"/>
      <w:lang w:eastAsia="en-US"/>
    </w:rPr>
  </w:style>
  <w:style w:type="paragraph" w:customStyle="1" w:styleId="710">
    <w:name w:val="样式 样式 样式 标题 4H4Subsection + 黑体 非加粗 黑色 段前: 6 磅 + 非加粗 左侧:  0 厘米 段后..."/>
    <w:basedOn w:val="580"/>
    <w:qFormat/>
    <w:uiPriority w:val="0"/>
    <w:pPr>
      <w:tabs>
        <w:tab w:val="clear" w:pos="600"/>
        <w:tab w:val="clear" w:pos="926"/>
      </w:tabs>
      <w:ind w:firstLine="0" w:firstLineChars="0"/>
    </w:pPr>
  </w:style>
  <w:style w:type="paragraph" w:customStyle="1" w:styleId="711">
    <w:name w:val="zhang正文"/>
    <w:basedOn w:val="48"/>
    <w:qFormat/>
    <w:uiPriority w:val="0"/>
    <w:pPr>
      <w:autoSpaceDE w:val="0"/>
      <w:autoSpaceDN w:val="0"/>
      <w:adjustRightInd w:val="0"/>
      <w:snapToGrid w:val="0"/>
      <w:spacing w:after="0" w:line="360" w:lineRule="auto"/>
      <w:ind w:left="0" w:leftChars="0" w:firstLine="539"/>
      <w:textAlignment w:val="baseline"/>
    </w:pPr>
    <w:rPr>
      <w:rFonts w:eastAsia="楷体_GB2312"/>
      <w:sz w:val="28"/>
    </w:rPr>
  </w:style>
  <w:style w:type="paragraph" w:customStyle="1" w:styleId="712">
    <w:name w:val="样式 标题 4H4Subsection + (西文) 宋体 段前: 0.5 行 段后: 0.5 行"/>
    <w:basedOn w:val="21"/>
    <w:qFormat/>
    <w:uiPriority w:val="0"/>
    <w:pPr>
      <w:keepNext w:val="0"/>
      <w:keepLines w:val="0"/>
      <w:tabs>
        <w:tab w:val="left" w:pos="600"/>
        <w:tab w:val="left" w:pos="926"/>
      </w:tabs>
      <w:spacing w:before="120" w:beforeLines="50" w:after="120" w:afterLines="50"/>
      <w:ind w:left="862" w:hanging="862"/>
    </w:pPr>
    <w:rPr>
      <w:rFonts w:ascii="宋体" w:hAnsi="宋体" w:eastAsia="黑体" w:cs="宋体"/>
      <w:b w:val="0"/>
      <w:sz w:val="24"/>
      <w:lang w:eastAsia="zh-CN"/>
    </w:rPr>
  </w:style>
  <w:style w:type="paragraph" w:customStyle="1" w:styleId="713">
    <w:name w:val="Char Char Char1"/>
    <w:basedOn w:val="1"/>
    <w:qFormat/>
    <w:uiPriority w:val="0"/>
    <w:pPr>
      <w:keepNext/>
      <w:widowControl/>
      <w:tabs>
        <w:tab w:val="left" w:pos="425"/>
      </w:tabs>
      <w:autoSpaceDE w:val="0"/>
      <w:autoSpaceDN w:val="0"/>
      <w:adjustRightInd w:val="0"/>
      <w:spacing w:before="80" w:after="80"/>
      <w:ind w:hanging="425"/>
    </w:pPr>
    <w:rPr>
      <w:rFonts w:ascii="Arial" w:hAnsi="Arial" w:cs="Arial"/>
      <w:sz w:val="20"/>
    </w:rPr>
  </w:style>
  <w:style w:type="paragraph" w:customStyle="1" w:styleId="714">
    <w:name w:val="B方块图B"/>
    <w:basedOn w:val="1"/>
    <w:next w:val="1"/>
    <w:qFormat/>
    <w:uiPriority w:val="0"/>
    <w:pPr>
      <w:adjustRightInd w:val="0"/>
      <w:snapToGrid w:val="0"/>
      <w:spacing w:line="360" w:lineRule="auto"/>
      <w:jc w:val="center"/>
    </w:pPr>
  </w:style>
  <w:style w:type="paragraph" w:customStyle="1" w:styleId="715">
    <w:name w:val="标题4"/>
    <w:basedOn w:val="20"/>
    <w:qFormat/>
    <w:uiPriority w:val="0"/>
    <w:pPr>
      <w:keepNext/>
      <w:keepLines w:val="0"/>
      <w:widowControl w:val="0"/>
      <w:autoSpaceDE w:val="0"/>
      <w:autoSpaceDN w:val="0"/>
      <w:snapToGrid/>
      <w:spacing w:before="120" w:after="120" w:line="360" w:lineRule="auto"/>
      <w:outlineLvl w:val="9"/>
    </w:pPr>
    <w:rPr>
      <w:rFonts w:ascii="楷体_GB2312" w:eastAsia="楷体_GB2312"/>
      <w:bCs w:val="0"/>
      <w:spacing w:val="0"/>
      <w:kern w:val="2"/>
      <w:szCs w:val="20"/>
      <w:lang w:eastAsia="zh-CN"/>
    </w:rPr>
  </w:style>
  <w:style w:type="paragraph" w:customStyle="1" w:styleId="716">
    <w:name w:val="样式 (符号) Bookman Old Style 小四 首行缩进:  0.63 厘米 行距: 1.5 倍行距"/>
    <w:basedOn w:val="1"/>
    <w:qFormat/>
    <w:uiPriority w:val="0"/>
    <w:pPr>
      <w:spacing w:line="360" w:lineRule="auto"/>
      <w:ind w:firstLine="357"/>
    </w:pPr>
    <w:rPr>
      <w:rFonts w:hAnsi="Bookman Old Style" w:cs="宋体"/>
      <w:sz w:val="24"/>
    </w:rPr>
  </w:style>
  <w:style w:type="paragraph" w:customStyle="1" w:styleId="717">
    <w:name w:val="样式 样式 标题 4H4Subsection + 黑体 黑色 段前: 0.5 行 段后: 0.5 行 + 段前: 0.5 行 ..."/>
    <w:basedOn w:val="582"/>
    <w:qFormat/>
    <w:uiPriority w:val="0"/>
    <w:rPr>
      <w:szCs w:val="20"/>
    </w:rPr>
  </w:style>
  <w:style w:type="paragraph" w:customStyle="1" w:styleId="718">
    <w:name w:val="表标题1"/>
    <w:basedOn w:val="1"/>
    <w:qFormat/>
    <w:uiPriority w:val="0"/>
    <w:pPr>
      <w:keepNext/>
      <w:widowControl/>
      <w:autoSpaceDE w:val="0"/>
      <w:autoSpaceDN w:val="0"/>
      <w:adjustRightInd w:val="0"/>
      <w:spacing w:before="180" w:after="120" w:line="408" w:lineRule="atLeast"/>
      <w:jc w:val="center"/>
      <w:textAlignment w:val="baseline"/>
    </w:pPr>
    <w:rPr>
      <w:b/>
      <w:spacing w:val="2"/>
      <w:sz w:val="28"/>
    </w:rPr>
  </w:style>
  <w:style w:type="paragraph" w:customStyle="1" w:styleId="719">
    <w:name w:val="xl22"/>
    <w:basedOn w:val="1"/>
    <w:qFormat/>
    <w:uiPriority w:val="0"/>
    <w:pPr>
      <w:widowControl/>
      <w:spacing w:before="100" w:after="100" w:line="360" w:lineRule="auto"/>
      <w:ind w:left="-2" w:leftChars="-1" w:firstLine="456" w:firstLineChars="190"/>
      <w:jc w:val="center"/>
    </w:pPr>
    <w:rPr>
      <w:sz w:val="24"/>
    </w:rPr>
  </w:style>
  <w:style w:type="paragraph" w:customStyle="1" w:styleId="720">
    <w:name w:val="p0"/>
    <w:basedOn w:val="1"/>
    <w:qFormat/>
    <w:uiPriority w:val="0"/>
    <w:pPr>
      <w:widowControl/>
    </w:pPr>
    <w:rPr>
      <w:rFonts w:ascii="Calibri" w:hAnsi="Calibri"/>
      <w:lang w:eastAsia="zh-TW"/>
    </w:rPr>
  </w:style>
  <w:style w:type="paragraph" w:customStyle="1" w:styleId="721">
    <w:name w:val="MTDisplayEquation"/>
    <w:basedOn w:val="1"/>
    <w:next w:val="1"/>
    <w:qFormat/>
    <w:uiPriority w:val="0"/>
    <w:pPr>
      <w:tabs>
        <w:tab w:val="center" w:pos="4160"/>
        <w:tab w:val="right" w:pos="8320"/>
      </w:tabs>
      <w:spacing w:line="360" w:lineRule="auto"/>
      <w:ind w:left="-2" w:leftChars="-1" w:firstLine="480" w:firstLineChars="200"/>
    </w:pPr>
    <w:rPr>
      <w:sz w:val="24"/>
    </w:rPr>
  </w:style>
  <w:style w:type="paragraph" w:customStyle="1" w:styleId="722">
    <w:name w:val="报告表小标题"/>
    <w:basedOn w:val="1"/>
    <w:qFormat/>
    <w:uiPriority w:val="0"/>
    <w:pPr>
      <w:adjustRightInd w:val="0"/>
      <w:spacing w:before="100" w:beforeAutospacing="1" w:line="360" w:lineRule="auto"/>
      <w:textAlignment w:val="baseline"/>
    </w:pPr>
    <w:rPr>
      <w:rFonts w:ascii="Calibri" w:hAnsi="Calibri" w:eastAsia="Times New Roman"/>
      <w:b/>
      <w:sz w:val="24"/>
    </w:rPr>
  </w:style>
  <w:style w:type="paragraph" w:customStyle="1" w:styleId="723">
    <w:name w:val="Char Char Char1 Char Char Char Char Char Char Char Char Char Char Char Char Char Char Char Char"/>
    <w:basedOn w:val="1"/>
    <w:qFormat/>
    <w:uiPriority w:val="0"/>
    <w:pPr>
      <w:adjustRightInd w:val="0"/>
      <w:spacing w:line="360" w:lineRule="auto"/>
    </w:pPr>
    <w:rPr>
      <w:sz w:val="24"/>
    </w:rPr>
  </w:style>
  <w:style w:type="paragraph" w:customStyle="1" w:styleId="724">
    <w:name w:val="样式 样式 标题 4H4Subsection + 黑体 非加粗 黑色 段前: 6 磅 + 非加粗 段后: 0.5 行"/>
    <w:basedOn w:val="559"/>
    <w:qFormat/>
    <w:uiPriority w:val="0"/>
    <w:rPr>
      <w:b w:val="0"/>
    </w:rPr>
  </w:style>
  <w:style w:type="paragraph" w:customStyle="1" w:styleId="725">
    <w:name w:val="内容"/>
    <w:basedOn w:val="99"/>
    <w:qFormat/>
    <w:uiPriority w:val="0"/>
  </w:style>
  <w:style w:type="paragraph" w:customStyle="1" w:styleId="726">
    <w:name w:val="字元 字元 Char Char 字元 字元1"/>
    <w:basedOn w:val="1"/>
    <w:qFormat/>
    <w:uiPriority w:val="0"/>
    <w:rPr>
      <w:sz w:val="24"/>
    </w:rPr>
  </w:style>
  <w:style w:type="paragraph" w:customStyle="1" w:styleId="727">
    <w:name w:val="标题 23"/>
    <w:basedOn w:val="19"/>
    <w:qFormat/>
    <w:uiPriority w:val="0"/>
    <w:pPr>
      <w:pBdr>
        <w:bottom w:val="none" w:color="auto" w:sz="0" w:space="0"/>
      </w:pBdr>
      <w:adjustRightInd w:val="0"/>
      <w:spacing w:before="120" w:after="120" w:line="240" w:lineRule="auto"/>
      <w:ind w:left="3685" w:hanging="425"/>
      <w:jc w:val="left"/>
      <w:textAlignment w:val="baseline"/>
      <w:outlineLvl w:val="9"/>
    </w:pPr>
    <w:rPr>
      <w:rFonts w:eastAsia="隶书体"/>
      <w:b w:val="0"/>
      <w:caps w:val="0"/>
      <w:shadow/>
      <w:color w:val="auto"/>
      <w:spacing w:val="0"/>
      <w:sz w:val="36"/>
      <w:lang w:eastAsia="zh-CN"/>
    </w:rPr>
  </w:style>
  <w:style w:type="paragraph" w:customStyle="1" w:styleId="728">
    <w:name w:val="页面 3"/>
    <w:basedOn w:val="1"/>
    <w:qFormat/>
    <w:uiPriority w:val="0"/>
    <w:pPr>
      <w:adjustRightInd w:val="0"/>
      <w:spacing w:line="360" w:lineRule="auto"/>
      <w:ind w:left="-2" w:leftChars="-1" w:firstLine="456" w:firstLineChars="190"/>
      <w:jc w:val="center"/>
    </w:pPr>
    <w:rPr>
      <w:rFonts w:eastAsia="隶书"/>
      <w:sz w:val="52"/>
    </w:rPr>
  </w:style>
  <w:style w:type="paragraph" w:customStyle="1" w:styleId="729">
    <w:name w:val="表头 1"/>
    <w:basedOn w:val="1"/>
    <w:qFormat/>
    <w:uiPriority w:val="0"/>
    <w:pPr>
      <w:spacing w:before="240" w:after="120"/>
      <w:jc w:val="center"/>
    </w:pPr>
    <w:rPr>
      <w:rFonts w:eastAsia="黑体"/>
      <w:sz w:val="24"/>
    </w:rPr>
  </w:style>
  <w:style w:type="paragraph" w:customStyle="1" w:styleId="730">
    <w:name w:val="xl23"/>
    <w:basedOn w:val="1"/>
    <w:qFormat/>
    <w:uiPriority w:val="0"/>
    <w:pPr>
      <w:widowControl/>
      <w:spacing w:before="100" w:after="100"/>
      <w:jc w:val="left"/>
    </w:pPr>
    <w:rPr>
      <w:sz w:val="24"/>
    </w:rPr>
  </w:style>
  <w:style w:type="paragraph" w:customStyle="1" w:styleId="731">
    <w:name w:val="样式 首行缩进:  2 字符1"/>
    <w:basedOn w:val="1"/>
    <w:qFormat/>
    <w:uiPriority w:val="0"/>
    <w:pPr>
      <w:snapToGrid w:val="0"/>
      <w:spacing w:line="360" w:lineRule="auto"/>
      <w:ind w:firstLine="200" w:firstLineChars="200"/>
    </w:pPr>
    <w:rPr>
      <w:rFonts w:ascii="Calibri" w:hAnsi="Calibri"/>
      <w:sz w:val="24"/>
    </w:rPr>
  </w:style>
  <w:style w:type="paragraph" w:customStyle="1" w:styleId="732">
    <w:name w:val="插图"/>
    <w:basedOn w:val="1"/>
    <w:next w:val="1"/>
    <w:qFormat/>
    <w:uiPriority w:val="0"/>
    <w:pPr>
      <w:keepLines/>
      <w:adjustRightInd w:val="0"/>
      <w:spacing w:before="360" w:after="300" w:line="567" w:lineRule="atLeast"/>
      <w:jc w:val="center"/>
      <w:textAlignment w:val="baseline"/>
    </w:pPr>
    <w:rPr>
      <w:rFonts w:ascii="Calibri" w:hAnsi="Calibri"/>
      <w:sz w:val="24"/>
      <w:lang w:eastAsia="zh-TW"/>
    </w:rPr>
  </w:style>
  <w:style w:type="paragraph" w:customStyle="1" w:styleId="733">
    <w:name w:val="码头表"/>
    <w:basedOn w:val="1"/>
    <w:qFormat/>
    <w:uiPriority w:val="0"/>
    <w:pPr>
      <w:jc w:val="center"/>
    </w:pPr>
    <w:rPr>
      <w:color w:val="FF0000"/>
    </w:rPr>
  </w:style>
  <w:style w:type="paragraph" w:customStyle="1" w:styleId="734">
    <w:name w:val="Char Char Char1 Char Char Char Char"/>
    <w:basedOn w:val="1"/>
    <w:qFormat/>
    <w:uiPriority w:val="0"/>
    <w:pPr>
      <w:adjustRightInd w:val="0"/>
      <w:spacing w:line="360" w:lineRule="auto"/>
    </w:pPr>
    <w:rPr>
      <w:sz w:val="24"/>
    </w:rPr>
  </w:style>
  <w:style w:type="paragraph" w:customStyle="1" w:styleId="735">
    <w:name w:val="样式 样式 标题 4H4Subsection + 段前: 0.5 行 段后: 0.5 行 + 段前: 0.5 行 段后: 0...."/>
    <w:basedOn w:val="639"/>
    <w:qFormat/>
    <w:uiPriority w:val="0"/>
  </w:style>
  <w:style w:type="paragraph" w:customStyle="1" w:styleId="736">
    <w:name w:val="HJ-正文"/>
    <w:basedOn w:val="1"/>
    <w:qFormat/>
    <w:uiPriority w:val="0"/>
    <w:pPr>
      <w:ind w:firstLine="480" w:firstLineChars="200"/>
    </w:pPr>
    <w:rPr>
      <w:lang w:eastAsia="zh-TW"/>
    </w:rPr>
  </w:style>
  <w:style w:type="paragraph" w:customStyle="1" w:styleId="737">
    <w:name w:val="b-b3"/>
    <w:basedOn w:val="20"/>
    <w:next w:val="1"/>
    <w:qFormat/>
    <w:uiPriority w:val="0"/>
    <w:pPr>
      <w:keepLines w:val="0"/>
      <w:widowControl w:val="0"/>
      <w:adjustRightInd/>
      <w:snapToGrid/>
      <w:textAlignment w:val="auto"/>
      <w:outlineLvl w:val="9"/>
    </w:pPr>
    <w:rPr>
      <w:rFonts w:ascii="宋体" w:hAnsi="宋体"/>
      <w:b w:val="0"/>
      <w:bCs w:val="0"/>
      <w:spacing w:val="0"/>
      <w:kern w:val="2"/>
      <w:szCs w:val="20"/>
      <w:lang w:eastAsia="zh-CN"/>
    </w:rPr>
  </w:style>
  <w:style w:type="paragraph" w:customStyle="1" w:styleId="738">
    <w:name w:val="样式6"/>
    <w:basedOn w:val="52"/>
    <w:qFormat/>
    <w:uiPriority w:val="0"/>
    <w:pPr>
      <w:widowControl/>
      <w:adjustRightInd/>
      <w:spacing w:before="0" w:after="120" w:line="360" w:lineRule="auto"/>
      <w:ind w:left="1440" w:leftChars="700" w:right="1440" w:rightChars="700" w:firstLine="342" w:firstLineChars="190"/>
      <w:textAlignment w:val="auto"/>
    </w:pPr>
    <w:rPr>
      <w:rFonts w:ascii="Times New Roman" w:hAnsi="Times New Roman" w:eastAsia="宋体"/>
      <w:color w:val="000000"/>
      <w:sz w:val="18"/>
      <w:szCs w:val="24"/>
    </w:rPr>
  </w:style>
  <w:style w:type="paragraph" w:customStyle="1" w:styleId="739">
    <w:name w:val="页面 7"/>
    <w:basedOn w:val="1"/>
    <w:qFormat/>
    <w:uiPriority w:val="0"/>
    <w:pPr>
      <w:autoSpaceDE w:val="0"/>
      <w:autoSpaceDN w:val="0"/>
      <w:adjustRightInd w:val="0"/>
      <w:spacing w:before="120" w:after="120"/>
      <w:jc w:val="center"/>
      <w:textAlignment w:val="baseline"/>
    </w:pPr>
    <w:rPr>
      <w:rFonts w:eastAsia="楷体_GB2312"/>
      <w:sz w:val="32"/>
    </w:rPr>
  </w:style>
  <w:style w:type="paragraph" w:customStyle="1" w:styleId="740">
    <w:name w:val="xl30"/>
    <w:basedOn w:val="1"/>
    <w:qFormat/>
    <w:uiPriority w:val="0"/>
    <w:pPr>
      <w:widowControl/>
      <w:spacing w:before="100" w:beforeAutospacing="1" w:after="100" w:afterAutospacing="1"/>
      <w:jc w:val="center"/>
    </w:pPr>
    <w:rPr>
      <w:rFonts w:eastAsia="Arial Unicode MS"/>
      <w:sz w:val="24"/>
    </w:rPr>
  </w:style>
  <w:style w:type="paragraph" w:customStyle="1" w:styleId="741">
    <w:name w:val="封面1"/>
    <w:basedOn w:val="18"/>
    <w:qFormat/>
    <w:uiPriority w:val="0"/>
    <w:pPr>
      <w:keepNext w:val="0"/>
      <w:tabs>
        <w:tab w:val="left" w:pos="573"/>
      </w:tabs>
      <w:overflowPunct/>
      <w:snapToGrid/>
      <w:spacing w:before="0" w:after="0" w:line="240" w:lineRule="auto"/>
      <w:ind w:left="573" w:hanging="360"/>
      <w:jc w:val="center"/>
      <w:outlineLvl w:val="9"/>
    </w:pPr>
    <w:rPr>
      <w:rFonts w:ascii="Impact" w:hAnsi="Impact" w:eastAsia="隶书"/>
      <w:b w:val="0"/>
      <w:bCs w:val="0"/>
      <w:shadow/>
      <w:color w:val="auto"/>
      <w:sz w:val="36"/>
      <w:szCs w:val="20"/>
    </w:rPr>
  </w:style>
  <w:style w:type="paragraph" w:customStyle="1" w:styleId="742">
    <w:name w:val="Table Paragraph"/>
    <w:basedOn w:val="1"/>
    <w:link w:val="936"/>
    <w:qFormat/>
    <w:uiPriority w:val="0"/>
    <w:pPr>
      <w:autoSpaceDE w:val="0"/>
      <w:autoSpaceDN w:val="0"/>
      <w:jc w:val="left"/>
    </w:pPr>
    <w:rPr>
      <w:rFonts w:ascii="宋体" w:hAnsi="宋体" w:cs="宋体"/>
      <w:sz w:val="22"/>
      <w:szCs w:val="22"/>
      <w:lang w:val="zh-CN" w:bidi="zh-CN"/>
    </w:rPr>
  </w:style>
  <w:style w:type="paragraph" w:customStyle="1" w:styleId="743">
    <w:name w:val="正文缩进2"/>
    <w:basedOn w:val="1"/>
    <w:next w:val="4"/>
    <w:qFormat/>
    <w:uiPriority w:val="0"/>
    <w:pPr>
      <w:ind w:left="280" w:firstLine="590" w:firstLineChars="200"/>
      <w:jc w:val="right"/>
    </w:pPr>
    <w:rPr>
      <w:rFonts w:ascii="宋体" w:hAnsi="Courier New"/>
      <w:sz w:val="28"/>
    </w:rPr>
  </w:style>
  <w:style w:type="paragraph" w:customStyle="1" w:styleId="744">
    <w:name w:val="流程图文字"/>
    <w:basedOn w:val="1"/>
    <w:qFormat/>
    <w:uiPriority w:val="0"/>
    <w:pPr>
      <w:adjustRightInd w:val="0"/>
      <w:spacing w:line="288" w:lineRule="auto"/>
      <w:jc w:val="center"/>
      <w:textAlignment w:val="baseline"/>
    </w:pPr>
    <w:rPr>
      <w:rFonts w:ascii="宋体"/>
    </w:rPr>
  </w:style>
  <w:style w:type="paragraph" w:customStyle="1" w:styleId="745">
    <w:name w:val="样式 宋体 行距: 固定值 25 磅1"/>
    <w:basedOn w:val="1"/>
    <w:qFormat/>
    <w:uiPriority w:val="0"/>
    <w:pPr>
      <w:tabs>
        <w:tab w:val="left" w:pos="4009"/>
        <w:tab w:val="left" w:pos="5254"/>
      </w:tabs>
      <w:spacing w:line="360" w:lineRule="auto"/>
      <w:ind w:firstLine="480" w:firstLineChars="200"/>
    </w:pPr>
    <w:rPr>
      <w:rFonts w:ascii="宋体" w:hAnsi="宋体" w:cs="宋体"/>
      <w:sz w:val="24"/>
    </w:rPr>
  </w:style>
  <w:style w:type="paragraph" w:customStyle="1" w:styleId="746">
    <w:name w:val="Char Char Char Char Char Char Char Char Char Char Char Char Char Char Char Char Char Char Char"/>
    <w:basedOn w:val="1"/>
    <w:qFormat/>
    <w:uiPriority w:val="0"/>
    <w:pPr>
      <w:adjustRightInd w:val="0"/>
      <w:spacing w:line="360" w:lineRule="auto"/>
    </w:pPr>
    <w:rPr>
      <w:sz w:val="24"/>
    </w:rPr>
  </w:style>
  <w:style w:type="paragraph" w:customStyle="1" w:styleId="747">
    <w:name w:val="样式 标题 1Head 1wsa一、标题 111h1标题2标题 1 CharPart'Document1.标题...1"/>
    <w:basedOn w:val="18"/>
    <w:qFormat/>
    <w:uiPriority w:val="0"/>
    <w:pPr>
      <w:keepNext w:val="0"/>
      <w:pageBreakBefore/>
      <w:tabs>
        <w:tab w:val="left" w:pos="1021"/>
        <w:tab w:val="left" w:pos="1080"/>
      </w:tabs>
      <w:overflowPunct/>
      <w:snapToGrid/>
      <w:spacing w:beforeLines="200" w:after="120" w:afterLines="100" w:line="360" w:lineRule="auto"/>
      <w:ind w:left="425" w:hanging="425"/>
      <w:jc w:val="center"/>
    </w:pPr>
    <w:rPr>
      <w:rFonts w:cs="宋体"/>
      <w:bCs w:val="0"/>
      <w:color w:val="auto"/>
      <w:kern w:val="2"/>
      <w:sz w:val="36"/>
      <w:szCs w:val="20"/>
    </w:rPr>
  </w:style>
  <w:style w:type="paragraph" w:customStyle="1" w:styleId="748">
    <w:name w:val="Char Char Char Char Char Char Char Char Char"/>
    <w:basedOn w:val="1"/>
    <w:qFormat/>
    <w:uiPriority w:val="0"/>
    <w:pPr>
      <w:adjustRightInd w:val="0"/>
      <w:spacing w:after="160" w:line="240" w:lineRule="exact"/>
      <w:jc w:val="left"/>
      <w:textAlignment w:val="baseline"/>
    </w:pPr>
    <w:rPr>
      <w:rFonts w:ascii="Calibri" w:hAnsi="Calibri" w:eastAsia="Times New Roman"/>
    </w:rPr>
  </w:style>
  <w:style w:type="paragraph" w:customStyle="1" w:styleId="749">
    <w:name w:val="Char Char Char Char Char Char Char Char Char Char"/>
    <w:basedOn w:val="1"/>
    <w:qFormat/>
    <w:uiPriority w:val="0"/>
    <w:pPr>
      <w:adjustRightInd w:val="0"/>
      <w:spacing w:line="240" w:lineRule="exact"/>
      <w:ind w:firstLine="200" w:firstLineChars="200"/>
      <w:textAlignment w:val="baseline"/>
    </w:pPr>
    <w:rPr>
      <w:rFonts w:ascii="宋体" w:hAnsi="宋体" w:eastAsia="Times New Roman" w:cs="宋体"/>
      <w:sz w:val="24"/>
    </w:rPr>
  </w:style>
  <w:style w:type="paragraph" w:customStyle="1" w:styleId="750">
    <w:name w:val="图文框"/>
    <w:basedOn w:val="423"/>
    <w:qFormat/>
    <w:uiPriority w:val="0"/>
    <w:pPr>
      <w:spacing w:line="240" w:lineRule="atLeast"/>
    </w:pPr>
    <w:rPr>
      <w:rFonts w:ascii="Times New Roman" w:hAnsi="Times New Roman"/>
      <w:kern w:val="0"/>
      <w:sz w:val="21"/>
    </w:rPr>
  </w:style>
  <w:style w:type="paragraph" w:customStyle="1" w:styleId="751">
    <w:name w:val="Char Char Char Char Char Char2"/>
    <w:basedOn w:val="1"/>
    <w:qFormat/>
    <w:uiPriority w:val="0"/>
  </w:style>
  <w:style w:type="paragraph" w:customStyle="1" w:styleId="752">
    <w:name w:val="小五"/>
    <w:qFormat/>
    <w:uiPriority w:val="0"/>
    <w:pPr>
      <w:snapToGrid w:val="0"/>
      <w:jc w:val="center"/>
    </w:pPr>
    <w:rPr>
      <w:rFonts w:ascii="Times New Roman" w:hAnsi="Times New Roman" w:eastAsia="宋体" w:cs="Times New Roman"/>
      <w:sz w:val="18"/>
      <w:szCs w:val="18"/>
      <w:lang w:val="en-US" w:eastAsia="zh-CN" w:bidi="ar-SA"/>
    </w:rPr>
  </w:style>
  <w:style w:type="paragraph" w:customStyle="1" w:styleId="753">
    <w:name w:val="标题 53"/>
    <w:basedOn w:val="11"/>
    <w:qFormat/>
    <w:uiPriority w:val="0"/>
    <w:pPr>
      <w:keepNext w:val="0"/>
      <w:keepLines w:val="0"/>
      <w:autoSpaceDE w:val="0"/>
      <w:autoSpaceDN w:val="0"/>
      <w:spacing w:before="120" w:after="120" w:line="240" w:lineRule="auto"/>
      <w:ind w:left="567"/>
      <w:jc w:val="left"/>
      <w:outlineLvl w:val="9"/>
    </w:pPr>
    <w:rPr>
      <w:rFonts w:ascii="Times New Roman" w:hAnsi="Times New Roman" w:eastAsia="隶书体"/>
      <w:b w:val="0"/>
      <w:bCs w:val="0"/>
      <w:szCs w:val="20"/>
      <w:lang w:eastAsia="zh-CN"/>
    </w:rPr>
  </w:style>
  <w:style w:type="paragraph" w:customStyle="1" w:styleId="754">
    <w:name w:val="黑点"/>
    <w:basedOn w:val="1"/>
    <w:qFormat/>
    <w:uiPriority w:val="0"/>
    <w:pPr>
      <w:tabs>
        <w:tab w:val="left" w:pos="600"/>
      </w:tabs>
      <w:adjustRightInd w:val="0"/>
      <w:spacing w:line="360" w:lineRule="auto"/>
      <w:ind w:left="2100" w:hanging="420"/>
      <w:jc w:val="left"/>
      <w:textAlignment w:val="baseline"/>
    </w:pPr>
    <w:rPr>
      <w:rFonts w:ascii="宋体" w:hAnsi="宋体"/>
      <w:color w:val="000000"/>
      <w:sz w:val="24"/>
    </w:rPr>
  </w:style>
  <w:style w:type="paragraph" w:customStyle="1" w:styleId="755">
    <w:name w:val="封面5"/>
    <w:basedOn w:val="1"/>
    <w:qFormat/>
    <w:uiPriority w:val="0"/>
    <w:pPr>
      <w:snapToGrid w:val="0"/>
    </w:pPr>
  </w:style>
  <w:style w:type="paragraph" w:customStyle="1" w:styleId="756">
    <w:name w:val="wangjunbo.bullet"/>
    <w:basedOn w:val="1"/>
    <w:qFormat/>
    <w:uiPriority w:val="0"/>
    <w:pPr>
      <w:spacing w:line="320" w:lineRule="exact"/>
      <w:jc w:val="center"/>
    </w:pPr>
    <w:rPr>
      <w:sz w:val="24"/>
    </w:rPr>
  </w:style>
  <w:style w:type="paragraph" w:customStyle="1" w:styleId="757">
    <w:name w:val="4"/>
    <w:basedOn w:val="1"/>
    <w:next w:val="34"/>
    <w:qFormat/>
    <w:uiPriority w:val="0"/>
    <w:pPr>
      <w:spacing w:line="300" w:lineRule="auto"/>
      <w:ind w:firstLine="480" w:firstLineChars="200"/>
    </w:pPr>
    <w:rPr>
      <w:sz w:val="24"/>
    </w:rPr>
  </w:style>
  <w:style w:type="paragraph" w:customStyle="1" w:styleId="758">
    <w:name w:val="Char Char Char Char Char Char Char"/>
    <w:basedOn w:val="1"/>
    <w:qFormat/>
    <w:uiPriority w:val="0"/>
  </w:style>
  <w:style w:type="paragraph" w:customStyle="1" w:styleId="759">
    <w:name w:val="目录4"/>
    <w:basedOn w:val="60"/>
    <w:next w:val="1"/>
    <w:qFormat/>
    <w:uiPriority w:val="0"/>
    <w:pPr>
      <w:spacing w:line="360" w:lineRule="auto"/>
      <w:ind w:left="480" w:leftChars="0" w:firstLine="1531"/>
    </w:pPr>
    <w:rPr>
      <w:rFonts w:ascii="Times New Roman" w:hAnsi="Times New Roman"/>
      <w:i/>
      <w:sz w:val="20"/>
      <w:lang w:eastAsia="zh-CN"/>
    </w:rPr>
  </w:style>
  <w:style w:type="paragraph" w:customStyle="1" w:styleId="760">
    <w:name w:val="yqy4"/>
    <w:basedOn w:val="20"/>
    <w:qFormat/>
    <w:uiPriority w:val="0"/>
    <w:pPr>
      <w:keepNext/>
      <w:widowControl w:val="0"/>
      <w:adjustRightInd/>
      <w:spacing w:before="156" w:beforeLines="50" w:line="300" w:lineRule="auto"/>
      <w:textAlignment w:val="auto"/>
    </w:pPr>
    <w:rPr>
      <w:bCs w:val="0"/>
      <w:snapToGrid w:val="0"/>
      <w:spacing w:val="0"/>
      <w:kern w:val="2"/>
      <w:szCs w:val="32"/>
    </w:rPr>
  </w:style>
  <w:style w:type="paragraph" w:customStyle="1" w:styleId="761">
    <w:name w:val="正文 2"/>
    <w:basedOn w:val="1"/>
    <w:qFormat/>
    <w:uiPriority w:val="0"/>
    <w:pPr>
      <w:autoSpaceDE w:val="0"/>
      <w:autoSpaceDN w:val="0"/>
      <w:adjustRightInd w:val="0"/>
      <w:spacing w:line="300" w:lineRule="auto"/>
      <w:ind w:firstLine="510"/>
      <w:textAlignment w:val="baseline"/>
    </w:pPr>
    <w:rPr>
      <w:rFonts w:eastAsia="楷体_GB2312"/>
      <w:sz w:val="24"/>
    </w:rPr>
  </w:style>
  <w:style w:type="paragraph" w:customStyle="1" w:styleId="762">
    <w:name w:val="样式11"/>
    <w:basedOn w:val="1"/>
    <w:qFormat/>
    <w:uiPriority w:val="0"/>
    <w:pPr>
      <w:spacing w:line="360" w:lineRule="auto"/>
      <w:jc w:val="left"/>
    </w:pPr>
    <w:rPr>
      <w:rFonts w:ascii="宋体" w:hAnsi="宋体" w:cs="宋体"/>
      <w:b/>
      <w:bCs/>
      <w:sz w:val="28"/>
    </w:rPr>
  </w:style>
  <w:style w:type="paragraph" w:customStyle="1" w:styleId="763">
    <w:name w:val="et2"/>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64">
    <w:name w:val="1表格内容"/>
    <w:basedOn w:val="1"/>
    <w:qFormat/>
    <w:uiPriority w:val="0"/>
    <w:pPr>
      <w:widowControl/>
      <w:jc w:val="center"/>
    </w:pPr>
    <w:rPr>
      <w:rFonts w:cs="宋体"/>
      <w:color w:val="000000"/>
      <w:szCs w:val="22"/>
    </w:rPr>
  </w:style>
  <w:style w:type="paragraph" w:customStyle="1" w:styleId="765">
    <w:name w:val="et11"/>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66">
    <w:name w:val="标题 43"/>
    <w:basedOn w:val="21"/>
    <w:qFormat/>
    <w:uiPriority w:val="0"/>
    <w:pPr>
      <w:keepLines w:val="0"/>
      <w:adjustRightInd w:val="0"/>
      <w:spacing w:before="120" w:after="120" w:line="240" w:lineRule="auto"/>
      <w:ind w:firstLine="567"/>
      <w:jc w:val="left"/>
      <w:textAlignment w:val="baseline"/>
      <w:outlineLvl w:val="9"/>
    </w:pPr>
    <w:rPr>
      <w:rFonts w:ascii="Times New Roman" w:hAnsi="Times New Roman" w:eastAsia="隶书体"/>
      <w:b w:val="0"/>
      <w:sz w:val="30"/>
      <w:lang w:eastAsia="zh-CN"/>
    </w:rPr>
  </w:style>
  <w:style w:type="paragraph" w:customStyle="1" w:styleId="767">
    <w:name w:val="标题 63"/>
    <w:basedOn w:val="22"/>
    <w:qFormat/>
    <w:uiPriority w:val="0"/>
    <w:pPr>
      <w:keepNext w:val="0"/>
      <w:keepLines w:val="0"/>
      <w:tabs>
        <w:tab w:val="left" w:pos="0"/>
      </w:tabs>
      <w:autoSpaceDE w:val="0"/>
      <w:autoSpaceDN w:val="0"/>
      <w:spacing w:before="120" w:after="120" w:line="240" w:lineRule="auto"/>
      <w:ind w:left="567"/>
      <w:jc w:val="left"/>
      <w:outlineLvl w:val="9"/>
    </w:pPr>
    <w:rPr>
      <w:rFonts w:ascii="Times New Roman" w:hAnsi="Times New Roman" w:eastAsia="隶书体"/>
      <w:b w:val="0"/>
      <w:bCs w:val="0"/>
      <w:lang w:eastAsia="zh-CN"/>
    </w:rPr>
  </w:style>
  <w:style w:type="paragraph" w:customStyle="1" w:styleId="768">
    <w:name w:val="yqy2"/>
    <w:basedOn w:val="18"/>
    <w:qFormat/>
    <w:uiPriority w:val="0"/>
    <w:pPr>
      <w:pageBreakBefore/>
      <w:overflowPunct/>
      <w:adjustRightInd w:val="0"/>
      <w:snapToGrid/>
      <w:spacing w:before="156" w:beforeLines="50" w:after="156" w:afterLines="50" w:line="360" w:lineRule="auto"/>
      <w:ind w:left="0" w:firstLine="0"/>
      <w:jc w:val="left"/>
      <w:textAlignment w:val="baseline"/>
    </w:pPr>
    <w:rPr>
      <w:rFonts w:eastAsia="宋体"/>
      <w:bCs w:val="0"/>
      <w:color w:val="auto"/>
      <w:kern w:val="0"/>
      <w:sz w:val="36"/>
      <w:szCs w:val="36"/>
    </w:rPr>
  </w:style>
  <w:style w:type="paragraph" w:customStyle="1" w:styleId="769">
    <w:name w:val="et14"/>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70">
    <w:name w:val="页面 6"/>
    <w:basedOn w:val="528"/>
    <w:qFormat/>
    <w:uiPriority w:val="0"/>
    <w:rPr>
      <w:sz w:val="36"/>
    </w:rPr>
  </w:style>
  <w:style w:type="paragraph" w:customStyle="1" w:styleId="771">
    <w:name w:val="居中正文"/>
    <w:basedOn w:val="98"/>
    <w:qFormat/>
    <w:uiPriority w:val="0"/>
    <w:pPr>
      <w:spacing w:before="120" w:after="0"/>
      <w:ind w:firstLine="0" w:firstLineChars="0"/>
      <w:jc w:val="center"/>
    </w:pPr>
    <w:rPr>
      <w:rFonts w:ascii="宋体" w:eastAsia="宋体"/>
      <w:kern w:val="28"/>
      <w:szCs w:val="20"/>
    </w:rPr>
  </w:style>
  <w:style w:type="paragraph" w:customStyle="1" w:styleId="772">
    <w:name w:val="et7"/>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73">
    <w:name w:val="Normal_14"/>
    <w:qFormat/>
    <w:uiPriority w:val="0"/>
    <w:pPr>
      <w:spacing w:before="120" w:after="240"/>
      <w:jc w:val="both"/>
    </w:pPr>
    <w:rPr>
      <w:rFonts w:ascii="Times New Roman" w:hAnsi="Times New Roman" w:eastAsia="Times New Roman" w:cs="Times New Roman"/>
      <w:sz w:val="22"/>
      <w:szCs w:val="22"/>
      <w:lang w:val="ru-RU" w:eastAsia="en-US" w:bidi="ar-SA"/>
    </w:rPr>
  </w:style>
  <w:style w:type="paragraph" w:customStyle="1" w:styleId="774">
    <w:name w:val="表格五中"/>
    <w:qFormat/>
    <w:uiPriority w:val="0"/>
    <w:pPr>
      <w:adjustRightInd w:val="0"/>
      <w:snapToGrid w:val="0"/>
      <w:spacing w:line="240" w:lineRule="atLeast"/>
      <w:jc w:val="center"/>
    </w:pPr>
    <w:rPr>
      <w:rFonts w:ascii="Times New Roman" w:hAnsi="Times New Roman" w:eastAsia="宋体" w:cs="Times New Roman"/>
      <w:sz w:val="21"/>
      <w:lang w:val="en-US" w:eastAsia="zh-CN" w:bidi="ar-SA"/>
    </w:rPr>
  </w:style>
  <w:style w:type="paragraph" w:customStyle="1" w:styleId="775">
    <w:name w:val="Char Char1 Char Char Char Char Char Char Char Char Char Char Char Char Char Char Char Char Char Char Char Char1 Char1"/>
    <w:basedOn w:val="1"/>
    <w:qFormat/>
    <w:uiPriority w:val="0"/>
    <w:pPr>
      <w:spacing w:line="360" w:lineRule="auto"/>
      <w:ind w:firstLine="200" w:firstLineChars="200"/>
    </w:pPr>
    <w:rPr>
      <w:rFonts w:ascii="宋体" w:hAnsi="宋体" w:cs="宋体"/>
      <w:sz w:val="24"/>
    </w:rPr>
  </w:style>
  <w:style w:type="paragraph" w:customStyle="1" w:styleId="776">
    <w:name w:val="et8"/>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77">
    <w:name w:val="默认段落字体 Para Char"/>
    <w:basedOn w:val="1"/>
    <w:semiHidden/>
    <w:qFormat/>
    <w:uiPriority w:val="0"/>
    <w:pPr>
      <w:autoSpaceDE w:val="0"/>
      <w:autoSpaceDN w:val="0"/>
      <w:adjustRightInd w:val="0"/>
      <w:jc w:val="left"/>
      <w:outlineLvl w:val="1"/>
    </w:pPr>
    <w:rPr>
      <w:rFonts w:ascii="楷体_GB2312" w:hAnsi="宋体" w:eastAsia="楷体_GB2312" w:cs="宋体"/>
    </w:rPr>
  </w:style>
  <w:style w:type="paragraph" w:customStyle="1" w:styleId="778">
    <w:name w:val="图表名称"/>
    <w:next w:val="462"/>
    <w:qFormat/>
    <w:uiPriority w:val="0"/>
    <w:pPr>
      <w:spacing w:line="360" w:lineRule="auto"/>
      <w:jc w:val="center"/>
    </w:pPr>
    <w:rPr>
      <w:rFonts w:ascii="Times New Roman" w:hAnsi="Times New Roman" w:eastAsia="宋体" w:cs="Times New Roman"/>
      <w:b/>
      <w:bCs/>
      <w:kern w:val="2"/>
      <w:sz w:val="21"/>
      <w:szCs w:val="28"/>
      <w:lang w:val="en-US" w:eastAsia="zh-CN" w:bidi="ar-SA"/>
    </w:rPr>
  </w:style>
  <w:style w:type="paragraph" w:customStyle="1" w:styleId="779">
    <w:name w:val="Body Text 22"/>
    <w:qFormat/>
    <w:uiPriority w:val="0"/>
    <w:pPr>
      <w:widowControl w:val="0"/>
      <w:adjustRightInd w:val="0"/>
      <w:spacing w:line="440" w:lineRule="atLeast"/>
      <w:ind w:firstLine="480"/>
      <w:jc w:val="both"/>
    </w:pPr>
    <w:rPr>
      <w:rFonts w:ascii="Times New Roman" w:hAnsi="Times New Roman" w:eastAsia="仿宋_GB2312" w:cs="Times New Roman"/>
      <w:kern w:val="2"/>
      <w:sz w:val="24"/>
      <w:lang w:val="en-US" w:eastAsia="zh-CN" w:bidi="ar-SA"/>
    </w:rPr>
  </w:style>
  <w:style w:type="paragraph" w:customStyle="1" w:styleId="780">
    <w:name w:val="表格、图表名称"/>
    <w:basedOn w:val="1"/>
    <w:qFormat/>
    <w:uiPriority w:val="0"/>
    <w:pPr>
      <w:widowControl/>
      <w:jc w:val="center"/>
    </w:pPr>
    <w:rPr>
      <w:rFonts w:ascii="宋体" w:hAnsi="宋体"/>
      <w:b/>
      <w:sz w:val="24"/>
    </w:rPr>
  </w:style>
  <w:style w:type="paragraph" w:customStyle="1" w:styleId="781">
    <w:name w:val="et4"/>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82">
    <w:name w:val="et3"/>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83">
    <w:name w:val="样式 五号 居中 首行缩进:  0.74 厘米 行距: 单倍行距"/>
    <w:basedOn w:val="1"/>
    <w:qFormat/>
    <w:uiPriority w:val="0"/>
    <w:pPr>
      <w:tabs>
        <w:tab w:val="left" w:pos="480"/>
      </w:tabs>
      <w:jc w:val="center"/>
    </w:pPr>
    <w:rPr>
      <w:rFonts w:cs="宋体"/>
    </w:rPr>
  </w:style>
  <w:style w:type="paragraph" w:customStyle="1" w:styleId="784">
    <w:name w:val="表名图名"/>
    <w:basedOn w:val="1"/>
    <w:qFormat/>
    <w:uiPriority w:val="0"/>
    <w:pPr>
      <w:adjustRightInd w:val="0"/>
      <w:snapToGrid w:val="0"/>
      <w:spacing w:line="300" w:lineRule="auto"/>
      <w:jc w:val="center"/>
    </w:pPr>
    <w:rPr>
      <w:b/>
      <w:szCs w:val="120"/>
      <w:lang w:eastAsia="zh-TW"/>
    </w:rPr>
  </w:style>
  <w:style w:type="paragraph" w:customStyle="1" w:styleId="785">
    <w:name w:val="我的样式"/>
    <w:basedOn w:val="1"/>
    <w:qFormat/>
    <w:uiPriority w:val="0"/>
    <w:pPr>
      <w:spacing w:line="360" w:lineRule="auto"/>
      <w:ind w:firstLine="230" w:firstLineChars="230"/>
    </w:pPr>
    <w:rPr>
      <w:rFonts w:ascii="宋体"/>
      <w:sz w:val="24"/>
      <w:lang w:val="en-GB"/>
    </w:rPr>
  </w:style>
  <w:style w:type="paragraph" w:customStyle="1" w:styleId="786">
    <w:name w:val="et6"/>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787">
    <w:name w:val="默认段落字体 Para Char Char Char Char Char Char Char Char Char Char"/>
    <w:basedOn w:val="1"/>
    <w:qFormat/>
    <w:uiPriority w:val="0"/>
    <w:pPr>
      <w:adjustRightInd w:val="0"/>
      <w:spacing w:line="360" w:lineRule="auto"/>
    </w:pPr>
    <w:rPr>
      <w:sz w:val="24"/>
    </w:rPr>
  </w:style>
  <w:style w:type="paragraph" w:customStyle="1" w:styleId="788">
    <w:name w:val="样式封面下"/>
    <w:basedOn w:val="1"/>
    <w:qFormat/>
    <w:uiPriority w:val="0"/>
    <w:pPr>
      <w:snapToGrid w:val="0"/>
      <w:spacing w:line="400" w:lineRule="exact"/>
      <w:jc w:val="center"/>
    </w:pPr>
    <w:rPr>
      <w:rFonts w:ascii="仿宋_GB2312" w:hAnsi="Arial" w:eastAsia="仿宋_GB2312"/>
      <w:b/>
      <w:spacing w:val="-2"/>
      <w:sz w:val="30"/>
    </w:rPr>
  </w:style>
  <w:style w:type="paragraph" w:customStyle="1" w:styleId="789">
    <w:name w:val="封面标准文稿编辑信息"/>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790">
    <w:name w:val="Normal_0"/>
    <w:qFormat/>
    <w:uiPriority w:val="0"/>
    <w:pPr>
      <w:spacing w:before="120" w:after="240"/>
      <w:jc w:val="both"/>
    </w:pPr>
    <w:rPr>
      <w:rFonts w:ascii="Times New Roman" w:hAnsi="Times New Roman" w:eastAsia="Calibri" w:cs="Times New Roman"/>
      <w:sz w:val="22"/>
      <w:szCs w:val="22"/>
      <w:lang w:val="ru-RU" w:eastAsia="en-US" w:bidi="ar-SA"/>
    </w:rPr>
  </w:style>
  <w:style w:type="paragraph" w:customStyle="1" w:styleId="791">
    <w:name w:val="Char Char Char Char Char Char Char1"/>
    <w:basedOn w:val="1"/>
    <w:qFormat/>
    <w:uiPriority w:val="0"/>
    <w:pPr>
      <w:spacing w:line="460" w:lineRule="exact"/>
      <w:ind w:firstLine="510"/>
    </w:pPr>
    <w:rPr>
      <w:sz w:val="24"/>
    </w:rPr>
  </w:style>
  <w:style w:type="paragraph" w:customStyle="1" w:styleId="792">
    <w:name w:val="Char Char Char"/>
    <w:basedOn w:val="1"/>
    <w:qFormat/>
    <w:uiPriority w:val="0"/>
  </w:style>
  <w:style w:type="paragraph" w:customStyle="1" w:styleId="793">
    <w:name w:val="yqy3"/>
    <w:basedOn w:val="19"/>
    <w:qFormat/>
    <w:uiPriority w:val="0"/>
    <w:pPr>
      <w:keepLines/>
      <w:widowControl/>
      <w:pBdr>
        <w:bottom w:val="none" w:color="auto" w:sz="0" w:space="0"/>
      </w:pBdr>
      <w:snapToGrid w:val="0"/>
      <w:spacing w:before="156" w:beforeLines="50" w:after="156" w:afterLines="50" w:line="240" w:lineRule="auto"/>
    </w:pPr>
    <w:rPr>
      <w:caps w:val="0"/>
      <w:color w:val="auto"/>
      <w:spacing w:val="0"/>
      <w:lang w:eastAsia="zh-CN"/>
    </w:rPr>
  </w:style>
  <w:style w:type="paragraph" w:customStyle="1" w:styleId="794">
    <w:name w:val="样式 (符号) 宋体 小四 行距: 1.5 倍行距"/>
    <w:basedOn w:val="1"/>
    <w:qFormat/>
    <w:uiPriority w:val="0"/>
    <w:pPr>
      <w:spacing w:line="360" w:lineRule="auto"/>
      <w:ind w:firstLine="200" w:firstLineChars="200"/>
    </w:pPr>
    <w:rPr>
      <w:rFonts w:hAnsi="宋体" w:cs="宋体"/>
      <w:sz w:val="24"/>
    </w:rPr>
  </w:style>
  <w:style w:type="paragraph" w:customStyle="1" w:styleId="795">
    <w:name w:val="报告表小段"/>
    <w:basedOn w:val="1"/>
    <w:qFormat/>
    <w:uiPriority w:val="0"/>
    <w:pPr>
      <w:adjustRightInd w:val="0"/>
      <w:snapToGrid w:val="0"/>
      <w:spacing w:before="120" w:after="100" w:afterAutospacing="1" w:line="360" w:lineRule="auto"/>
      <w:ind w:firstLine="451" w:firstLineChars="188"/>
      <w:textAlignment w:val="baseline"/>
    </w:pPr>
    <w:rPr>
      <w:rFonts w:ascii="宋体" w:hAnsi="宋体"/>
      <w:sz w:val="24"/>
    </w:rPr>
  </w:style>
  <w:style w:type="paragraph" w:customStyle="1" w:styleId="796">
    <w:name w:val="Char Char Char Char Char Char Char Char Char Char Char Char Char Char Char Char Char Char Char Char Char1 Char"/>
    <w:qFormat/>
    <w:uiPriority w:val="0"/>
    <w:pPr>
      <w:widowControl w:val="0"/>
      <w:spacing w:line="360" w:lineRule="exact"/>
      <w:ind w:firstLine="480" w:firstLineChars="200"/>
      <w:jc w:val="both"/>
    </w:pPr>
    <w:rPr>
      <w:rFonts w:ascii="Times New Roman" w:hAnsi="Times New Roman" w:eastAsia="宋体" w:cs="Times New Roman"/>
      <w:lang w:val="en-US" w:eastAsia="zh-CN" w:bidi="ar-SA"/>
    </w:rPr>
  </w:style>
  <w:style w:type="paragraph" w:customStyle="1" w:styleId="797">
    <w:name w:val="默认段落字体 Para Char Char Char Char Char Char Char Char Char1 Char Char Char Char Char Char Char"/>
    <w:basedOn w:val="602"/>
    <w:next w:val="1"/>
    <w:qFormat/>
    <w:uiPriority w:val="0"/>
    <w:pPr>
      <w:shd w:val="clear" w:color="auto" w:fill="000080"/>
      <w:autoSpaceDE/>
      <w:autoSpaceDN/>
      <w:adjustRightInd/>
      <w:jc w:val="both"/>
    </w:pPr>
    <w:rPr>
      <w:rFonts w:eastAsia="宋体"/>
      <w:kern w:val="2"/>
      <w:sz w:val="24"/>
    </w:rPr>
  </w:style>
  <w:style w:type="paragraph" w:customStyle="1" w:styleId="798">
    <w:name w:val="正文段落"/>
    <w:basedOn w:val="1"/>
    <w:qFormat/>
    <w:uiPriority w:val="0"/>
    <w:pPr>
      <w:spacing w:line="300" w:lineRule="auto"/>
      <w:ind w:firstLine="200" w:firstLineChars="200"/>
    </w:pPr>
    <w:rPr>
      <w:sz w:val="24"/>
    </w:rPr>
  </w:style>
  <w:style w:type="paragraph" w:customStyle="1" w:styleId="799">
    <w:name w:val="08表格"/>
    <w:basedOn w:val="1"/>
    <w:qFormat/>
    <w:uiPriority w:val="0"/>
    <w:pPr>
      <w:adjustRightInd w:val="0"/>
      <w:snapToGrid w:val="0"/>
      <w:jc w:val="center"/>
    </w:pPr>
    <w:rPr>
      <w:rFonts w:ascii="宋体" w:hAnsi="宋体"/>
      <w:szCs w:val="22"/>
    </w:rPr>
  </w:style>
  <w:style w:type="paragraph" w:customStyle="1" w:styleId="800">
    <w:name w:val="列表项目编号"/>
    <w:basedOn w:val="1"/>
    <w:qFormat/>
    <w:uiPriority w:val="0"/>
    <w:pPr>
      <w:tabs>
        <w:tab w:val="left" w:pos="432"/>
      </w:tabs>
      <w:adjustRightInd w:val="0"/>
      <w:spacing w:line="360" w:lineRule="auto"/>
      <w:ind w:left="432" w:hanging="432"/>
    </w:pPr>
    <w:rPr>
      <w:sz w:val="28"/>
    </w:rPr>
  </w:style>
  <w:style w:type="paragraph" w:customStyle="1" w:styleId="801">
    <w:name w:val="xl36"/>
    <w:basedOn w:val="1"/>
    <w:qFormat/>
    <w:uiPriority w:val="0"/>
    <w:pPr>
      <w:widowControl/>
      <w:pBdr>
        <w:left w:val="single" w:color="auto" w:sz="4" w:space="0"/>
        <w:right w:val="single" w:color="auto" w:sz="4" w:space="0"/>
      </w:pBdr>
      <w:spacing w:before="100" w:beforeAutospacing="1" w:after="100" w:afterAutospacing="1"/>
      <w:jc w:val="center"/>
      <w:textAlignment w:val="top"/>
    </w:pPr>
    <w:rPr>
      <w:rFonts w:ascii="宋体" w:hAnsi="宋体" w:cs="宋体"/>
      <w:sz w:val="24"/>
    </w:rPr>
  </w:style>
  <w:style w:type="paragraph" w:customStyle="1" w:styleId="802">
    <w:name w:val="et10"/>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03">
    <w:name w:val="et9"/>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04">
    <w:name w:val="et16"/>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05">
    <w:name w:val="07表头"/>
    <w:basedOn w:val="806"/>
    <w:next w:val="806"/>
    <w:qFormat/>
    <w:uiPriority w:val="0"/>
    <w:pPr>
      <w:jc w:val="center"/>
    </w:pPr>
    <w:rPr>
      <w:b/>
    </w:rPr>
  </w:style>
  <w:style w:type="paragraph" w:customStyle="1" w:styleId="806">
    <w:name w:val="05正文"/>
    <w:basedOn w:val="1"/>
    <w:qFormat/>
    <w:uiPriority w:val="0"/>
    <w:pPr>
      <w:adjustRightInd w:val="0"/>
      <w:snapToGrid w:val="0"/>
    </w:pPr>
    <w:rPr>
      <w:rFonts w:ascii="宋体" w:hAnsi="宋体"/>
      <w:sz w:val="24"/>
      <w:szCs w:val="22"/>
    </w:rPr>
  </w:style>
  <w:style w:type="paragraph" w:customStyle="1" w:styleId="807">
    <w:name w:val="样式 正文文字缩进 2 + (符号) 宋体 小四 首行缩进:  2 字符"/>
    <w:basedOn w:val="66"/>
    <w:qFormat/>
    <w:uiPriority w:val="0"/>
    <w:pPr>
      <w:snapToGrid w:val="0"/>
      <w:spacing w:before="0" w:after="0" w:line="360" w:lineRule="auto"/>
      <w:ind w:left="0" w:leftChars="0" w:firstLine="480" w:firstLineChars="200"/>
    </w:pPr>
    <w:rPr>
      <w:rFonts w:ascii="宋体" w:hAnsi="宋体"/>
      <w:sz w:val="24"/>
      <w:szCs w:val="24"/>
    </w:rPr>
  </w:style>
  <w:style w:type="paragraph" w:customStyle="1" w:styleId="808">
    <w:name w:val="et13"/>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09">
    <w:name w:val="样式 宋体 小四"/>
    <w:basedOn w:val="1"/>
    <w:qFormat/>
    <w:uiPriority w:val="0"/>
    <w:pPr>
      <w:adjustRightInd w:val="0"/>
      <w:snapToGrid w:val="0"/>
      <w:spacing w:line="480" w:lineRule="exact"/>
      <w:ind w:firstLine="200" w:firstLineChars="200"/>
    </w:pPr>
    <w:rPr>
      <w:rFonts w:ascii="宋体" w:hAnsi="宋体"/>
      <w:snapToGrid w:val="0"/>
      <w:sz w:val="24"/>
    </w:rPr>
  </w:style>
  <w:style w:type="paragraph" w:customStyle="1" w:styleId="810">
    <w:name w:val="et15"/>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11">
    <w:name w:val="font5"/>
    <w:basedOn w:val="1"/>
    <w:qFormat/>
    <w:uiPriority w:val="0"/>
    <w:pPr>
      <w:widowControl/>
      <w:spacing w:before="100" w:beforeAutospacing="1" w:after="100" w:afterAutospacing="1"/>
      <w:jc w:val="left"/>
    </w:pPr>
    <w:rPr>
      <w:rFonts w:hint="eastAsia" w:ascii="宋体" w:hAnsi="宋体" w:cs="Arial Unicode MS"/>
      <w:sz w:val="18"/>
      <w:szCs w:val="18"/>
    </w:rPr>
  </w:style>
  <w:style w:type="paragraph" w:customStyle="1" w:styleId="812">
    <w:name w:val="正文2"/>
    <w:basedOn w:val="1"/>
    <w:qFormat/>
    <w:uiPriority w:val="0"/>
    <w:pPr>
      <w:adjustRightInd w:val="0"/>
      <w:spacing w:line="480" w:lineRule="exact"/>
      <w:textAlignment w:val="baseline"/>
    </w:pPr>
    <w:rPr>
      <w:spacing w:val="-2"/>
      <w:sz w:val="28"/>
    </w:rPr>
  </w:style>
  <w:style w:type="paragraph" w:customStyle="1" w:styleId="813">
    <w:name w:val="表格文字2"/>
    <w:basedOn w:val="1"/>
    <w:qFormat/>
    <w:uiPriority w:val="0"/>
    <w:pPr>
      <w:tabs>
        <w:tab w:val="left" w:pos="277"/>
        <w:tab w:val="left" w:pos="600"/>
        <w:tab w:val="left" w:pos="780"/>
        <w:tab w:val="left" w:pos="2517"/>
      </w:tabs>
      <w:adjustRightInd w:val="0"/>
      <w:spacing w:before="60"/>
      <w:jc w:val="center"/>
      <w:textAlignment w:val="baseline"/>
    </w:pPr>
  </w:style>
  <w:style w:type="paragraph" w:customStyle="1" w:styleId="814">
    <w:name w:val="纯文本2"/>
    <w:basedOn w:val="1"/>
    <w:qFormat/>
    <w:uiPriority w:val="0"/>
    <w:pPr>
      <w:adjustRightInd w:val="0"/>
      <w:textAlignment w:val="baseline"/>
    </w:pPr>
    <w:rPr>
      <w:rFonts w:ascii="宋体" w:hAnsi="Courier New"/>
    </w:rPr>
  </w:style>
  <w:style w:type="paragraph" w:customStyle="1" w:styleId="815">
    <w:name w:val="Char Char2 Char Char Char Char"/>
    <w:basedOn w:val="1"/>
    <w:semiHidden/>
    <w:qFormat/>
    <w:uiPriority w:val="0"/>
    <w:pPr>
      <w:widowControl/>
      <w:jc w:val="left"/>
    </w:pPr>
    <w:rPr>
      <w:b/>
      <w:sz w:val="24"/>
      <w:lang w:val="pl-PL" w:eastAsia="pl-PL"/>
    </w:rPr>
  </w:style>
  <w:style w:type="paragraph" w:customStyle="1" w:styleId="816">
    <w:name w:val="二级无标题条"/>
    <w:basedOn w:val="1"/>
    <w:qFormat/>
    <w:uiPriority w:val="0"/>
  </w:style>
  <w:style w:type="paragraph" w:customStyle="1" w:styleId="817">
    <w:name w:val="公式1"/>
    <w:basedOn w:val="1"/>
    <w:qFormat/>
    <w:uiPriority w:val="0"/>
    <w:pPr>
      <w:spacing w:before="50" w:beforeLines="50" w:line="400" w:lineRule="exact"/>
      <w:ind w:firstLine="480" w:firstLineChars="200"/>
    </w:pPr>
    <w:rPr>
      <w:rFonts w:ascii="Century Gothic" w:hAnsi="Century Gothic"/>
      <w:sz w:val="24"/>
    </w:rPr>
  </w:style>
  <w:style w:type="paragraph" w:customStyle="1" w:styleId="818">
    <w:name w:val="样式 标题 1Head 1wsa + 三号 加粗 居中 行距: 1.5 倍行距"/>
    <w:basedOn w:val="18"/>
    <w:qFormat/>
    <w:uiPriority w:val="0"/>
    <w:pPr>
      <w:pageBreakBefore/>
      <w:tabs>
        <w:tab w:val="left" w:pos="1021"/>
      </w:tabs>
      <w:overflowPunct/>
      <w:autoSpaceDN w:val="0"/>
      <w:adjustRightInd w:val="0"/>
      <w:snapToGrid/>
      <w:spacing w:before="0" w:after="0" w:line="360" w:lineRule="auto"/>
      <w:ind w:left="1021" w:hanging="181"/>
      <w:jc w:val="center"/>
      <w:textAlignment w:val="baseline"/>
    </w:pPr>
    <w:rPr>
      <w:rFonts w:eastAsia="宋体" w:cs="宋体"/>
      <w:color w:val="auto"/>
      <w:kern w:val="2"/>
      <w:sz w:val="32"/>
    </w:rPr>
  </w:style>
  <w:style w:type="paragraph" w:customStyle="1" w:styleId="819">
    <w:name w:val="Char1 Char Char Char1"/>
    <w:basedOn w:val="1"/>
    <w:qFormat/>
    <w:uiPriority w:val="0"/>
    <w:pPr>
      <w:adjustRightInd w:val="0"/>
      <w:spacing w:line="360" w:lineRule="auto"/>
    </w:pPr>
    <w:rPr>
      <w:sz w:val="24"/>
    </w:rPr>
  </w:style>
  <w:style w:type="paragraph" w:customStyle="1" w:styleId="820">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821">
    <w:name w:val="Char41"/>
    <w:basedOn w:val="1"/>
    <w:qFormat/>
    <w:uiPriority w:val="0"/>
    <w:pPr>
      <w:widowControl/>
      <w:jc w:val="left"/>
    </w:pPr>
    <w:rPr>
      <w:rFonts w:ascii="宋体" w:hAnsi="宋体" w:cs="宋体"/>
      <w:sz w:val="24"/>
    </w:rPr>
  </w:style>
  <w:style w:type="paragraph" w:customStyle="1" w:styleId="822">
    <w:name w:val="表题1"/>
    <w:next w:val="469"/>
    <w:qFormat/>
    <w:uiPriority w:val="0"/>
    <w:pPr>
      <w:keepNext/>
      <w:keepLines/>
      <w:widowControl w:val="0"/>
      <w:topLinePunct/>
      <w:autoSpaceDE w:val="0"/>
      <w:autoSpaceDN w:val="0"/>
      <w:adjustRightInd w:val="0"/>
      <w:spacing w:line="360" w:lineRule="auto"/>
      <w:jc w:val="center"/>
      <w:textAlignment w:val="baseline"/>
    </w:pPr>
    <w:rPr>
      <w:rFonts w:ascii="Times New Roman" w:hAnsi="Times New Roman" w:eastAsia="仿宋体" w:cs="Times New Roman"/>
      <w:sz w:val="28"/>
      <w:lang w:val="en-US" w:eastAsia="zh-CN" w:bidi="ar-SA"/>
    </w:rPr>
  </w:style>
  <w:style w:type="paragraph" w:customStyle="1" w:styleId="823">
    <w:name w:val="样式 首行缩进:  2 字符"/>
    <w:basedOn w:val="1"/>
    <w:qFormat/>
    <w:uiPriority w:val="0"/>
    <w:pPr>
      <w:spacing w:line="360" w:lineRule="auto"/>
      <w:ind w:firstLine="720" w:firstLineChars="300"/>
    </w:pPr>
    <w:rPr>
      <w:rFonts w:cs="宋体"/>
      <w:sz w:val="24"/>
    </w:rPr>
  </w:style>
  <w:style w:type="paragraph" w:customStyle="1" w:styleId="824">
    <w:name w:val="et5"/>
    <w:basedOn w:val="1"/>
    <w:qFormat/>
    <w:uiPriority w:val="0"/>
    <w:pPr>
      <w:widowControl/>
      <w:spacing w:before="100" w:beforeAutospacing="1" w:after="100" w:afterAutospacing="1"/>
      <w:jc w:val="left"/>
      <w:textAlignment w:val="center"/>
    </w:pPr>
    <w:rPr>
      <w:rFonts w:ascii="宋体" w:hAnsi="宋体" w:cs="宋体"/>
      <w:color w:val="000000"/>
      <w:sz w:val="22"/>
      <w:szCs w:val="22"/>
    </w:rPr>
  </w:style>
  <w:style w:type="paragraph" w:customStyle="1" w:styleId="825">
    <w:name w:val="表、图名"/>
    <w:basedOn w:val="1"/>
    <w:qFormat/>
    <w:uiPriority w:val="0"/>
    <w:pPr>
      <w:adjustRightInd w:val="0"/>
      <w:snapToGrid w:val="0"/>
      <w:ind w:left="-6"/>
      <w:jc w:val="center"/>
    </w:pPr>
    <w:rPr>
      <w:rFonts w:ascii="黑体" w:hAnsi="宋体" w:eastAsia="黑体"/>
      <w:b/>
      <w:color w:val="000000"/>
    </w:rPr>
  </w:style>
  <w:style w:type="paragraph" w:customStyle="1" w:styleId="826">
    <w:name w:val="1表格字体"/>
    <w:basedOn w:val="1"/>
    <w:qFormat/>
    <w:uiPriority w:val="0"/>
    <w:pPr>
      <w:spacing w:line="264" w:lineRule="auto"/>
      <w:jc w:val="center"/>
    </w:pPr>
  </w:style>
  <w:style w:type="paragraph" w:customStyle="1" w:styleId="827">
    <w:name w:val="表标题2"/>
    <w:basedOn w:val="1"/>
    <w:qFormat/>
    <w:uiPriority w:val="0"/>
    <w:pPr>
      <w:keepNext/>
      <w:adjustRightInd w:val="0"/>
      <w:spacing w:before="180" w:after="120" w:line="397" w:lineRule="atLeast"/>
      <w:jc w:val="center"/>
      <w:textAlignment w:val="baseline"/>
    </w:pPr>
    <w:rPr>
      <w:rFonts w:ascii="Plotter" w:hAnsi="Plotter"/>
      <w:b/>
      <w:sz w:val="24"/>
    </w:rPr>
  </w:style>
  <w:style w:type="paragraph" w:customStyle="1" w:styleId="828">
    <w:name w:val="表格内容-中间对齐"/>
    <w:basedOn w:val="1"/>
    <w:qFormat/>
    <w:uiPriority w:val="0"/>
    <w:pPr>
      <w:jc w:val="center"/>
    </w:pPr>
  </w:style>
  <w:style w:type="paragraph" w:customStyle="1" w:styleId="829">
    <w:name w:val="样式 表格文字 + 首行缩进: 2.15 字符"/>
    <w:basedOn w:val="1"/>
    <w:qFormat/>
    <w:uiPriority w:val="0"/>
    <w:pPr>
      <w:topLinePunct/>
      <w:adjustRightInd w:val="0"/>
      <w:snapToGrid w:val="0"/>
      <w:spacing w:line="312" w:lineRule="auto"/>
      <w:jc w:val="center"/>
    </w:pPr>
    <w:rPr>
      <w:rFonts w:ascii="Arial" w:hAnsi="Arial" w:cs="Arial"/>
      <w:spacing w:val="-2"/>
      <w:sz w:val="28"/>
      <w:szCs w:val="28"/>
    </w:rPr>
  </w:style>
  <w:style w:type="paragraph" w:customStyle="1" w:styleId="830">
    <w:name w:val="样式 标题 4 + 小四 行距: 单倍行距"/>
    <w:basedOn w:val="21"/>
    <w:qFormat/>
    <w:uiPriority w:val="0"/>
    <w:pPr>
      <w:tabs>
        <w:tab w:val="left" w:pos="851"/>
      </w:tabs>
      <w:spacing w:before="280" w:after="290" w:line="240" w:lineRule="auto"/>
      <w:ind w:left="851" w:hanging="851"/>
    </w:pPr>
    <w:rPr>
      <w:rFonts w:ascii="Arial" w:hAnsi="Arial" w:eastAsia="黑体" w:cs="宋体"/>
      <w:bCs/>
      <w:sz w:val="24"/>
      <w:lang w:eastAsia="zh-CN"/>
    </w:rPr>
  </w:style>
  <w:style w:type="paragraph" w:customStyle="1" w:styleId="831">
    <w:name w:val="备注"/>
    <w:basedOn w:val="1"/>
    <w:next w:val="1"/>
    <w:qFormat/>
    <w:uiPriority w:val="0"/>
    <w:pPr>
      <w:adjustRightInd w:val="0"/>
      <w:spacing w:before="120" w:after="360" w:line="400" w:lineRule="atLeast"/>
      <w:ind w:firstLine="567"/>
      <w:textAlignment w:val="baseline"/>
    </w:pPr>
    <w:rPr>
      <w:rFonts w:ascii="宋体"/>
      <w:i/>
      <w:color w:val="800000"/>
      <w:kern w:val="18"/>
      <w:sz w:val="24"/>
    </w:rPr>
  </w:style>
  <w:style w:type="paragraph" w:customStyle="1" w:styleId="832">
    <w:name w:val="第四节"/>
    <w:basedOn w:val="1"/>
    <w:qFormat/>
    <w:uiPriority w:val="0"/>
    <w:pPr>
      <w:spacing w:before="360" w:beforeLines="150" w:line="360" w:lineRule="auto"/>
      <w:ind w:firstLine="358" w:firstLineChars="119"/>
      <w:jc w:val="left"/>
    </w:pPr>
    <w:rPr>
      <w:rFonts w:eastAsia="黑体"/>
      <w:b/>
      <w:bCs/>
      <w:sz w:val="30"/>
    </w:rPr>
  </w:style>
  <w:style w:type="paragraph" w:customStyle="1" w:styleId="833">
    <w:name w:val="char"/>
    <w:basedOn w:val="1"/>
    <w:qFormat/>
    <w:uiPriority w:val="0"/>
    <w:pPr>
      <w:widowControl/>
      <w:jc w:val="left"/>
    </w:pPr>
    <w:rPr>
      <w:sz w:val="24"/>
    </w:rPr>
  </w:style>
  <w:style w:type="paragraph" w:customStyle="1" w:styleId="834">
    <w:name w:val="样式 标题 3B HeadH3标题 3 Char Char标题 3 Char Char Char Char标题 3 C..."/>
    <w:basedOn w:val="20"/>
    <w:qFormat/>
    <w:uiPriority w:val="0"/>
    <w:pPr>
      <w:keepNext/>
      <w:widowControl w:val="0"/>
      <w:tabs>
        <w:tab w:val="left" w:pos="709"/>
      </w:tabs>
      <w:adjustRightInd/>
      <w:snapToGrid/>
      <w:spacing w:before="100" w:after="100" w:line="300" w:lineRule="auto"/>
      <w:ind w:left="709" w:hanging="709"/>
      <w:textAlignment w:val="auto"/>
    </w:pPr>
    <w:rPr>
      <w:rFonts w:ascii="黑体" w:eastAsia="黑体" w:cs="宋体"/>
      <w:b w:val="0"/>
      <w:snapToGrid w:val="0"/>
      <w:spacing w:val="0"/>
      <w:kern w:val="2"/>
      <w:szCs w:val="20"/>
    </w:rPr>
  </w:style>
  <w:style w:type="paragraph" w:customStyle="1" w:styleId="835">
    <w:name w:val="样式 标题 2H2SeHead wsa2标题 1.1标题 2 Char Char Char Char Char标题 ..."/>
    <w:basedOn w:val="19"/>
    <w:qFormat/>
    <w:uiPriority w:val="0"/>
    <w:pPr>
      <w:keepNext/>
      <w:keepLines/>
      <w:pBdr>
        <w:bottom w:val="none" w:color="auto" w:sz="0" w:space="0"/>
      </w:pBdr>
      <w:tabs>
        <w:tab w:val="left" w:pos="567"/>
      </w:tabs>
      <w:spacing w:before="120" w:after="120"/>
      <w:ind w:left="567" w:hanging="567"/>
    </w:pPr>
    <w:rPr>
      <w:rFonts w:ascii="黑体" w:hAnsi="Arial" w:eastAsia="黑体" w:cs="宋体"/>
      <w:b w:val="0"/>
      <w:caps w:val="0"/>
      <w:color w:val="auto"/>
      <w:spacing w:val="0"/>
      <w:kern w:val="2"/>
      <w:sz w:val="32"/>
      <w:lang w:eastAsia="zh-CN"/>
    </w:rPr>
  </w:style>
  <w:style w:type="paragraph" w:customStyle="1" w:styleId="836">
    <w:name w:val="a表标题"/>
    <w:basedOn w:val="1"/>
    <w:qFormat/>
    <w:uiPriority w:val="0"/>
    <w:pPr>
      <w:adjustRightInd w:val="0"/>
      <w:snapToGrid w:val="0"/>
      <w:spacing w:before="60" w:after="60" w:line="300" w:lineRule="auto"/>
      <w:ind w:firstLine="539"/>
      <w:jc w:val="center"/>
      <w:textAlignment w:val="baseline"/>
    </w:pPr>
    <w:rPr>
      <w:b/>
      <w:bCs/>
      <w:sz w:val="24"/>
    </w:rPr>
  </w:style>
  <w:style w:type="table" w:customStyle="1" w:styleId="837">
    <w:name w:val="网格型1"/>
    <w:basedOn w:val="100"/>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8">
    <w:name w:val="网格型2"/>
    <w:basedOn w:val="100"/>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839">
    <w:name w:val="yqy表格样式"/>
    <w:basedOn w:val="102"/>
    <w:qFormat/>
    <w:uiPriority w:val="0"/>
    <w:pPr>
      <w:jc w:val="center"/>
    </w:pPr>
    <w:rPr>
      <w:rFonts w:eastAsia="Times New Roman"/>
      <w:kern w:val="2"/>
    </w:rPr>
    <w:tblPr>
      <w:tblBorders>
        <w:top w:val="single" w:color="auto" w:sz="12" w:space="0"/>
        <w:bottom w:val="single" w:color="auto" w:sz="12" w:space="0"/>
      </w:tblBorders>
    </w:tblPr>
    <w:tcPr>
      <w:vAlign w:val="center"/>
    </w:tcPr>
  </w:style>
  <w:style w:type="table" w:customStyle="1" w:styleId="840">
    <w:name w:val="ok1"/>
    <w:basedOn w:val="839"/>
    <w:qFormat/>
    <w:uiPriority w:val="0"/>
    <w:tblPr>
      <w:tblBorders>
        <w:top w:val="single" w:color="auto" w:sz="4" w:space="0"/>
        <w:bottom w:val="single" w:color="auto" w:sz="4" w:space="0"/>
      </w:tblBorders>
    </w:tblPr>
    <w:tblStylePr w:type="firstRow">
      <w:pPr>
        <w:jc w:val="center"/>
      </w:pPr>
      <w:rPr>
        <w:rFonts w:ascii="Times New Roman" w:hAnsi="Times New Roman" w:eastAsia="Estrangelo Edessa"/>
        <w:b w:val="0"/>
        <w:i w:val="0"/>
        <w:sz w:val="21"/>
        <w:szCs w:val="21"/>
      </w:rPr>
      <w:tcPr>
        <w:tcBorders>
          <w:top w:val="single" w:color="auto" w:sz="4" w:space="0"/>
          <w:left w:val="nil"/>
          <w:bottom w:val="single" w:color="auto" w:sz="4" w:space="0"/>
          <w:right w:val="nil"/>
          <w:insideH w:val="nil"/>
          <w:insideV w:val="nil"/>
          <w:tl2br w:val="nil"/>
          <w:tr2bl w:val="nil"/>
        </w:tcBorders>
      </w:tcPr>
    </w:tblStylePr>
  </w:style>
  <w:style w:type="table" w:customStyle="1" w:styleId="841">
    <w:name w:val="ok"/>
    <w:basedOn w:val="839"/>
    <w:qFormat/>
    <w:uiPriority w:val="0"/>
    <w:tblPr>
      <w:tblBorders>
        <w:top w:val="single" w:color="auto" w:sz="4" w:space="0"/>
        <w:bottom w:val="single" w:color="auto" w:sz="4" w:space="0"/>
      </w:tblBorders>
    </w:tblPr>
    <w:tblStylePr w:type="firstRow">
      <w:pPr>
        <w:jc w:val="center"/>
      </w:pPr>
      <w:rPr>
        <w:rFonts w:ascii="Times New Roman" w:hAnsi="Times New Roman" w:eastAsia="Estrangelo Edessa"/>
        <w:b w:val="0"/>
        <w:i w:val="0"/>
        <w:sz w:val="21"/>
        <w:szCs w:val="21"/>
      </w:rPr>
      <w:tcPr>
        <w:tcBorders>
          <w:top w:val="single" w:color="auto" w:sz="4" w:space="0"/>
          <w:left w:val="nil"/>
          <w:bottom w:val="single" w:color="auto" w:sz="4" w:space="0"/>
          <w:right w:val="nil"/>
          <w:insideH w:val="nil"/>
          <w:insideV w:val="nil"/>
          <w:tl2br w:val="nil"/>
          <w:tr2bl w:val="nil"/>
        </w:tcBorders>
      </w:tcPr>
    </w:tblStylePr>
  </w:style>
  <w:style w:type="table" w:customStyle="1" w:styleId="842">
    <w:name w:val="Table Normal"/>
    <w:unhideWhenUsed/>
    <w:qFormat/>
    <w:uiPriority w:val="2"/>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table" w:customStyle="1" w:styleId="843">
    <w:name w:val="Table Normal1"/>
    <w:unhideWhenUsed/>
    <w:qFormat/>
    <w:uiPriority w:val="2"/>
    <w:pPr>
      <w:widowControl w:val="0"/>
      <w:autoSpaceDE w:val="0"/>
      <w:autoSpaceDN w:val="0"/>
    </w:pPr>
    <w:rPr>
      <w:rFonts w:ascii="Calibri" w:hAnsi="Calibri"/>
      <w:sz w:val="22"/>
      <w:lang w:eastAsia="en-US"/>
    </w:rPr>
    <w:tblPr>
      <w:tblCellMar>
        <w:top w:w="0" w:type="dxa"/>
        <w:left w:w="0" w:type="dxa"/>
        <w:bottom w:w="0" w:type="dxa"/>
        <w:right w:w="0" w:type="dxa"/>
      </w:tblCellMar>
    </w:tblPr>
  </w:style>
  <w:style w:type="table" w:customStyle="1" w:styleId="844">
    <w:name w:val="网格型7"/>
    <w:basedOn w:val="100"/>
    <w:qFormat/>
    <w:uiPriority w:val="0"/>
    <w:pPr>
      <w:widowControl w:val="0"/>
      <w:spacing w:line="360" w:lineRule="auto"/>
      <w:ind w:left="-1" w:leftChars="-1"/>
      <w:jc w:val="center"/>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45">
    <w:name w:val="A表格中文"/>
    <w:basedOn w:val="1"/>
    <w:qFormat/>
    <w:uiPriority w:val="0"/>
    <w:pPr>
      <w:adjustRightInd w:val="0"/>
      <w:ind w:left="-50" w:leftChars="-50" w:right="-50" w:rightChars="-50"/>
      <w:jc w:val="center"/>
    </w:pPr>
    <w:rPr>
      <w:bCs/>
    </w:rPr>
  </w:style>
  <w:style w:type="paragraph" w:customStyle="1" w:styleId="846">
    <w:name w:val="C正文"/>
    <w:basedOn w:val="1"/>
    <w:qFormat/>
    <w:uiPriority w:val="0"/>
    <w:pPr>
      <w:spacing w:line="520" w:lineRule="exact"/>
      <w:ind w:firstLine="480" w:firstLineChars="200"/>
    </w:pPr>
    <w:rPr>
      <w:sz w:val="24"/>
    </w:rPr>
  </w:style>
  <w:style w:type="character" w:customStyle="1" w:styleId="847">
    <w:name w:val="hover8"/>
    <w:qFormat/>
    <w:uiPriority w:val="0"/>
    <w:rPr>
      <w:rFonts w:ascii="仿宋_GB2312" w:eastAsia="仿宋_GB2312"/>
      <w:color w:val="FF3300"/>
      <w:sz w:val="24"/>
      <w:szCs w:val="24"/>
    </w:rPr>
  </w:style>
  <w:style w:type="character" w:customStyle="1" w:styleId="848">
    <w:name w:val="0 Char"/>
    <w:link w:val="849"/>
    <w:qFormat/>
    <w:uiPriority w:val="0"/>
    <w:rPr>
      <w:b/>
      <w:sz w:val="24"/>
    </w:rPr>
  </w:style>
  <w:style w:type="paragraph" w:customStyle="1" w:styleId="849">
    <w:name w:val="0表头"/>
    <w:basedOn w:val="1"/>
    <w:link w:val="848"/>
    <w:qFormat/>
    <w:uiPriority w:val="0"/>
    <w:pPr>
      <w:spacing w:before="50" w:beforeLines="50"/>
      <w:jc w:val="center"/>
    </w:pPr>
    <w:rPr>
      <w:rFonts w:asciiTheme="minorHAnsi" w:hAnsiTheme="minorHAnsi" w:eastAsiaTheme="minorEastAsia" w:cstheme="minorBidi"/>
      <w:b/>
      <w:sz w:val="24"/>
      <w:szCs w:val="22"/>
    </w:rPr>
  </w:style>
  <w:style w:type="character" w:customStyle="1" w:styleId="850">
    <w:name w:val="报告表  段 Char"/>
    <w:link w:val="851"/>
    <w:qFormat/>
    <w:locked/>
    <w:uiPriority w:val="0"/>
    <w:rPr>
      <w:rFonts w:ascii="宋体"/>
      <w:sz w:val="24"/>
    </w:rPr>
  </w:style>
  <w:style w:type="paragraph" w:customStyle="1" w:styleId="851">
    <w:name w:val="报告表  段"/>
    <w:basedOn w:val="1"/>
    <w:link w:val="850"/>
    <w:qFormat/>
    <w:uiPriority w:val="0"/>
    <w:pPr>
      <w:adjustRightInd w:val="0"/>
      <w:spacing w:line="360" w:lineRule="auto"/>
      <w:ind w:firstLine="505"/>
      <w:textAlignment w:val="baseline"/>
    </w:pPr>
    <w:rPr>
      <w:rFonts w:ascii="宋体" w:hAnsiTheme="minorHAnsi" w:eastAsiaTheme="minorEastAsia" w:cstheme="minorBidi"/>
      <w:sz w:val="24"/>
      <w:szCs w:val="22"/>
    </w:rPr>
  </w:style>
  <w:style w:type="character" w:customStyle="1" w:styleId="852">
    <w:name w:val="current"/>
    <w:qFormat/>
    <w:uiPriority w:val="0"/>
    <w:rPr>
      <w:rFonts w:ascii="仿宋_GB2312" w:eastAsia="仿宋_GB2312"/>
      <w:color w:val="000000"/>
      <w:sz w:val="24"/>
      <w:szCs w:val="24"/>
      <w:bdr w:val="single" w:color="F3F3F3" w:sz="6" w:space="0"/>
      <w:shd w:val="clear" w:color="auto" w:fill="D7E7FF"/>
    </w:rPr>
  </w:style>
  <w:style w:type="character" w:customStyle="1" w:styleId="853">
    <w:name w:val="up"/>
    <w:qFormat/>
    <w:uiPriority w:val="0"/>
    <w:rPr>
      <w:rFonts w:ascii="仿宋_GB2312" w:eastAsia="仿宋_GB2312"/>
      <w:sz w:val="24"/>
      <w:szCs w:val="24"/>
      <w:shd w:val="clear" w:color="auto" w:fill="D7E7FF"/>
    </w:rPr>
  </w:style>
  <w:style w:type="character" w:customStyle="1" w:styleId="854">
    <w:name w:val="down"/>
    <w:qFormat/>
    <w:uiPriority w:val="0"/>
    <w:rPr>
      <w:rFonts w:ascii="仿宋_GB2312" w:eastAsia="仿宋_GB2312"/>
      <w:sz w:val="24"/>
      <w:szCs w:val="24"/>
      <w:shd w:val="clear" w:color="auto" w:fill="D7E7FF"/>
    </w:rPr>
  </w:style>
  <w:style w:type="character" w:customStyle="1" w:styleId="855">
    <w:name w:val="表文 Char"/>
    <w:link w:val="856"/>
    <w:qFormat/>
    <w:locked/>
    <w:uiPriority w:val="0"/>
    <w:rPr>
      <w:rFonts w:ascii="宋体" w:hAnsi="Tms Rmn"/>
      <w:sz w:val="24"/>
    </w:rPr>
  </w:style>
  <w:style w:type="paragraph" w:customStyle="1" w:styleId="856">
    <w:name w:val="表文"/>
    <w:basedOn w:val="1"/>
    <w:link w:val="855"/>
    <w:qFormat/>
    <w:uiPriority w:val="0"/>
    <w:pPr>
      <w:autoSpaceDE w:val="0"/>
      <w:autoSpaceDN w:val="0"/>
      <w:adjustRightInd w:val="0"/>
      <w:spacing w:line="360" w:lineRule="atLeast"/>
      <w:jc w:val="center"/>
      <w:textAlignment w:val="baseline"/>
    </w:pPr>
    <w:rPr>
      <w:rFonts w:ascii="宋体" w:hAnsi="Tms Rmn" w:eastAsiaTheme="minorEastAsia" w:cstheme="minorBidi"/>
      <w:sz w:val="24"/>
      <w:szCs w:val="22"/>
    </w:rPr>
  </w:style>
  <w:style w:type="character" w:customStyle="1" w:styleId="857">
    <w:name w:val="hover7"/>
    <w:qFormat/>
    <w:uiPriority w:val="0"/>
    <w:rPr>
      <w:rFonts w:ascii="仿宋_GB2312" w:eastAsia="仿宋_GB2312"/>
      <w:color w:val="FF3300"/>
      <w:sz w:val="24"/>
      <w:szCs w:val="24"/>
    </w:rPr>
  </w:style>
  <w:style w:type="character" w:customStyle="1" w:styleId="858">
    <w:name w:val="hover21"/>
    <w:qFormat/>
    <w:uiPriority w:val="0"/>
    <w:rPr>
      <w:rFonts w:ascii="仿宋_GB2312" w:eastAsia="仿宋_GB2312"/>
      <w:color w:val="FF3300"/>
      <w:sz w:val="24"/>
      <w:szCs w:val="24"/>
    </w:rPr>
  </w:style>
  <w:style w:type="character" w:customStyle="1" w:styleId="859">
    <w:name w:val="current1"/>
    <w:qFormat/>
    <w:uiPriority w:val="0"/>
    <w:rPr>
      <w:rFonts w:ascii="仿宋_GB2312" w:eastAsia="仿宋_GB2312"/>
      <w:color w:val="000000"/>
      <w:sz w:val="24"/>
      <w:szCs w:val="24"/>
      <w:bdr w:val="single" w:color="F3F3F3" w:sz="6" w:space="0"/>
      <w:shd w:val="clear" w:color="auto" w:fill="D7E7FF"/>
    </w:rPr>
  </w:style>
  <w:style w:type="character" w:customStyle="1" w:styleId="860">
    <w:name w:val="+ Char"/>
    <w:link w:val="861"/>
    <w:qFormat/>
    <w:uiPriority w:val="0"/>
    <w:rPr>
      <w:sz w:val="24"/>
      <w:szCs w:val="24"/>
    </w:rPr>
  </w:style>
  <w:style w:type="paragraph" w:customStyle="1" w:styleId="861">
    <w:name w:val="+"/>
    <w:basedOn w:val="1"/>
    <w:link w:val="860"/>
    <w:qFormat/>
    <w:uiPriority w:val="0"/>
    <w:pPr>
      <w:adjustRightInd w:val="0"/>
      <w:snapToGrid w:val="0"/>
      <w:spacing w:line="360" w:lineRule="auto"/>
      <w:ind w:firstLine="420" w:firstLineChars="200"/>
      <w:jc w:val="left"/>
    </w:pPr>
    <w:rPr>
      <w:rFonts w:asciiTheme="minorHAnsi" w:hAnsiTheme="minorHAnsi" w:eastAsiaTheme="minorEastAsia" w:cstheme="minorBidi"/>
      <w:sz w:val="24"/>
    </w:rPr>
  </w:style>
  <w:style w:type="character" w:customStyle="1" w:styleId="862">
    <w:name w:val="正文 Char"/>
    <w:link w:val="863"/>
    <w:qFormat/>
    <w:uiPriority w:val="0"/>
    <w:rPr>
      <w:sz w:val="24"/>
      <w:szCs w:val="24"/>
    </w:rPr>
  </w:style>
  <w:style w:type="paragraph" w:customStyle="1" w:styleId="863">
    <w:name w:val="正文8"/>
    <w:basedOn w:val="1"/>
    <w:link w:val="862"/>
    <w:qFormat/>
    <w:uiPriority w:val="0"/>
    <w:pPr>
      <w:spacing w:line="360" w:lineRule="auto"/>
      <w:ind w:firstLine="200" w:firstLineChars="200"/>
    </w:pPr>
    <w:rPr>
      <w:rFonts w:asciiTheme="minorHAnsi" w:hAnsiTheme="minorHAnsi" w:eastAsiaTheme="minorEastAsia" w:cstheme="minorBidi"/>
      <w:sz w:val="24"/>
    </w:rPr>
  </w:style>
  <w:style w:type="character" w:customStyle="1" w:styleId="864">
    <w:name w:val="hover"/>
    <w:qFormat/>
    <w:uiPriority w:val="0"/>
    <w:rPr>
      <w:color w:val="FF3300"/>
      <w:szCs w:val="21"/>
    </w:rPr>
  </w:style>
  <w:style w:type="character" w:customStyle="1" w:styleId="865">
    <w:name w:val="hover20"/>
    <w:qFormat/>
    <w:uiPriority w:val="0"/>
    <w:rPr>
      <w:rFonts w:ascii="仿宋_GB2312" w:eastAsia="仿宋_GB2312"/>
      <w:color w:val="FF3300"/>
      <w:sz w:val="24"/>
      <w:szCs w:val="24"/>
    </w:rPr>
  </w:style>
  <w:style w:type="character" w:customStyle="1" w:styleId="866">
    <w:name w:val="zcjy"/>
    <w:qFormat/>
    <w:uiPriority w:val="0"/>
    <w:rPr>
      <w:rFonts w:ascii="仿宋_GB2312" w:eastAsia="仿宋_GB2312"/>
      <w:sz w:val="24"/>
      <w:szCs w:val="24"/>
      <w:shd w:val="clear" w:color="auto" w:fill="266EB4"/>
    </w:rPr>
  </w:style>
  <w:style w:type="character" w:customStyle="1" w:styleId="867">
    <w:name w:val="BT Char"/>
    <w:link w:val="868"/>
    <w:qFormat/>
    <w:uiPriority w:val="0"/>
    <w:rPr>
      <w:b/>
      <w:sz w:val="24"/>
    </w:rPr>
  </w:style>
  <w:style w:type="paragraph" w:customStyle="1" w:styleId="868">
    <w:name w:val="BT"/>
    <w:basedOn w:val="1"/>
    <w:link w:val="867"/>
    <w:qFormat/>
    <w:uiPriority w:val="0"/>
    <w:pPr>
      <w:adjustRightInd w:val="0"/>
      <w:snapToGrid w:val="0"/>
      <w:jc w:val="center"/>
    </w:pPr>
    <w:rPr>
      <w:rFonts w:asciiTheme="minorHAnsi" w:hAnsiTheme="minorHAnsi" w:eastAsiaTheme="minorEastAsia" w:cstheme="minorBidi"/>
      <w:b/>
      <w:sz w:val="24"/>
      <w:szCs w:val="22"/>
    </w:rPr>
  </w:style>
  <w:style w:type="character" w:customStyle="1" w:styleId="869">
    <w:name w:val="小标题 Char"/>
    <w:link w:val="870"/>
    <w:qFormat/>
    <w:locked/>
    <w:uiPriority w:val="0"/>
    <w:rPr>
      <w:rFonts w:ascii="Arial" w:hAnsi="宋体" w:cs="Arial"/>
      <w:b/>
      <w:sz w:val="24"/>
    </w:rPr>
  </w:style>
  <w:style w:type="paragraph" w:customStyle="1" w:styleId="870">
    <w:name w:val="小标题"/>
    <w:basedOn w:val="1"/>
    <w:next w:val="1"/>
    <w:link w:val="869"/>
    <w:qFormat/>
    <w:uiPriority w:val="0"/>
    <w:pPr>
      <w:spacing w:before="120" w:after="120"/>
      <w:ind w:left="425"/>
    </w:pPr>
    <w:rPr>
      <w:rFonts w:ascii="Arial" w:hAnsi="宋体" w:cs="Arial" w:eastAsiaTheme="minorEastAsia"/>
      <w:b/>
      <w:sz w:val="24"/>
      <w:szCs w:val="22"/>
    </w:rPr>
  </w:style>
  <w:style w:type="character" w:customStyle="1" w:styleId="871">
    <w:name w:val="正文文本 + 间距 0 pt"/>
    <w:qFormat/>
    <w:uiPriority w:val="0"/>
    <w:rPr>
      <w:rFonts w:ascii="宋体" w:hAnsi="宋体" w:cs="宋体"/>
      <w:spacing w:val="10"/>
      <w:sz w:val="22"/>
      <w:szCs w:val="22"/>
      <w:u w:val="none"/>
    </w:rPr>
  </w:style>
  <w:style w:type="character" w:customStyle="1" w:styleId="872">
    <w:name w:val="hover2"/>
    <w:qFormat/>
    <w:uiPriority w:val="0"/>
    <w:rPr>
      <w:rFonts w:ascii="仿宋_GB2312" w:eastAsia="仿宋_GB2312"/>
      <w:color w:val="FF3300"/>
      <w:sz w:val="24"/>
      <w:szCs w:val="24"/>
    </w:rPr>
  </w:style>
  <w:style w:type="character" w:customStyle="1" w:styleId="873">
    <w:name w:val="ydx"/>
    <w:qFormat/>
    <w:uiPriority w:val="0"/>
    <w:rPr>
      <w:rFonts w:ascii="仿宋_GB2312" w:eastAsia="仿宋_GB2312"/>
      <w:sz w:val="24"/>
      <w:szCs w:val="24"/>
      <w:shd w:val="clear" w:color="auto" w:fill="CC6600"/>
    </w:rPr>
  </w:style>
  <w:style w:type="character" w:customStyle="1" w:styleId="874">
    <w:name w:val="报告文本 Char"/>
    <w:link w:val="875"/>
    <w:qFormat/>
    <w:uiPriority w:val="0"/>
    <w:rPr>
      <w:sz w:val="24"/>
    </w:rPr>
  </w:style>
  <w:style w:type="paragraph" w:customStyle="1" w:styleId="875">
    <w:name w:val="报告文本"/>
    <w:link w:val="874"/>
    <w:qFormat/>
    <w:uiPriority w:val="0"/>
    <w:pPr>
      <w:widowControl w:val="0"/>
      <w:spacing w:line="360" w:lineRule="auto"/>
      <w:ind w:firstLine="200" w:firstLineChars="200"/>
      <w:jc w:val="both"/>
    </w:pPr>
    <w:rPr>
      <w:rFonts w:asciiTheme="minorHAnsi" w:hAnsiTheme="minorHAnsi" w:eastAsiaTheme="minorEastAsia" w:cstheme="minorBidi"/>
      <w:kern w:val="2"/>
      <w:sz w:val="24"/>
      <w:szCs w:val="22"/>
      <w:lang w:val="en-US" w:eastAsia="zh-CN" w:bidi="ar-SA"/>
    </w:rPr>
  </w:style>
  <w:style w:type="paragraph" w:customStyle="1" w:styleId="876">
    <w:name w:val="标准书脚_偶数页"/>
    <w:qFormat/>
    <w:uiPriority w:val="0"/>
    <w:pPr>
      <w:spacing w:before="120"/>
      <w:ind w:left="221"/>
    </w:pPr>
    <w:rPr>
      <w:rFonts w:ascii="宋体" w:hAnsi="Times New Roman" w:eastAsia="宋体" w:cs="Times New Roman"/>
      <w:sz w:val="18"/>
      <w:szCs w:val="18"/>
      <w:lang w:val="en-US" w:eastAsia="zh-CN" w:bidi="ar-SA"/>
    </w:rPr>
  </w:style>
  <w:style w:type="paragraph" w:customStyle="1" w:styleId="877">
    <w:name w:val="正文内容"/>
    <w:basedOn w:val="1"/>
    <w:qFormat/>
    <w:uiPriority w:val="0"/>
    <w:pPr>
      <w:ind w:firstLine="200" w:firstLineChars="200"/>
    </w:pPr>
    <w:rPr>
      <w:sz w:val="24"/>
    </w:rPr>
  </w:style>
  <w:style w:type="paragraph" w:customStyle="1" w:styleId="878">
    <w:name w:val="Char Char3 Char Char Char Char Char2 Char Char Char Char"/>
    <w:basedOn w:val="39"/>
    <w:qFormat/>
    <w:uiPriority w:val="0"/>
    <w:pPr>
      <w:shd w:val="clear" w:color="auto" w:fill="000080"/>
      <w:adjustRightInd w:val="0"/>
      <w:snapToGrid w:val="0"/>
      <w:spacing w:line="360" w:lineRule="auto"/>
    </w:pPr>
    <w:rPr>
      <w:rFonts w:ascii="Tahoma" w:hAnsi="Tahoma" w:eastAsia="仿宋_GB2312"/>
      <w:sz w:val="28"/>
      <w:szCs w:val="24"/>
      <w:lang w:eastAsia="zh-CN"/>
    </w:rPr>
  </w:style>
  <w:style w:type="paragraph" w:customStyle="1" w:styleId="879">
    <w:name w:val="z-窗体底端1"/>
    <w:basedOn w:val="1"/>
    <w:next w:val="1"/>
    <w:qFormat/>
    <w:uiPriority w:val="0"/>
    <w:pPr>
      <w:pBdr>
        <w:top w:val="single" w:color="auto" w:sz="6" w:space="1"/>
      </w:pBdr>
      <w:jc w:val="center"/>
    </w:pPr>
    <w:rPr>
      <w:rFonts w:ascii="Arial"/>
      <w:vanish/>
      <w:sz w:val="16"/>
    </w:rPr>
  </w:style>
  <w:style w:type="paragraph" w:customStyle="1" w:styleId="880">
    <w:name w:val="封面标准号2"/>
    <w:qFormat/>
    <w:uiPriority w:val="0"/>
    <w:pPr>
      <w:framePr w:w="9140" w:h="1242" w:hRule="exact" w:hSpace="284" w:wrap="around" w:vAnchor="page" w:hAnchor="page" w:x="1646" w:y="2911" w:anchorLock="1"/>
      <w:spacing w:before="357" w:line="280" w:lineRule="exact"/>
      <w:jc w:val="right"/>
    </w:pPr>
    <w:rPr>
      <w:rFonts w:ascii="黑体" w:hAnsi="Times New Roman" w:eastAsia="黑体" w:cs="Times New Roman"/>
      <w:sz w:val="28"/>
      <w:szCs w:val="28"/>
      <w:lang w:val="en-US" w:eastAsia="zh-CN" w:bidi="ar-SA"/>
    </w:rPr>
  </w:style>
  <w:style w:type="paragraph" w:customStyle="1" w:styleId="881">
    <w:name w:val="标准书眉_偶数页"/>
    <w:basedOn w:val="882"/>
    <w:next w:val="1"/>
    <w:qFormat/>
    <w:uiPriority w:val="0"/>
    <w:pPr>
      <w:tabs>
        <w:tab w:val="center" w:pos="4154"/>
        <w:tab w:val="right" w:pos="8306"/>
      </w:tabs>
      <w:jc w:val="left"/>
    </w:pPr>
  </w:style>
  <w:style w:type="paragraph" w:customStyle="1" w:styleId="882">
    <w:name w:val="标准书眉_奇数页"/>
    <w:next w:val="1"/>
    <w:qFormat/>
    <w:uiPriority w:val="0"/>
    <w:pPr>
      <w:tabs>
        <w:tab w:val="center" w:pos="4154"/>
        <w:tab w:val="right" w:pos="8306"/>
      </w:tabs>
      <w:spacing w:after="220"/>
      <w:jc w:val="right"/>
    </w:pPr>
    <w:rPr>
      <w:rFonts w:ascii="黑体" w:hAnsi="Times New Roman" w:eastAsia="黑体" w:cs="Times New Roman"/>
      <w:sz w:val="21"/>
      <w:szCs w:val="21"/>
      <w:lang w:val="en-US" w:eastAsia="zh-CN" w:bidi="ar-SA"/>
    </w:rPr>
  </w:style>
  <w:style w:type="paragraph" w:customStyle="1" w:styleId="883">
    <w:name w:val="Char Char Char Char Char Char Char Char Char1"/>
    <w:basedOn w:val="1"/>
    <w:qFormat/>
    <w:uiPriority w:val="0"/>
    <w:pPr>
      <w:widowControl/>
      <w:spacing w:after="160" w:line="240" w:lineRule="exact"/>
      <w:jc w:val="left"/>
    </w:pPr>
  </w:style>
  <w:style w:type="paragraph" w:customStyle="1" w:styleId="884">
    <w:name w:val="Char4"/>
    <w:basedOn w:val="1"/>
    <w:qFormat/>
    <w:uiPriority w:val="0"/>
    <w:rPr>
      <w:sz w:val="24"/>
    </w:rPr>
  </w:style>
  <w:style w:type="paragraph" w:customStyle="1" w:styleId="885">
    <w:name w:val="报告表 段"/>
    <w:basedOn w:val="1"/>
    <w:qFormat/>
    <w:uiPriority w:val="0"/>
    <w:pPr>
      <w:spacing w:line="360" w:lineRule="auto"/>
      <w:ind w:firstLine="470" w:firstLineChars="196"/>
    </w:pPr>
    <w:rPr>
      <w:rFonts w:ascii="宋体" w:hAnsi="宋体"/>
      <w:bCs/>
      <w:sz w:val="24"/>
    </w:rPr>
  </w:style>
  <w:style w:type="paragraph" w:customStyle="1" w:styleId="886">
    <w:name w:val="样式 样式 (中文) 仿宋_GB2312 居中1 + 小四"/>
    <w:basedOn w:val="1"/>
    <w:qFormat/>
    <w:uiPriority w:val="0"/>
    <w:pPr>
      <w:adjustRightInd w:val="0"/>
      <w:snapToGrid w:val="0"/>
      <w:jc w:val="center"/>
    </w:pPr>
    <w:rPr>
      <w:rFonts w:ascii="宋体" w:hAnsi="宋体"/>
    </w:rPr>
  </w:style>
  <w:style w:type="paragraph" w:customStyle="1" w:styleId="887">
    <w:name w:val="样式 方正仿宋_GBK 三号 加粗 黑色 居中 行距: 固定值 26 磅"/>
    <w:basedOn w:val="1"/>
    <w:qFormat/>
    <w:uiPriority w:val="0"/>
    <w:pPr>
      <w:adjustRightInd w:val="0"/>
      <w:snapToGrid w:val="0"/>
      <w:spacing w:before="156" w:beforeLines="50" w:line="360" w:lineRule="auto"/>
      <w:jc w:val="center"/>
    </w:pPr>
    <w:rPr>
      <w:rFonts w:hAnsi="方正仿宋_GBK"/>
      <w:b/>
      <w:bCs/>
      <w:sz w:val="24"/>
    </w:rPr>
  </w:style>
  <w:style w:type="paragraph" w:customStyle="1" w:styleId="888">
    <w:name w:val="报告书正文"/>
    <w:basedOn w:val="98"/>
    <w:qFormat/>
    <w:uiPriority w:val="0"/>
    <w:pPr>
      <w:adjustRightInd/>
      <w:spacing w:after="0"/>
      <w:ind w:firstLine="200" w:firstLineChars="200"/>
      <w:textAlignment w:val="auto"/>
    </w:pPr>
    <w:rPr>
      <w:rFonts w:eastAsia="宋体"/>
      <w:kern w:val="0"/>
      <w:szCs w:val="24"/>
    </w:rPr>
  </w:style>
  <w:style w:type="paragraph" w:customStyle="1" w:styleId="889">
    <w:name w:val="提头"/>
    <w:basedOn w:val="1"/>
    <w:next w:val="1"/>
    <w:qFormat/>
    <w:uiPriority w:val="0"/>
    <w:pPr>
      <w:tabs>
        <w:tab w:val="left" w:pos="227"/>
      </w:tabs>
      <w:adjustRightInd w:val="0"/>
      <w:snapToGrid w:val="0"/>
      <w:spacing w:before="50" w:beforeLines="50"/>
      <w:jc w:val="center"/>
    </w:pPr>
    <w:rPr>
      <w:b/>
      <w:sz w:val="24"/>
    </w:rPr>
  </w:style>
  <w:style w:type="paragraph" w:customStyle="1" w:styleId="890">
    <w:name w:val="罗-表格"/>
    <w:basedOn w:val="1"/>
    <w:unhideWhenUsed/>
    <w:qFormat/>
    <w:uiPriority w:val="99"/>
    <w:pPr>
      <w:jc w:val="center"/>
    </w:pPr>
  </w:style>
  <w:style w:type="paragraph" w:customStyle="1" w:styleId="891">
    <w:name w:val="新表项"/>
    <w:basedOn w:val="1"/>
    <w:qFormat/>
    <w:uiPriority w:val="0"/>
    <w:pPr>
      <w:adjustRightInd w:val="0"/>
      <w:spacing w:before="60" w:line="336" w:lineRule="auto"/>
      <w:ind w:firstLine="505"/>
      <w:textAlignment w:val="baseline"/>
    </w:pPr>
    <w:rPr>
      <w:rFonts w:ascii="宋体"/>
      <w:sz w:val="24"/>
    </w:rPr>
  </w:style>
  <w:style w:type="paragraph" w:customStyle="1" w:styleId="892">
    <w:name w:val="BG"/>
    <w:basedOn w:val="1"/>
    <w:unhideWhenUsed/>
    <w:qFormat/>
    <w:uiPriority w:val="99"/>
    <w:pPr>
      <w:snapToGrid w:val="0"/>
      <w:jc w:val="center"/>
    </w:pPr>
  </w:style>
  <w:style w:type="paragraph" w:customStyle="1" w:styleId="893">
    <w:name w:val="正文3"/>
    <w:basedOn w:val="1"/>
    <w:qFormat/>
    <w:uiPriority w:val="0"/>
    <w:pPr>
      <w:adjustRightInd w:val="0"/>
      <w:snapToGrid w:val="0"/>
      <w:spacing w:line="360" w:lineRule="auto"/>
      <w:ind w:firstLine="600" w:firstLineChars="200"/>
    </w:pPr>
    <w:rPr>
      <w:rFonts w:ascii="Calibri" w:hAnsi="Calibri"/>
      <w:sz w:val="24"/>
      <w:szCs w:val="22"/>
    </w:rPr>
  </w:style>
  <w:style w:type="paragraph" w:customStyle="1" w:styleId="894">
    <w:name w:val="z-窗体顶端1"/>
    <w:basedOn w:val="1"/>
    <w:next w:val="1"/>
    <w:qFormat/>
    <w:uiPriority w:val="0"/>
    <w:pPr>
      <w:pBdr>
        <w:bottom w:val="single" w:color="auto" w:sz="6" w:space="1"/>
      </w:pBdr>
      <w:jc w:val="center"/>
    </w:pPr>
    <w:rPr>
      <w:rFonts w:ascii="Arial"/>
      <w:vanish/>
      <w:sz w:val="16"/>
    </w:rPr>
  </w:style>
  <w:style w:type="paragraph" w:customStyle="1" w:styleId="895">
    <w:name w:val="样式 小四 行距: 1.5 倍行距"/>
    <w:basedOn w:val="1"/>
    <w:qFormat/>
    <w:uiPriority w:val="0"/>
    <w:pPr>
      <w:ind w:firstLine="480" w:firstLineChars="200"/>
    </w:pPr>
    <w:rPr>
      <w:rFonts w:cs="宋体"/>
    </w:rPr>
  </w:style>
  <w:style w:type="paragraph" w:customStyle="1" w:styleId="896">
    <w:name w:val="正文文本1"/>
    <w:basedOn w:val="1"/>
    <w:qFormat/>
    <w:uiPriority w:val="0"/>
    <w:pPr>
      <w:spacing w:line="360" w:lineRule="auto"/>
      <w:ind w:firstLine="480"/>
    </w:pPr>
    <w:rPr>
      <w:rFonts w:ascii="Arial" w:hAnsi="Arial" w:cs="Arial"/>
      <w:color w:val="000000"/>
      <w:kern w:val="1"/>
      <w:sz w:val="24"/>
    </w:rPr>
  </w:style>
  <w:style w:type="paragraph" w:customStyle="1" w:styleId="897">
    <w:name w:val="报告正文0"/>
    <w:basedOn w:val="1"/>
    <w:qFormat/>
    <w:uiPriority w:val="0"/>
    <w:pPr>
      <w:spacing w:line="360" w:lineRule="auto"/>
      <w:ind w:firstLine="480" w:firstLineChars="200"/>
    </w:pPr>
    <w:rPr>
      <w:rFonts w:cs="宋体"/>
      <w:sz w:val="24"/>
    </w:rPr>
  </w:style>
  <w:style w:type="paragraph" w:customStyle="1" w:styleId="898">
    <w:name w:val="真宗兴正文"/>
    <w:basedOn w:val="213"/>
    <w:qFormat/>
    <w:uiPriority w:val="0"/>
    <w:pPr>
      <w:snapToGrid w:val="0"/>
      <w:spacing w:before="93" w:beforeLines="0" w:after="93" w:afterLines="0" w:line="360" w:lineRule="auto"/>
      <w:ind w:firstLine="480"/>
    </w:pPr>
  </w:style>
  <w:style w:type="paragraph" w:customStyle="1" w:styleId="899">
    <w:name w:val="样式 四号 黑色 行距: 1.5 倍行距 首行缩进:  2 字符"/>
    <w:basedOn w:val="1"/>
    <w:qFormat/>
    <w:uiPriority w:val="0"/>
    <w:pPr>
      <w:spacing w:line="360" w:lineRule="auto"/>
      <w:ind w:firstLine="560" w:firstLineChars="200"/>
    </w:pPr>
    <w:rPr>
      <w:rFonts w:eastAsia="仿宋_GB2312" w:cs="宋体"/>
      <w:color w:val="000000"/>
      <w:sz w:val="28"/>
    </w:rPr>
  </w:style>
  <w:style w:type="paragraph" w:customStyle="1" w:styleId="900">
    <w:name w:val="正文正本 + 宋体"/>
    <w:basedOn w:val="1"/>
    <w:qFormat/>
    <w:uiPriority w:val="0"/>
    <w:pPr>
      <w:widowControl/>
      <w:spacing w:line="360" w:lineRule="auto"/>
      <w:ind w:firstLine="510"/>
      <w:jc w:val="left"/>
    </w:pPr>
    <w:rPr>
      <w:rFonts w:ascii="宋体" w:hAnsi="宋体" w:eastAsia="Times New Roman"/>
      <w:sz w:val="24"/>
    </w:rPr>
  </w:style>
  <w:style w:type="paragraph" w:customStyle="1" w:styleId="901">
    <w:name w:val="style1"/>
    <w:basedOn w:val="1"/>
    <w:qFormat/>
    <w:uiPriority w:val="0"/>
    <w:pPr>
      <w:jc w:val="left"/>
    </w:pPr>
    <w:rPr>
      <w:rFonts w:ascii="宋体" w:hAnsi="宋体" w:cs="宋体"/>
      <w:b/>
      <w:sz w:val="28"/>
      <w:szCs w:val="28"/>
    </w:rPr>
  </w:style>
  <w:style w:type="paragraph" w:customStyle="1" w:styleId="902">
    <w:name w:val="小四 间距1.5 缩进2"/>
    <w:basedOn w:val="1"/>
    <w:qFormat/>
    <w:uiPriority w:val="0"/>
    <w:pPr>
      <w:spacing w:line="360" w:lineRule="auto"/>
      <w:ind w:firstLine="415" w:firstLineChars="173"/>
    </w:pPr>
    <w:rPr>
      <w:sz w:val="24"/>
    </w:rPr>
  </w:style>
  <w:style w:type="paragraph" w:customStyle="1" w:styleId="903">
    <w:name w:val="样式 方正仿宋_GBK 三号 行距: 固定值 28 磅"/>
    <w:basedOn w:val="1"/>
    <w:qFormat/>
    <w:uiPriority w:val="0"/>
    <w:pPr>
      <w:spacing w:line="360" w:lineRule="auto"/>
      <w:ind w:firstLine="200" w:firstLineChars="200"/>
      <w:jc w:val="left"/>
    </w:pPr>
    <w:rPr>
      <w:rFonts w:ascii="方正仿宋_GBK" w:hAnsi="方正仿宋_GBK" w:cs="宋体"/>
      <w:sz w:val="28"/>
    </w:rPr>
  </w:style>
  <w:style w:type="paragraph" w:customStyle="1" w:styleId="904">
    <w:name w:val="样式正文"/>
    <w:basedOn w:val="1"/>
    <w:qFormat/>
    <w:uiPriority w:val="0"/>
    <w:pPr>
      <w:snapToGrid w:val="0"/>
      <w:spacing w:line="300" w:lineRule="auto"/>
      <w:ind w:firstLine="480" w:firstLineChars="200"/>
    </w:pPr>
    <w:rPr>
      <w:rFonts w:ascii="仿宋" w:hAnsi="仿宋" w:eastAsia="仿宋"/>
      <w:sz w:val="28"/>
      <w:lang w:val="zh-CN"/>
    </w:rPr>
  </w:style>
  <w:style w:type="paragraph" w:customStyle="1" w:styleId="905">
    <w:name w:val="金光华文本正文"/>
    <w:basedOn w:val="1"/>
    <w:qFormat/>
    <w:uiPriority w:val="0"/>
    <w:pPr>
      <w:widowControl/>
      <w:tabs>
        <w:tab w:val="left" w:pos="6840"/>
      </w:tabs>
      <w:spacing w:line="360" w:lineRule="auto"/>
      <w:ind w:firstLine="510"/>
      <w:jc w:val="left"/>
    </w:pPr>
    <w:rPr>
      <w:rFonts w:ascii="宋体" w:hAnsi="宋体"/>
      <w:sz w:val="24"/>
    </w:rPr>
  </w:style>
  <w:style w:type="paragraph" w:customStyle="1" w:styleId="906">
    <w:name w:val="_Style 7"/>
    <w:basedOn w:val="1"/>
    <w:qFormat/>
    <w:uiPriority w:val="0"/>
  </w:style>
  <w:style w:type="paragraph" w:customStyle="1" w:styleId="907">
    <w:name w:val="样式 (中文) 仿宋_GB2312 四号 黑色 行距: 1.5 倍行距"/>
    <w:basedOn w:val="1"/>
    <w:qFormat/>
    <w:uiPriority w:val="0"/>
    <w:pPr>
      <w:spacing w:line="360" w:lineRule="auto"/>
      <w:ind w:firstLine="200" w:firstLineChars="200"/>
    </w:pPr>
    <w:rPr>
      <w:rFonts w:eastAsia="仿宋_GB2312"/>
      <w:color w:val="000000"/>
      <w:sz w:val="24"/>
    </w:rPr>
  </w:style>
  <w:style w:type="paragraph" w:customStyle="1" w:styleId="908">
    <w:name w:val="wlh表头及图尾深圳环评（新）"/>
    <w:qFormat/>
    <w:uiPriority w:val="0"/>
    <w:pPr>
      <w:tabs>
        <w:tab w:val="center" w:pos="4200"/>
        <w:tab w:val="right" w:pos="8400"/>
      </w:tabs>
      <w:adjustRightInd w:val="0"/>
      <w:snapToGrid w:val="0"/>
      <w:spacing w:line="360" w:lineRule="auto"/>
      <w:jc w:val="center"/>
    </w:pPr>
    <w:rPr>
      <w:rFonts w:ascii="Times New Roman" w:hAnsi="Times New Roman" w:eastAsia="黑体" w:cs="Times New Roman"/>
      <w:snapToGrid w:val="0"/>
      <w:sz w:val="21"/>
      <w:szCs w:val="21"/>
      <w:lang w:val="en-US" w:eastAsia="zh-CN" w:bidi="ar-SA"/>
    </w:rPr>
  </w:style>
  <w:style w:type="paragraph" w:customStyle="1" w:styleId="909">
    <w:name w:val="Lux 正文"/>
    <w:basedOn w:val="1"/>
    <w:qFormat/>
    <w:uiPriority w:val="0"/>
    <w:pPr>
      <w:spacing w:before="80" w:after="80" w:line="360" w:lineRule="auto"/>
      <w:ind w:firstLine="200" w:firstLineChars="200"/>
    </w:pPr>
    <w:rPr>
      <w:sz w:val="24"/>
    </w:rPr>
  </w:style>
  <w:style w:type="paragraph" w:customStyle="1" w:styleId="910">
    <w:name w:val="列出段落2"/>
    <w:basedOn w:val="1"/>
    <w:qFormat/>
    <w:uiPriority w:val="34"/>
    <w:pPr>
      <w:ind w:firstLine="420" w:firstLineChars="200"/>
    </w:pPr>
  </w:style>
  <w:style w:type="paragraph" w:customStyle="1" w:styleId="911">
    <w:name w:val="6"/>
    <w:basedOn w:val="1"/>
    <w:qFormat/>
    <w:uiPriority w:val="61"/>
  </w:style>
  <w:style w:type="table" w:customStyle="1" w:styleId="912">
    <w:name w:val="2"/>
    <w:basedOn w:val="100"/>
    <w:qFormat/>
    <w:uiPriority w:val="99"/>
    <w:pPr>
      <w:jc w:val="center"/>
    </w:pPr>
    <w:rPr>
      <w:rFonts w:eastAsia="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tcPr>
      <w:shd w:val="clear" w:color="auto" w:fill="auto"/>
      <w:vAlign w:val="center"/>
    </w:tcPr>
    <w:tblStylePr w:type="firstCol">
      <w:rPr>
        <w:rFonts w:eastAsia="Times New Roman"/>
        <w:sz w:val="21"/>
      </w:rPr>
    </w:tblStylePr>
  </w:style>
  <w:style w:type="table" w:customStyle="1" w:styleId="913">
    <w:name w:val="浅色列表1"/>
    <w:basedOn w:val="100"/>
    <w:qFormat/>
    <w:uiPriority w:val="61"/>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cPr>
        <w:shd w:val="clear" w:color="auto" w:fill="000000"/>
      </w:tcPr>
    </w:tblStylePr>
    <w:tblStylePr w:type="lastRow">
      <w:pPr>
        <w:spacing w:before="0" w:after="0" w:line="240" w:lineRule="auto"/>
      </w:pPr>
      <w:rPr>
        <w:b/>
        <w:bCs/>
      </w:rPr>
      <w:tcPr>
        <w:tcBorders>
          <w:top w:val="double" w:color="000000" w:sz="6" w:space="0"/>
          <w:left w:val="single" w:color="000000" w:sz="8" w:space="0"/>
          <w:bottom w:val="single" w:color="000000" w:sz="8" w:space="0"/>
          <w:right w:val="single" w:color="000000" w:sz="8" w:space="0"/>
          <w:insideH w:val="nil"/>
          <w:insideV w:val="nil"/>
          <w:tl2br w:val="nil"/>
          <w:tr2bl w:val="nil"/>
        </w:tcBorders>
      </w:tcPr>
    </w:tblStylePr>
    <w:tblStylePr w:type="firstCol">
      <w:rPr>
        <w:b/>
        <w:bCs/>
      </w:rPr>
    </w:tblStylePr>
    <w:tblStylePr w:type="lastCol">
      <w:rPr>
        <w:b/>
        <w:bCs/>
      </w:rPr>
    </w:tblStylePr>
    <w:tblStylePr w:type="band1Vert">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tblStylePr w:type="band1Horz">
      <w:tcPr>
        <w:tcBorders>
          <w:top w:val="single" w:color="000000" w:sz="8" w:space="0"/>
          <w:left w:val="single" w:color="000000" w:sz="8" w:space="0"/>
          <w:bottom w:val="single" w:color="000000" w:sz="8" w:space="0"/>
          <w:right w:val="single" w:color="000000" w:sz="8" w:space="0"/>
          <w:insideH w:val="nil"/>
          <w:insideV w:val="nil"/>
          <w:tl2br w:val="nil"/>
          <w:tr2bl w:val="nil"/>
        </w:tcBorders>
      </w:tcPr>
    </w:tblStylePr>
  </w:style>
  <w:style w:type="paragraph" w:customStyle="1" w:styleId="914">
    <w:name w:val="C表格正文"/>
    <w:basedOn w:val="1"/>
    <w:qFormat/>
    <w:uiPriority w:val="99"/>
    <w:pPr>
      <w:tabs>
        <w:tab w:val="left" w:pos="1081"/>
      </w:tabs>
      <w:adjustRightInd w:val="0"/>
      <w:spacing w:line="320" w:lineRule="exact"/>
      <w:jc w:val="center"/>
      <w:textAlignment w:val="baseline"/>
    </w:pPr>
  </w:style>
  <w:style w:type="character" w:customStyle="1" w:styleId="915">
    <w:name w:val="正文文本首行缩进 字符"/>
    <w:qFormat/>
    <w:uiPriority w:val="99"/>
    <w:rPr>
      <w:rFonts w:eastAsia="Times New Roman"/>
      <w:kern w:val="2"/>
      <w:sz w:val="24"/>
      <w:szCs w:val="22"/>
    </w:rPr>
  </w:style>
  <w:style w:type="character" w:customStyle="1" w:styleId="916">
    <w:name w:val="正文缩进 字符"/>
    <w:qFormat/>
    <w:uiPriority w:val="0"/>
    <w:rPr>
      <w:rFonts w:ascii="Times New Roman" w:hAnsi="Times New Roman"/>
      <w:kern w:val="2"/>
      <w:sz w:val="21"/>
    </w:rPr>
  </w:style>
  <w:style w:type="character" w:customStyle="1" w:styleId="917">
    <w:name w:val="引用 字符1"/>
    <w:qFormat/>
    <w:uiPriority w:val="29"/>
    <w:rPr>
      <w:i/>
      <w:iCs/>
      <w:color w:val="404040"/>
      <w:kern w:val="2"/>
      <w:sz w:val="24"/>
      <w:szCs w:val="22"/>
    </w:rPr>
  </w:style>
  <w:style w:type="character" w:customStyle="1" w:styleId="918">
    <w:name w:val="标题 字符1"/>
    <w:qFormat/>
    <w:uiPriority w:val="0"/>
    <w:rPr>
      <w:rFonts w:ascii="等线 Light" w:hAnsi="等线 Light" w:eastAsia="等线 Light" w:cs="Times New Roman"/>
      <w:b/>
      <w:bCs/>
      <w:kern w:val="2"/>
      <w:sz w:val="32"/>
      <w:szCs w:val="32"/>
    </w:rPr>
  </w:style>
  <w:style w:type="character" w:customStyle="1" w:styleId="919">
    <w:name w:val="正文文本首行缩进 2 字符"/>
    <w:link w:val="920"/>
    <w:qFormat/>
    <w:uiPriority w:val="99"/>
    <w:rPr>
      <w:sz w:val="24"/>
    </w:rPr>
  </w:style>
  <w:style w:type="paragraph" w:customStyle="1" w:styleId="920">
    <w:name w:val="3"/>
    <w:basedOn w:val="1"/>
    <w:next w:val="545"/>
    <w:link w:val="919"/>
    <w:qFormat/>
    <w:uiPriority w:val="99"/>
    <w:pPr>
      <w:ind w:firstLine="420" w:firstLineChars="200"/>
    </w:pPr>
    <w:rPr>
      <w:rFonts w:asciiTheme="minorHAnsi" w:hAnsiTheme="minorHAnsi" w:eastAsiaTheme="minorEastAsia" w:cstheme="minorBidi"/>
      <w:sz w:val="24"/>
      <w:szCs w:val="22"/>
    </w:rPr>
  </w:style>
  <w:style w:type="character" w:customStyle="1" w:styleId="921">
    <w:name w:val="明显引用 字符1"/>
    <w:qFormat/>
    <w:uiPriority w:val="30"/>
    <w:rPr>
      <w:i/>
      <w:iCs/>
      <w:color w:val="4472C4"/>
      <w:kern w:val="2"/>
      <w:sz w:val="24"/>
      <w:szCs w:val="22"/>
    </w:rPr>
  </w:style>
  <w:style w:type="character" w:customStyle="1" w:styleId="922">
    <w:name w:val="副标题 字符1"/>
    <w:qFormat/>
    <w:uiPriority w:val="11"/>
    <w:rPr>
      <w:rFonts w:ascii="等线 Light" w:hAnsi="等线 Light" w:cs="Times New Roman"/>
      <w:b/>
      <w:bCs/>
      <w:kern w:val="28"/>
      <w:sz w:val="32"/>
      <w:szCs w:val="32"/>
    </w:rPr>
  </w:style>
  <w:style w:type="paragraph" w:customStyle="1" w:styleId="923">
    <w:name w:val="WPSOffice手动目录 2"/>
    <w:qFormat/>
    <w:uiPriority w:val="0"/>
    <w:pPr>
      <w:ind w:left="200" w:leftChars="200"/>
    </w:pPr>
    <w:rPr>
      <w:rFonts w:ascii="Times New Roman" w:hAnsi="Times New Roman" w:eastAsia="宋体" w:cs="Times New Roman"/>
      <w:lang w:val="en-US" w:eastAsia="zh-CN" w:bidi="ar-SA"/>
    </w:rPr>
  </w:style>
  <w:style w:type="paragraph" w:customStyle="1" w:styleId="924">
    <w:name w:val="C表格标题"/>
    <w:basedOn w:val="1"/>
    <w:qFormat/>
    <w:uiPriority w:val="0"/>
    <w:pPr>
      <w:numPr>
        <w:ilvl w:val="0"/>
        <w:numId w:val="11"/>
      </w:numPr>
      <w:tabs>
        <w:tab w:val="left" w:pos="240"/>
        <w:tab w:val="left" w:pos="480"/>
      </w:tabs>
      <w:adjustRightInd w:val="0"/>
      <w:spacing w:line="360" w:lineRule="auto"/>
      <w:ind w:left="369" w:hanging="369"/>
      <w:jc w:val="center"/>
    </w:pPr>
    <w:rPr>
      <w:rFonts w:eastAsia="Times New Roman"/>
      <w:b/>
      <w:color w:val="000000"/>
      <w:szCs w:val="22"/>
    </w:rPr>
  </w:style>
  <w:style w:type="paragraph" w:customStyle="1" w:styleId="925">
    <w:name w:val="正文（小四）"/>
    <w:qFormat/>
    <w:uiPriority w:val="0"/>
    <w:pPr>
      <w:spacing w:line="360" w:lineRule="auto"/>
      <w:ind w:firstLine="200" w:firstLineChars="200"/>
      <w:jc w:val="both"/>
    </w:pPr>
    <w:rPr>
      <w:rFonts w:ascii="Times New Roman" w:hAnsi="Times New Roman" w:eastAsia="宋体" w:cs="Times New Roman"/>
      <w:bCs/>
      <w:kern w:val="2"/>
      <w:sz w:val="24"/>
      <w:szCs w:val="32"/>
      <w:lang w:val="en-US" w:eastAsia="zh-CN" w:bidi="ar-SA"/>
    </w:rPr>
  </w:style>
  <w:style w:type="paragraph" w:customStyle="1" w:styleId="926">
    <w:name w:val="WPSOffice手动目录 1"/>
    <w:qFormat/>
    <w:uiPriority w:val="0"/>
    <w:rPr>
      <w:rFonts w:ascii="Times New Roman" w:hAnsi="Times New Roman" w:eastAsia="宋体" w:cs="Times New Roman"/>
      <w:lang w:val="en-US" w:eastAsia="zh-CN" w:bidi="ar-SA"/>
    </w:rPr>
  </w:style>
  <w:style w:type="paragraph" w:customStyle="1" w:styleId="927">
    <w:name w:val="文本"/>
    <w:qFormat/>
    <w:uiPriority w:val="0"/>
    <w:pPr>
      <w:ind w:firstLine="480"/>
    </w:pPr>
    <w:rPr>
      <w:rFonts w:ascii="Times New Roman" w:hAnsi="Times New Roman" w:eastAsia="宋体" w:cs="宋体"/>
      <w:lang w:val="en-US" w:eastAsia="zh-CN" w:bidi="ar-SA"/>
    </w:rPr>
  </w:style>
  <w:style w:type="paragraph" w:customStyle="1" w:styleId="928">
    <w:name w:val="表格表头"/>
    <w:basedOn w:val="1"/>
    <w:qFormat/>
    <w:uiPriority w:val="0"/>
    <w:pPr>
      <w:jc w:val="center"/>
    </w:pPr>
    <w:rPr>
      <w:b/>
    </w:rPr>
  </w:style>
  <w:style w:type="paragraph" w:customStyle="1" w:styleId="929">
    <w:name w:val="表格内容居中"/>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930">
    <w:name w:val="列出段落3"/>
    <w:basedOn w:val="1"/>
    <w:qFormat/>
    <w:uiPriority w:val="0"/>
    <w:pPr>
      <w:widowControl/>
      <w:ind w:firstLine="420" w:firstLineChars="200"/>
      <w:jc w:val="left"/>
    </w:pPr>
    <w:rPr>
      <w:rFonts w:cs="Calibri"/>
      <w:sz w:val="24"/>
      <w:lang w:eastAsia="en-US"/>
    </w:rPr>
  </w:style>
  <w:style w:type="paragraph" w:customStyle="1" w:styleId="931">
    <w:name w:val="Default1"/>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932">
    <w:name w:val="标题 字符2"/>
    <w:qFormat/>
    <w:uiPriority w:val="10"/>
    <w:rPr>
      <w:rFonts w:ascii="等线 Light" w:hAnsi="等线 Light" w:eastAsia="等线 Light" w:cs="Times New Roman"/>
      <w:b/>
      <w:bCs/>
      <w:kern w:val="2"/>
      <w:sz w:val="32"/>
      <w:szCs w:val="32"/>
    </w:rPr>
  </w:style>
  <w:style w:type="character" w:customStyle="1" w:styleId="933">
    <w:name w:val="副标题 字符2"/>
    <w:qFormat/>
    <w:uiPriority w:val="11"/>
    <w:rPr>
      <w:rFonts w:ascii="等线" w:hAnsi="等线" w:eastAsia="等线" w:cs="Times New Roman"/>
      <w:b/>
      <w:bCs/>
      <w:kern w:val="28"/>
      <w:sz w:val="32"/>
      <w:szCs w:val="32"/>
    </w:rPr>
  </w:style>
  <w:style w:type="character" w:customStyle="1" w:styleId="934">
    <w:name w:val="明显引用 字符2"/>
    <w:qFormat/>
    <w:uiPriority w:val="30"/>
    <w:rPr>
      <w:i/>
      <w:iCs/>
      <w:color w:val="4472C4"/>
      <w:kern w:val="2"/>
      <w:sz w:val="24"/>
      <w:szCs w:val="22"/>
    </w:rPr>
  </w:style>
  <w:style w:type="character" w:customStyle="1" w:styleId="935">
    <w:name w:val="引用 字符2"/>
    <w:qFormat/>
    <w:uiPriority w:val="29"/>
    <w:rPr>
      <w:i/>
      <w:iCs/>
      <w:color w:val="404040"/>
      <w:kern w:val="2"/>
      <w:sz w:val="24"/>
      <w:szCs w:val="22"/>
    </w:rPr>
  </w:style>
  <w:style w:type="character" w:customStyle="1" w:styleId="936">
    <w:name w:val="Table Paragraph Char"/>
    <w:link w:val="742"/>
    <w:qFormat/>
    <w:uiPriority w:val="0"/>
    <w:rPr>
      <w:rFonts w:ascii="宋体" w:hAnsi="宋体" w:eastAsia="宋体" w:cs="宋体"/>
      <w:kern w:val="0"/>
      <w:sz w:val="22"/>
      <w:lang w:val="zh-CN" w:bidi="zh-CN"/>
    </w:rPr>
  </w:style>
  <w:style w:type="paragraph" w:customStyle="1" w:styleId="937">
    <w:name w:val="廖表格内容"/>
    <w:basedOn w:val="1"/>
    <w:qFormat/>
    <w:uiPriority w:val="0"/>
    <w:pPr>
      <w:jc w:val="center"/>
    </w:pPr>
    <w:rPr>
      <w:rFonts w:ascii="Calibri" w:hAnsi="Calibri" w:eastAsia="Times New Roman"/>
    </w:rPr>
  </w:style>
  <w:style w:type="paragraph" w:customStyle="1" w:styleId="938">
    <w:name w:val="正文 首行缩进:  2 字符"/>
    <w:basedOn w:val="1"/>
    <w:qFormat/>
    <w:uiPriority w:val="0"/>
    <w:pPr>
      <w:suppressAutoHyphens/>
      <w:ind w:firstLine="579" w:firstLineChars="200"/>
    </w:pPr>
    <w:rPr>
      <w:rFonts w:cs="宋体"/>
      <w:kern w:val="1"/>
      <w:lang w:eastAsia="ar-SA"/>
    </w:rPr>
  </w:style>
  <w:style w:type="paragraph" w:customStyle="1" w:styleId="939">
    <w:name w:val="正文（首行缩进两个字） + 首行缩进:  2 字符"/>
    <w:basedOn w:val="1"/>
    <w:qFormat/>
    <w:uiPriority w:val="0"/>
    <w:pPr>
      <w:widowControl/>
      <w:spacing w:line="440" w:lineRule="exact"/>
      <w:ind w:firstLine="200" w:firstLineChars="200"/>
      <w:jc w:val="left"/>
    </w:pPr>
    <w:rPr>
      <w:rFonts w:eastAsia="Cambria" w:cs="宋体"/>
      <w:sz w:val="24"/>
      <w:lang w:val="zh-CN"/>
    </w:rPr>
  </w:style>
  <w:style w:type="paragraph" w:customStyle="1" w:styleId="940">
    <w:name w:val="正文 New"/>
    <w:qFormat/>
    <w:uiPriority w:val="0"/>
    <w:pPr>
      <w:widowControl w:val="0"/>
      <w:jc w:val="both"/>
    </w:pPr>
    <w:rPr>
      <w:rFonts w:ascii="Calibri" w:hAnsi="Calibri" w:eastAsia="仿宋_GB2312" w:cs="Times New Roman"/>
      <w:kern w:val="2"/>
      <w:sz w:val="32"/>
      <w:szCs w:val="3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2" Type="http://schemas.openxmlformats.org/officeDocument/2006/relationships/fontTable" Target="fontTable.xml"/><Relationship Id="rId31" Type="http://schemas.openxmlformats.org/officeDocument/2006/relationships/customXml" Target="../customXml/item2.xml"/><Relationship Id="rId30" Type="http://schemas.openxmlformats.org/officeDocument/2006/relationships/numbering" Target="numbering.xml"/><Relationship Id="rId3" Type="http://schemas.openxmlformats.org/officeDocument/2006/relationships/header" Target="header1.xml"/><Relationship Id="rId29" Type="http://schemas.openxmlformats.org/officeDocument/2006/relationships/customXml" Target="../customXml/item1.xml"/><Relationship Id="rId28" Type="http://schemas.openxmlformats.org/officeDocument/2006/relationships/image" Target="media/image18.wmf"/><Relationship Id="rId27" Type="http://schemas.openxmlformats.org/officeDocument/2006/relationships/image" Target="media/image17.wmf"/><Relationship Id="rId26" Type="http://schemas.openxmlformats.org/officeDocument/2006/relationships/image" Target="media/image16.wmf"/><Relationship Id="rId25" Type="http://schemas.openxmlformats.org/officeDocument/2006/relationships/image" Target="media/image15.wmf"/><Relationship Id="rId24" Type="http://schemas.openxmlformats.org/officeDocument/2006/relationships/image" Target="media/image14.wmf"/><Relationship Id="rId23" Type="http://schemas.openxmlformats.org/officeDocument/2006/relationships/image" Target="media/image13.wmf"/><Relationship Id="rId22" Type="http://schemas.openxmlformats.org/officeDocument/2006/relationships/image" Target="media/image12.wmf"/><Relationship Id="rId21" Type="http://schemas.openxmlformats.org/officeDocument/2006/relationships/image" Target="media/image11.wmf"/><Relationship Id="rId20" Type="http://schemas.openxmlformats.org/officeDocument/2006/relationships/oleObject" Target="embeddings/oleObject2.bin"/><Relationship Id="rId2" Type="http://schemas.openxmlformats.org/officeDocument/2006/relationships/settings" Target="settings.xml"/><Relationship Id="rId19" Type="http://schemas.openxmlformats.org/officeDocument/2006/relationships/image" Target="media/image10.wmf"/><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wmf"/><Relationship Id="rId13" Type="http://schemas.openxmlformats.org/officeDocument/2006/relationships/oleObject" Target="embeddings/oleObject1.bin"/><Relationship Id="rId12" Type="http://schemas.openxmlformats.org/officeDocument/2006/relationships/image" Target="media/image4.jpe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spDef>
      <a:spPr>
        <a:solidFill>
          <a:schemeClr val="bg1"/>
        </a:solidFill>
        <a:ln>
          <a:solidFill>
            <a:schemeClr val="tx1"/>
          </a:solidFill>
        </a:ln>
      </a:spPr>
      <a:bodyPr rtlCol="0" anchor="ctr"/>
      <a:lstStyle/>
      <a:style>
        <a:lnRef idx="2">
          <a:schemeClr val="accent1">
            <a:shade val="50000"/>
          </a:schemeClr>
        </a:lnRef>
        <a:fillRef idx="1">
          <a:schemeClr val="accent1"/>
        </a:fillRef>
        <a:effectRef idx="0">
          <a:schemeClr val="accent1"/>
        </a:effectRef>
        <a:fontRef idx="minor">
          <a:schemeClr val="lt1"/>
        </a:fontRef>
      </a:style>
    </a:sp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92FF4C-4246-4717-90E3-0EDA527BD36B}">
  <ds:schemaRefs/>
</ds:datastoreItem>
</file>

<file path=docProps/app.xml><?xml version="1.0" encoding="utf-8"?>
<Properties xmlns="http://schemas.openxmlformats.org/officeDocument/2006/extended-properties" xmlns:vt="http://schemas.openxmlformats.org/officeDocument/2006/docPropsVTypes">
  <Template>Normal.dotm</Template>
  <Company>Sky123.Org</Company>
  <Pages>61</Pages>
  <Words>43540</Words>
  <Characters>52411</Characters>
  <Lines>412</Lines>
  <Paragraphs>116</Paragraphs>
  <TotalTime>11</TotalTime>
  <ScaleCrop>false</ScaleCrop>
  <LinksUpToDate>false</LinksUpToDate>
  <CharactersWithSpaces>52684</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2022-05-12T02:08:00Z</dcterms:created>
  <dc:creator>Administrator</dc:creator>
  <cp:lastModifiedBy>建熙</cp:lastModifiedBy>
  <cp:lastPrinted>2022-06-23T04:00:00Z</cp:lastPrinted>
  <dcterms:modified xsi:type="dcterms:W3CDTF">2022-10-21T04:19:09Z</dcterms:modified>
  <cp:revision>477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BF6C4562CADC46839782D2C68B8885EA</vt:lpwstr>
  </property>
</Properties>
</file>