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Microsoft_Visio___1.vsdx" ContentType="application/vnd.ms-visio.drawing"/>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000000" w:themeColor="text1"/>
          <w:sz w:val="30"/>
          <w14:textFill>
            <w14:solidFill>
              <w14:schemeClr w14:val="tx1"/>
            </w14:solidFill>
          </w14:textFill>
        </w:rPr>
      </w:pPr>
    </w:p>
    <w:p>
      <w:pPr>
        <w:rPr>
          <w:color w:val="000000" w:themeColor="text1"/>
          <w:sz w:val="30"/>
          <w14:textFill>
            <w14:solidFill>
              <w14:schemeClr w14:val="tx1"/>
            </w14:solidFill>
          </w14:textFill>
        </w:rPr>
      </w:pPr>
    </w:p>
    <w:p>
      <w:pPr>
        <w:rPr>
          <w:color w:val="000000" w:themeColor="text1"/>
          <w:sz w:val="30"/>
          <w14:textFill>
            <w14:solidFill>
              <w14:schemeClr w14:val="tx1"/>
            </w14:solidFill>
          </w14:textFill>
        </w:rPr>
      </w:pPr>
    </w:p>
    <w:p>
      <w:pPr>
        <w:tabs>
          <w:tab w:val="left" w:pos="50"/>
          <w:tab w:val="center" w:pos="4246"/>
        </w:tabs>
        <w:jc w:val="center"/>
        <w:rPr>
          <w:rFonts w:eastAsia="方正小标宋_GBK"/>
          <w:snapToGrid w:val="0"/>
          <w:color w:val="000000" w:themeColor="text1"/>
          <w:sz w:val="72"/>
          <w:szCs w:val="72"/>
          <w14:textFill>
            <w14:solidFill>
              <w14:schemeClr w14:val="tx1"/>
            </w14:solidFill>
          </w14:textFill>
        </w:rPr>
      </w:pPr>
      <w:r>
        <w:rPr>
          <w:rFonts w:eastAsia="方正小标宋_GBK"/>
          <w:snapToGrid w:val="0"/>
          <w:color w:val="000000" w:themeColor="text1"/>
          <w:sz w:val="72"/>
          <w:szCs w:val="72"/>
          <w14:textFill>
            <w14:solidFill>
              <w14:schemeClr w14:val="tx1"/>
            </w14:solidFill>
          </w14:textFill>
        </w:rPr>
        <w:t>建设项目环境影响报告表</w:t>
      </w:r>
    </w:p>
    <w:p>
      <w:pPr>
        <w:spacing w:before="312" w:beforeLines="100" w:after="156" w:afterLines="50" w:line="360" w:lineRule="auto"/>
        <w:jc w:val="center"/>
        <w:rPr>
          <w:rFonts w:ascii="楷体" w:hAnsi="楷体" w:eastAsia="楷体"/>
          <w:color w:val="000000" w:themeColor="text1"/>
          <w:sz w:val="48"/>
          <w:szCs w:val="48"/>
          <w14:textFill>
            <w14:solidFill>
              <w14:schemeClr w14:val="tx1"/>
            </w14:solidFill>
          </w14:textFill>
        </w:rPr>
      </w:pPr>
      <w:r>
        <w:rPr>
          <w:rFonts w:hint="eastAsia" w:ascii="楷体" w:hAnsi="楷体" w:eastAsia="楷体"/>
          <w:color w:val="000000" w:themeColor="text1"/>
          <w:sz w:val="48"/>
          <w:szCs w:val="48"/>
          <w14:textFill>
            <w14:solidFill>
              <w14:schemeClr w14:val="tx1"/>
            </w14:solidFill>
          </w14:textFill>
        </w:rPr>
        <w:t>（污染</w:t>
      </w:r>
      <w:r>
        <w:rPr>
          <w:rFonts w:ascii="楷体" w:hAnsi="楷体" w:eastAsia="楷体"/>
          <w:color w:val="000000" w:themeColor="text1"/>
          <w:sz w:val="48"/>
          <w:szCs w:val="48"/>
          <w14:textFill>
            <w14:solidFill>
              <w14:schemeClr w14:val="tx1"/>
            </w14:solidFill>
          </w14:textFill>
        </w:rPr>
        <w:t>影响类</w:t>
      </w:r>
      <w:r>
        <w:rPr>
          <w:rFonts w:hint="eastAsia" w:ascii="楷体" w:hAnsi="楷体" w:eastAsia="楷体"/>
          <w:color w:val="000000" w:themeColor="text1"/>
          <w:sz w:val="48"/>
          <w:szCs w:val="48"/>
          <w14:textFill>
            <w14:solidFill>
              <w14:schemeClr w14:val="tx1"/>
            </w14:solidFill>
          </w14:textFill>
        </w:rPr>
        <w:t>）</w:t>
      </w:r>
    </w:p>
    <w:p>
      <w:pPr>
        <w:rPr>
          <w:color w:val="000000" w:themeColor="text1"/>
          <w:sz w:val="30"/>
          <w14:textFill>
            <w14:solidFill>
              <w14:schemeClr w14:val="tx1"/>
            </w14:solidFill>
          </w14:textFill>
        </w:rPr>
      </w:pPr>
    </w:p>
    <w:p>
      <w:pPr>
        <w:spacing w:line="360" w:lineRule="exact"/>
        <w:rPr>
          <w:color w:val="000000" w:themeColor="text1"/>
          <w:sz w:val="30"/>
          <w14:textFill>
            <w14:solidFill>
              <w14:schemeClr w14:val="tx1"/>
            </w14:solidFill>
          </w14:textFill>
        </w:rPr>
      </w:pPr>
    </w:p>
    <w:p>
      <w:pPr>
        <w:rPr>
          <w:color w:val="000000" w:themeColor="text1"/>
          <w:sz w:val="30"/>
          <w14:textFill>
            <w14:solidFill>
              <w14:schemeClr w14:val="tx1"/>
            </w14:solidFill>
          </w14:textFill>
        </w:rPr>
      </w:pPr>
    </w:p>
    <w:p>
      <w:pPr>
        <w:jc w:val="left"/>
        <w:rPr>
          <w:color w:val="000000" w:themeColor="text1"/>
          <w:sz w:val="30"/>
          <w14:textFill>
            <w14:solidFill>
              <w14:schemeClr w14:val="tx1"/>
            </w14:solidFill>
          </w14:textFill>
        </w:rPr>
      </w:pPr>
    </w:p>
    <w:p>
      <w:pPr>
        <w:spacing w:line="360" w:lineRule="exact"/>
        <w:rPr>
          <w:color w:val="000000" w:themeColor="text1"/>
          <w:sz w:val="30"/>
          <w14:textFill>
            <w14:solidFill>
              <w14:schemeClr w14:val="tx1"/>
            </w14:solidFill>
          </w14:textFill>
        </w:rPr>
      </w:pPr>
    </w:p>
    <w:p>
      <w:pPr>
        <w:spacing w:line="360" w:lineRule="exact"/>
        <w:rPr>
          <w:color w:val="000000" w:themeColor="text1"/>
          <w:sz w:val="30"/>
          <w14:textFill>
            <w14:solidFill>
              <w14:schemeClr w14:val="tx1"/>
            </w14:solidFill>
          </w14:textFill>
        </w:rPr>
      </w:pPr>
    </w:p>
    <w:p>
      <w:pPr>
        <w:spacing w:line="360" w:lineRule="exact"/>
        <w:rPr>
          <w:color w:val="000000" w:themeColor="text1"/>
          <w:sz w:val="30"/>
          <w14:textFill>
            <w14:solidFill>
              <w14:schemeClr w14:val="tx1"/>
            </w14:solidFill>
          </w14:textFill>
        </w:rPr>
      </w:pPr>
    </w:p>
    <w:p>
      <w:pPr>
        <w:jc w:val="center"/>
        <w:rPr>
          <w:rFonts w:ascii="仿宋" w:hAnsi="仿宋" w:eastAsia="仿宋"/>
          <w:color w:val="000000" w:themeColor="text1"/>
          <w:kern w:val="0"/>
          <w:sz w:val="30"/>
          <w:szCs w:val="30"/>
          <w:u w:val="single"/>
          <w14:textFill>
            <w14:solidFill>
              <w14:schemeClr w14:val="tx1"/>
            </w14:solidFill>
          </w14:textFill>
        </w:rPr>
      </w:pPr>
      <w:r>
        <w:rPr>
          <w:rFonts w:ascii="仿宋" w:hAnsi="仿宋" w:eastAsia="仿宋"/>
          <w:color w:val="000000" w:themeColor="text1"/>
          <w:sz w:val="30"/>
          <w:szCs w:val="30"/>
          <w14:textFill>
            <w14:solidFill>
              <w14:schemeClr w14:val="tx1"/>
            </w14:solidFill>
          </w14:textFill>
        </w:rPr>
        <w:t>项目名称：</w:t>
      </w:r>
      <w:r>
        <w:rPr>
          <w:rFonts w:hint="eastAsia" w:ascii="仿宋" w:hAnsi="仿宋" w:eastAsia="仿宋"/>
          <w:color w:val="000000" w:themeColor="text1"/>
          <w:kern w:val="0"/>
          <w:sz w:val="30"/>
          <w:szCs w:val="30"/>
          <w:u w:val="single"/>
          <w14:textFill>
            <w14:solidFill>
              <w14:schemeClr w14:val="tx1"/>
            </w14:solidFill>
          </w14:textFill>
        </w:rPr>
        <w:t xml:space="preserve"> 惠州市艺冉艺术展览工程有限公司</w:t>
      </w:r>
      <w:r>
        <w:rPr>
          <w:rFonts w:ascii="仿宋" w:hAnsi="仿宋" w:eastAsia="仿宋"/>
          <w:color w:val="000000" w:themeColor="text1"/>
          <w:kern w:val="0"/>
          <w:sz w:val="30"/>
          <w:szCs w:val="30"/>
          <w:u w:val="single"/>
          <w14:textFill>
            <w14:solidFill>
              <w14:schemeClr w14:val="tx1"/>
            </w14:solidFill>
          </w14:textFill>
        </w:rPr>
        <w:t>建设项目</w:t>
      </w:r>
    </w:p>
    <w:p>
      <w:pPr>
        <w:ind w:firstLine="1050" w:firstLineChars="350"/>
        <w:rPr>
          <w:rFonts w:ascii="仿宋" w:hAnsi="仿宋" w:eastAsia="仿宋"/>
          <w:color w:val="000000" w:themeColor="text1"/>
          <w:kern w:val="0"/>
          <w:sz w:val="30"/>
          <w:szCs w:val="30"/>
          <w:u w:val="single"/>
          <w14:textFill>
            <w14:solidFill>
              <w14:schemeClr w14:val="tx1"/>
            </w14:solidFill>
          </w14:textFill>
        </w:rPr>
      </w:pPr>
      <w:r>
        <w:rPr>
          <w:rFonts w:ascii="仿宋" w:hAnsi="仿宋" w:eastAsia="仿宋"/>
          <w:color w:val="000000" w:themeColor="text1"/>
          <w:sz w:val="30"/>
          <w:szCs w:val="30"/>
          <w14:textFill>
            <w14:solidFill>
              <w14:schemeClr w14:val="tx1"/>
            </w14:solidFill>
          </w14:textFill>
        </w:rPr>
        <w:t>建设单位（盖章）：</w:t>
      </w:r>
      <w:r>
        <w:rPr>
          <w:rFonts w:hint="eastAsia" w:ascii="仿宋" w:hAnsi="仿宋" w:eastAsia="仿宋"/>
          <w:color w:val="000000" w:themeColor="text1"/>
          <w:kern w:val="0"/>
          <w:sz w:val="30"/>
          <w:szCs w:val="30"/>
          <w:u w:val="single"/>
          <w14:textFill>
            <w14:solidFill>
              <w14:schemeClr w14:val="tx1"/>
            </w14:solidFill>
          </w14:textFill>
        </w:rPr>
        <w:t>惠州市艺冉艺术展览工程有限公司</w:t>
      </w:r>
    </w:p>
    <w:p>
      <w:pPr>
        <w:ind w:firstLine="1050" w:firstLineChars="350"/>
        <w:rPr>
          <w:rFonts w:ascii="仿宋" w:hAnsi="仿宋" w:eastAsia="仿宋"/>
          <w:color w:val="000000" w:themeColor="text1"/>
          <w:kern w:val="0"/>
          <w:sz w:val="30"/>
          <w:szCs w:val="30"/>
          <w:u w:val="single"/>
          <w14:textFill>
            <w14:solidFill>
              <w14:schemeClr w14:val="tx1"/>
            </w14:solidFill>
          </w14:textFill>
        </w:rPr>
      </w:pPr>
      <w:r>
        <w:rPr>
          <w:rFonts w:hint="eastAsia" w:ascii="仿宋" w:hAnsi="仿宋" w:eastAsia="仿宋"/>
          <w:color w:val="000000" w:themeColor="text1"/>
          <w:kern w:val="0"/>
          <w:sz w:val="30"/>
          <w:szCs w:val="30"/>
          <w14:textFill>
            <w14:solidFill>
              <w14:schemeClr w14:val="tx1"/>
            </w14:solidFill>
          </w14:textFill>
        </w:rPr>
        <w:t>编制</w:t>
      </w:r>
      <w:r>
        <w:rPr>
          <w:rFonts w:ascii="仿宋" w:hAnsi="仿宋" w:eastAsia="仿宋"/>
          <w:color w:val="000000" w:themeColor="text1"/>
          <w:kern w:val="0"/>
          <w:sz w:val="30"/>
          <w:szCs w:val="30"/>
          <w14:textFill>
            <w14:solidFill>
              <w14:schemeClr w14:val="tx1"/>
            </w14:solidFill>
          </w14:textFill>
        </w:rPr>
        <w:t>日期：</w:t>
      </w:r>
      <w:r>
        <w:rPr>
          <w:rFonts w:hint="eastAsia" w:ascii="仿宋" w:hAnsi="仿宋" w:eastAsia="仿宋"/>
          <w:color w:val="000000" w:themeColor="text1"/>
          <w:kern w:val="0"/>
          <w:sz w:val="30"/>
          <w:szCs w:val="30"/>
          <w:u w:val="single"/>
          <w14:textFill>
            <w14:solidFill>
              <w14:schemeClr w14:val="tx1"/>
            </w14:solidFill>
          </w14:textFill>
        </w:rPr>
        <w:t xml:space="preserve"> </w:t>
      </w:r>
      <w:r>
        <w:rPr>
          <w:rFonts w:ascii="仿宋" w:hAnsi="仿宋" w:eastAsia="仿宋"/>
          <w:color w:val="000000" w:themeColor="text1"/>
          <w:kern w:val="0"/>
          <w:sz w:val="30"/>
          <w:szCs w:val="30"/>
          <w:u w:val="single"/>
          <w14:textFill>
            <w14:solidFill>
              <w14:schemeClr w14:val="tx1"/>
            </w14:solidFill>
          </w14:textFill>
        </w:rPr>
        <w:t xml:space="preserve"> </w:t>
      </w:r>
      <w:r>
        <w:rPr>
          <w:rFonts w:hint="eastAsia" w:ascii="仿宋" w:hAnsi="仿宋" w:eastAsia="仿宋"/>
          <w:color w:val="000000" w:themeColor="text1"/>
          <w:kern w:val="0"/>
          <w:sz w:val="30"/>
          <w:szCs w:val="30"/>
          <w:u w:val="single"/>
          <w14:textFill>
            <w14:solidFill>
              <w14:schemeClr w14:val="tx1"/>
            </w14:solidFill>
          </w14:textFill>
        </w:rPr>
        <w:t>2022年</w:t>
      </w:r>
      <w:r>
        <w:rPr>
          <w:rFonts w:ascii="仿宋" w:hAnsi="仿宋" w:eastAsia="仿宋"/>
          <w:color w:val="000000" w:themeColor="text1"/>
          <w:kern w:val="0"/>
          <w:sz w:val="30"/>
          <w:szCs w:val="30"/>
          <w:u w:val="single"/>
          <w14:textFill>
            <w14:solidFill>
              <w14:schemeClr w14:val="tx1"/>
            </w14:solidFill>
          </w14:textFill>
        </w:rPr>
        <w:t>11</w:t>
      </w:r>
      <w:r>
        <w:rPr>
          <w:rFonts w:hint="eastAsia" w:ascii="仿宋" w:hAnsi="仿宋" w:eastAsia="仿宋"/>
          <w:color w:val="000000" w:themeColor="text1"/>
          <w:kern w:val="0"/>
          <w:sz w:val="30"/>
          <w:szCs w:val="30"/>
          <w:u w:val="single"/>
          <w14:textFill>
            <w14:solidFill>
              <w14:schemeClr w14:val="tx1"/>
            </w14:solidFill>
          </w14:textFill>
        </w:rPr>
        <w:t xml:space="preserve">月  </w:t>
      </w:r>
    </w:p>
    <w:p>
      <w:pPr>
        <w:rPr>
          <w:color w:val="000000" w:themeColor="text1"/>
          <w:sz w:val="30"/>
          <w14:textFill>
            <w14:solidFill>
              <w14:schemeClr w14:val="tx1"/>
            </w14:solidFill>
          </w14:textFill>
        </w:rPr>
      </w:pPr>
    </w:p>
    <w:p>
      <w:pPr>
        <w:rPr>
          <w:color w:val="000000" w:themeColor="text1"/>
          <w:sz w:val="30"/>
          <w14:textFill>
            <w14:solidFill>
              <w14:schemeClr w14:val="tx1"/>
            </w14:solidFill>
          </w14:textFill>
        </w:rPr>
      </w:pPr>
    </w:p>
    <w:p>
      <w:pPr>
        <w:rPr>
          <w:color w:val="000000" w:themeColor="text1"/>
          <w:sz w:val="30"/>
          <w14:textFill>
            <w14:solidFill>
              <w14:schemeClr w14:val="tx1"/>
            </w14:solidFill>
          </w14:textFill>
        </w:rPr>
      </w:pPr>
    </w:p>
    <w:p>
      <w:pPr>
        <w:rPr>
          <w:color w:val="000000" w:themeColor="text1"/>
          <w:sz w:val="30"/>
          <w14:textFill>
            <w14:solidFill>
              <w14:schemeClr w14:val="tx1"/>
            </w14:solidFill>
          </w14:textFill>
        </w:rPr>
      </w:pPr>
    </w:p>
    <w:p>
      <w:pPr>
        <w:jc w:val="center"/>
        <w:rPr>
          <w:rFonts w:ascii="楷体" w:hAnsi="楷体" w:eastAsia="楷体"/>
          <w:color w:val="000000" w:themeColor="text1"/>
          <w:sz w:val="36"/>
          <w:szCs w:val="36"/>
          <w14:textFill>
            <w14:solidFill>
              <w14:schemeClr w14:val="tx1"/>
            </w14:solidFill>
          </w14:textFill>
        </w:rPr>
      </w:pPr>
      <w:r>
        <w:rPr>
          <w:rFonts w:hint="eastAsia" w:ascii="楷体" w:hAnsi="楷体" w:eastAsia="楷体"/>
          <w:color w:val="000000" w:themeColor="text1"/>
          <w:sz w:val="36"/>
          <w:szCs w:val="36"/>
          <w14:textFill>
            <w14:solidFill>
              <w14:schemeClr w14:val="tx1"/>
            </w14:solidFill>
          </w14:textFill>
        </w:rPr>
        <w:t>中华人民共和国</w:t>
      </w:r>
      <w:r>
        <w:rPr>
          <w:rFonts w:ascii="楷体" w:hAnsi="楷体" w:eastAsia="楷体"/>
          <w:color w:val="000000" w:themeColor="text1"/>
          <w:sz w:val="36"/>
          <w:szCs w:val="36"/>
          <w14:textFill>
            <w14:solidFill>
              <w14:schemeClr w14:val="tx1"/>
            </w14:solidFill>
          </w14:textFill>
        </w:rPr>
        <w:t>生态环境部制</w:t>
      </w:r>
      <w:r>
        <w:rPr>
          <w:rFonts w:hint="eastAsia" w:ascii="楷体" w:hAnsi="楷体" w:eastAsia="楷体"/>
          <w:color w:val="000000" w:themeColor="text1"/>
          <w:sz w:val="36"/>
          <w:szCs w:val="36"/>
          <w14:textFill>
            <w14:solidFill>
              <w14:schemeClr w14:val="tx1"/>
            </w14:solidFill>
          </w14:textFill>
        </w:rPr>
        <w:t xml:space="preserve"> </w:t>
      </w:r>
      <w:r>
        <w:rPr>
          <w:rFonts w:ascii="楷体" w:hAnsi="楷体" w:eastAsia="楷体"/>
          <w:color w:val="000000" w:themeColor="text1"/>
          <w:sz w:val="36"/>
          <w:szCs w:val="36"/>
          <w14:textFill>
            <w14:solidFill>
              <w14:schemeClr w14:val="tx1"/>
            </w14:solidFill>
          </w14:textFill>
        </w:rPr>
        <w:t xml:space="preserve"> </w:t>
      </w:r>
    </w:p>
    <w:p>
      <w:pPr>
        <w:pStyle w:val="2"/>
        <w:rPr>
          <w:rFonts w:hint="eastAsia" w:eastAsia="仿宋_GB2312"/>
          <w:lang w:eastAsia="zh-CN"/>
        </w:rPr>
      </w:pPr>
      <w:r>
        <w:br w:type="page"/>
      </w:r>
    </w:p>
    <w:p>
      <w:pPr>
        <w:sectPr>
          <w:headerReference r:id="rId4" w:type="first"/>
          <w:headerReference r:id="rId3" w:type="default"/>
          <w:footerReference r:id="rId5" w:type="default"/>
          <w:footerReference r:id="rId6" w:type="even"/>
          <w:pgSz w:w="11906" w:h="16838"/>
          <w:pgMar w:top="1701" w:right="1418" w:bottom="1474" w:left="1418" w:header="851" w:footer="709" w:gutter="0"/>
          <w:cols w:space="425" w:num="1"/>
          <w:titlePg/>
          <w:docGrid w:type="lines" w:linePitch="312" w:charSpace="0"/>
        </w:sectPr>
      </w:pPr>
    </w:p>
    <w:p>
      <w:pPr>
        <w:numPr>
          <w:ilvl w:val="0"/>
          <w:numId w:val="1"/>
        </w:numPr>
        <w:jc w:val="center"/>
        <w:outlineLvl w:val="0"/>
        <w:rPr>
          <w:rFonts w:ascii="楷体" w:hAnsi="楷体" w:eastAsia="楷体"/>
          <w:color w:val="000000" w:themeColor="text1"/>
          <w:sz w:val="36"/>
          <w:szCs w:val="36"/>
          <w14:textFill>
            <w14:solidFill>
              <w14:schemeClr w14:val="tx1"/>
            </w14:solidFill>
          </w14:textFill>
        </w:rPr>
      </w:pPr>
      <w:r>
        <w:rPr>
          <w:rFonts w:ascii="黑体" w:hAnsi="黑体" w:eastAsia="黑体"/>
          <w:color w:val="000000" w:themeColor="text1"/>
          <w:sz w:val="30"/>
          <w14:textFill>
            <w14:solidFill>
              <w14:schemeClr w14:val="tx1"/>
            </w14:solidFill>
          </w14:textFill>
        </w:rPr>
        <w:t>建设项目基本情况</w:t>
      </w:r>
    </w:p>
    <w:tbl>
      <w:tblPr>
        <w:tblStyle w:val="39"/>
        <w:tblW w:w="905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20"/>
        <w:gridCol w:w="2965"/>
        <w:gridCol w:w="2174"/>
        <w:gridCol w:w="269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0"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建设项目名称</w:t>
            </w:r>
          </w:p>
        </w:tc>
        <w:tc>
          <w:tcPr>
            <w:tcW w:w="7830" w:type="dxa"/>
            <w:gridSpan w:val="3"/>
            <w:vAlign w:val="center"/>
          </w:tcPr>
          <w:p>
            <w:pPr>
              <w:adjustRightInd w:val="0"/>
              <w:snapToGrid w:val="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惠州市艺冉艺术展览工程有限公司</w:t>
            </w:r>
            <w:r>
              <w:rPr>
                <w:color w:val="000000" w:themeColor="text1"/>
                <w:sz w:val="24"/>
                <w14:textFill>
                  <w14:solidFill>
                    <w14:schemeClr w14:val="tx1"/>
                  </w14:solidFill>
                </w14:textFill>
              </w:rPr>
              <w:t>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1220"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项目代码</w:t>
            </w:r>
          </w:p>
        </w:tc>
        <w:tc>
          <w:tcPr>
            <w:tcW w:w="7830" w:type="dxa"/>
            <w:gridSpan w:val="3"/>
            <w:vAlign w:val="center"/>
          </w:tcPr>
          <w:p>
            <w:pPr>
              <w:adjustRightInd w:val="0"/>
              <w:snapToGrid w:val="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0"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建设单位联系人</w:t>
            </w:r>
          </w:p>
        </w:tc>
        <w:tc>
          <w:tcPr>
            <w:tcW w:w="2965" w:type="dxa"/>
            <w:vAlign w:val="center"/>
          </w:tcPr>
          <w:p>
            <w:pPr>
              <w:adjustRightInd w:val="0"/>
              <w:snapToGrid w:val="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宋晓军</w:t>
            </w:r>
          </w:p>
        </w:tc>
        <w:tc>
          <w:tcPr>
            <w:tcW w:w="2174"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联系方式</w:t>
            </w:r>
          </w:p>
        </w:tc>
        <w:tc>
          <w:tcPr>
            <w:tcW w:w="2691" w:type="dxa"/>
            <w:vAlign w:val="center"/>
          </w:tcPr>
          <w:p>
            <w:pPr>
              <w:adjustRightInd w:val="0"/>
              <w:snapToGrid w:val="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3827201252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jc w:val="center"/>
        </w:trPr>
        <w:tc>
          <w:tcPr>
            <w:tcW w:w="1220"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建设地点</w:t>
            </w:r>
          </w:p>
        </w:tc>
        <w:tc>
          <w:tcPr>
            <w:tcW w:w="7830" w:type="dxa"/>
            <w:gridSpan w:val="3"/>
            <w:vAlign w:val="center"/>
          </w:tcPr>
          <w:p>
            <w:pPr>
              <w:adjustRightInd w:val="0"/>
              <w:snapToGrid w:val="0"/>
              <w:jc w:val="center"/>
              <w:rPr>
                <w:color w:val="7030A0"/>
                <w:sz w:val="24"/>
              </w:rPr>
            </w:pPr>
            <w:r>
              <w:rPr>
                <w:rFonts w:hint="eastAsia"/>
                <w:color w:val="7030A0"/>
                <w:sz w:val="24"/>
                <w:u w:val="single"/>
              </w:rPr>
              <w:t xml:space="preserve"> </w:t>
            </w:r>
            <w:r>
              <w:rPr>
                <w:rFonts w:hint="eastAsia"/>
                <w:color w:val="000000" w:themeColor="text1"/>
                <w:sz w:val="24"/>
                <w:u w:val="single"/>
                <w14:textFill>
                  <w14:solidFill>
                    <w14:schemeClr w14:val="tx1"/>
                  </w14:solidFill>
                </w14:textFill>
              </w:rPr>
              <w:t xml:space="preserve">广东 </w:t>
            </w:r>
            <w:r>
              <w:rPr>
                <w:rFonts w:hint="eastAsia"/>
                <w:color w:val="000000" w:themeColor="text1"/>
                <w:sz w:val="24"/>
                <w14:textFill>
                  <w14:solidFill>
                    <w14:schemeClr w14:val="tx1"/>
                  </w14:solidFill>
                </w14:textFill>
              </w:rPr>
              <w:t>省（自治区）</w:t>
            </w:r>
            <w:r>
              <w:rPr>
                <w:rFonts w:hint="eastAsia"/>
                <w:color w:val="000000" w:themeColor="text1"/>
                <w:sz w:val="24"/>
                <w:u w:val="single"/>
                <w14:textFill>
                  <w14:solidFill>
                    <w14:schemeClr w14:val="tx1"/>
                  </w14:solidFill>
                </w14:textFill>
              </w:rPr>
              <w:t xml:space="preserve"> 惠州 </w:t>
            </w:r>
            <w:r>
              <w:rPr>
                <w:rFonts w:hint="eastAsia"/>
                <w:color w:val="000000" w:themeColor="text1"/>
                <w:sz w:val="24"/>
                <w14:textFill>
                  <w14:solidFill>
                    <w14:schemeClr w14:val="tx1"/>
                  </w14:solidFill>
                </w14:textFill>
              </w:rPr>
              <w:t>市</w:t>
            </w:r>
            <w:r>
              <w:rPr>
                <w:rFonts w:hint="eastAsia"/>
                <w:color w:val="000000" w:themeColor="text1"/>
                <w:sz w:val="24"/>
                <w:u w:val="single"/>
                <w14:textFill>
                  <w14:solidFill>
                    <w14:schemeClr w14:val="tx1"/>
                  </w14:solidFill>
                </w14:textFill>
              </w:rPr>
              <w:t xml:space="preserve"> 博罗 </w:t>
            </w:r>
            <w:r>
              <w:rPr>
                <w:rFonts w:hint="eastAsia"/>
                <w:color w:val="000000" w:themeColor="text1"/>
                <w:sz w:val="24"/>
                <w14:textFill>
                  <w14:solidFill>
                    <w14:schemeClr w14:val="tx1"/>
                  </w14:solidFill>
                </w14:textFill>
              </w:rPr>
              <w:t>县（区）</w:t>
            </w:r>
            <w:r>
              <w:rPr>
                <w:rFonts w:hint="eastAsia"/>
                <w:color w:val="000000" w:themeColor="text1"/>
                <w:sz w:val="24"/>
                <w:u w:val="single"/>
                <w14:textFill>
                  <w14:solidFill>
                    <w14:schemeClr w14:val="tx1"/>
                  </w14:solidFill>
                </w14:textFill>
              </w:rPr>
              <w:t xml:space="preserve"> 福田镇 </w:t>
            </w:r>
            <w:r>
              <w:rPr>
                <w:rFonts w:hint="eastAsia"/>
                <w:color w:val="000000" w:themeColor="text1"/>
                <w:sz w:val="24"/>
                <w14:textFill>
                  <w14:solidFill>
                    <w14:schemeClr w14:val="tx1"/>
                  </w14:solidFill>
                </w14:textFill>
              </w:rPr>
              <w:t>乡（街道）</w:t>
            </w:r>
            <w:r>
              <w:rPr>
                <w:rFonts w:hint="eastAsia"/>
                <w:color w:val="000000" w:themeColor="text1"/>
                <w:sz w:val="24"/>
                <w:u w:val="single"/>
                <w14:textFill>
                  <w14:solidFill>
                    <w14:schemeClr w14:val="tx1"/>
                  </w14:solidFill>
                </w14:textFill>
              </w:rPr>
              <w:t>新屋仔村麦园下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20"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地理坐标</w:t>
            </w:r>
          </w:p>
        </w:tc>
        <w:tc>
          <w:tcPr>
            <w:tcW w:w="7830" w:type="dxa"/>
            <w:gridSpan w:val="3"/>
            <w:vAlign w:val="center"/>
          </w:tcPr>
          <w:p>
            <w:pPr>
              <w:widowControl/>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w:t>
            </w:r>
            <w:r>
              <w:rPr>
                <w:color w:val="000000" w:themeColor="text1"/>
                <w:sz w:val="24"/>
                <w:u w:val="single"/>
                <w14:textFill>
                  <w14:solidFill>
                    <w14:schemeClr w14:val="tx1"/>
                  </w14:solidFill>
                </w14:textFill>
              </w:rPr>
              <w:t xml:space="preserve"> 113 </w:t>
            </w:r>
            <w:r>
              <w:rPr>
                <w:color w:val="000000" w:themeColor="text1"/>
                <w:sz w:val="24"/>
                <w14:textFill>
                  <w14:solidFill>
                    <w14:schemeClr w14:val="tx1"/>
                  </w14:solidFill>
                </w14:textFill>
              </w:rPr>
              <w:t>度</w:t>
            </w:r>
            <w:r>
              <w:rPr>
                <w:color w:val="000000" w:themeColor="text1"/>
                <w:sz w:val="24"/>
                <w:u w:val="single"/>
                <w14:textFill>
                  <w14:solidFill>
                    <w14:schemeClr w14:val="tx1"/>
                  </w14:solidFill>
                </w14:textFill>
              </w:rPr>
              <w:t xml:space="preserve"> 57</w:t>
            </w:r>
            <w:r>
              <w:rPr>
                <w:color w:val="000000" w:themeColor="text1"/>
                <w:sz w:val="24"/>
                <w14:textFill>
                  <w14:solidFill>
                    <w14:schemeClr w14:val="tx1"/>
                  </w14:solidFill>
                </w14:textFill>
              </w:rPr>
              <w:t>分</w:t>
            </w:r>
            <w:r>
              <w:rPr>
                <w:color w:val="000000" w:themeColor="text1"/>
                <w:sz w:val="24"/>
                <w:u w:val="single"/>
                <w14:textFill>
                  <w14:solidFill>
                    <w14:schemeClr w14:val="tx1"/>
                  </w14:solidFill>
                </w14:textFill>
              </w:rPr>
              <w:t>38.922</w:t>
            </w:r>
            <w:r>
              <w:rPr>
                <w:color w:val="000000" w:themeColor="text1"/>
                <w:sz w:val="24"/>
                <w14:textFill>
                  <w14:solidFill>
                    <w14:schemeClr w14:val="tx1"/>
                  </w14:solidFill>
                </w14:textFill>
              </w:rPr>
              <w:t>秒，</w:t>
            </w:r>
            <w:r>
              <w:rPr>
                <w:color w:val="000000" w:themeColor="text1"/>
                <w:sz w:val="24"/>
                <w:u w:val="single"/>
                <w14:textFill>
                  <w14:solidFill>
                    <w14:schemeClr w14:val="tx1"/>
                  </w14:solidFill>
                </w14:textFill>
              </w:rPr>
              <w:t xml:space="preserve">23 </w:t>
            </w:r>
            <w:r>
              <w:rPr>
                <w:color w:val="000000" w:themeColor="text1"/>
                <w:sz w:val="24"/>
                <w14:textFill>
                  <w14:solidFill>
                    <w14:schemeClr w14:val="tx1"/>
                  </w14:solidFill>
                </w14:textFill>
              </w:rPr>
              <w:t>度</w:t>
            </w:r>
            <w:r>
              <w:rPr>
                <w:color w:val="000000" w:themeColor="text1"/>
                <w:sz w:val="24"/>
                <w:u w:val="single"/>
                <w14:textFill>
                  <w14:solidFill>
                    <w14:schemeClr w14:val="tx1"/>
                  </w14:solidFill>
                </w14:textFill>
              </w:rPr>
              <w:t xml:space="preserve"> 12 </w:t>
            </w:r>
            <w:r>
              <w:rPr>
                <w:color w:val="000000" w:themeColor="text1"/>
                <w:sz w:val="24"/>
                <w14:textFill>
                  <w14:solidFill>
                    <w14:schemeClr w14:val="tx1"/>
                  </w14:solidFill>
                </w14:textFill>
              </w:rPr>
              <w:t>分</w:t>
            </w:r>
            <w:r>
              <w:rPr>
                <w:color w:val="000000" w:themeColor="text1"/>
                <w:sz w:val="24"/>
                <w:u w:val="single"/>
                <w14:textFill>
                  <w14:solidFill>
                    <w14:schemeClr w14:val="tx1"/>
                  </w14:solidFill>
                </w14:textFill>
              </w:rPr>
              <w:t>47.679</w:t>
            </w:r>
            <w:r>
              <w:rPr>
                <w:color w:val="000000" w:themeColor="text1"/>
                <w:sz w:val="24"/>
                <w14:textFill>
                  <w14:solidFill>
                    <w14:schemeClr w14:val="tx1"/>
                  </w14:solidFill>
                </w14:textFill>
              </w:rPr>
              <w:t>秒</w:t>
            </w:r>
            <w:r>
              <w:rPr>
                <w:rFonts w:hint="eastAsia"/>
                <w:color w:val="000000" w:themeColor="text1"/>
                <w:sz w:val="24"/>
                <w14:textFill>
                  <w14:solidFill>
                    <w14:schemeClr w14:val="tx1"/>
                  </w14:solidFill>
                </w14:textFill>
              </w:rPr>
              <w:t>）</w:t>
            </w:r>
          </w:p>
          <w:p>
            <w:pPr>
              <w:widowControl/>
              <w:jc w:val="center"/>
              <w:rPr>
                <w:color w:val="7030A0"/>
                <w:sz w:val="24"/>
              </w:rPr>
            </w:pPr>
            <w:r>
              <w:rPr>
                <w:rFonts w:hint="eastAsia"/>
                <w:color w:val="000000" w:themeColor="text1"/>
                <w:sz w:val="24"/>
                <w14:textFill>
                  <w14:solidFill>
                    <w14:schemeClr w14:val="tx1"/>
                  </w14:solidFill>
                </w14:textFill>
              </w:rPr>
              <w:t>（经度：113.</w:t>
            </w:r>
            <w:r>
              <w:rPr>
                <w:color w:val="000000" w:themeColor="text1"/>
                <w14:textFill>
                  <w14:solidFill>
                    <w14:schemeClr w14:val="tx1"/>
                  </w14:solidFill>
                </w14:textFill>
              </w:rPr>
              <w:t xml:space="preserve"> </w:t>
            </w:r>
            <w:r>
              <w:rPr>
                <w:color w:val="000000" w:themeColor="text1"/>
                <w:sz w:val="24"/>
                <w14:textFill>
                  <w14:solidFill>
                    <w14:schemeClr w14:val="tx1"/>
                  </w14:solidFill>
                </w14:textFill>
              </w:rPr>
              <w:t>960812</w:t>
            </w:r>
            <w:r>
              <w:rPr>
                <w:rFonts w:hint="eastAsia"/>
                <w:color w:val="000000" w:themeColor="text1"/>
                <w:sz w:val="24"/>
                <w14:textFill>
                  <w14:solidFill>
                    <w14:schemeClr w14:val="tx1"/>
                  </w14:solidFill>
                </w14:textFill>
              </w:rPr>
              <w:t>，纬度：23.</w:t>
            </w:r>
            <w:r>
              <w:rPr>
                <w:color w:val="000000" w:themeColor="text1"/>
                <w14:textFill>
                  <w14:solidFill>
                    <w14:schemeClr w14:val="tx1"/>
                  </w14:solidFill>
                </w14:textFill>
              </w:rPr>
              <w:t xml:space="preserve"> </w:t>
            </w:r>
            <w:r>
              <w:rPr>
                <w:color w:val="000000" w:themeColor="text1"/>
                <w:sz w:val="24"/>
                <w14:textFill>
                  <w14:solidFill>
                    <w14:schemeClr w14:val="tx1"/>
                  </w14:solidFill>
                </w14:textFill>
              </w:rPr>
              <w:t>213244</w:t>
            </w:r>
            <w:r>
              <w:rPr>
                <w:rFonts w:hint="eastAsia"/>
                <w:color w:val="000000" w:themeColor="text1"/>
                <w:sz w:val="24"/>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20"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国民经济</w:t>
            </w:r>
          </w:p>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行业类别</w:t>
            </w:r>
          </w:p>
        </w:tc>
        <w:tc>
          <w:tcPr>
            <w:tcW w:w="2965"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C2039 </w:t>
            </w:r>
            <w:r>
              <w:rPr>
                <w:rFonts w:hint="eastAsia"/>
                <w:color w:val="000000" w:themeColor="text1"/>
                <w:sz w:val="24"/>
                <w14:textFill>
                  <w14:solidFill>
                    <w14:schemeClr w14:val="tx1"/>
                  </w14:solidFill>
                </w14:textFill>
              </w:rPr>
              <w:t>软木制品及其他木制品制造</w:t>
            </w:r>
          </w:p>
        </w:tc>
        <w:tc>
          <w:tcPr>
            <w:tcW w:w="2174"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w:t>
            </w:r>
          </w:p>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行业类别</w:t>
            </w:r>
          </w:p>
        </w:tc>
        <w:tc>
          <w:tcPr>
            <w:tcW w:w="2691" w:type="dxa"/>
            <w:vAlign w:val="center"/>
          </w:tcPr>
          <w:p>
            <w:pPr>
              <w:adjustRightInd w:val="0"/>
              <w:snapToGrid w:val="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 xml:space="preserve">3 </w:t>
            </w:r>
            <w:r>
              <w:rPr>
                <w:rFonts w:hint="eastAsia"/>
                <w:color w:val="000000" w:themeColor="text1"/>
                <w:sz w:val="24"/>
                <w14:textFill>
                  <w14:solidFill>
                    <w14:schemeClr w14:val="tx1"/>
                  </w14:solidFill>
                </w14:textFill>
              </w:rPr>
              <w:t>木材加工2</w:t>
            </w:r>
            <w:r>
              <w:rPr>
                <w:color w:val="000000" w:themeColor="text1"/>
                <w:sz w:val="24"/>
                <w14:textFill>
                  <w14:solidFill>
                    <w14:schemeClr w14:val="tx1"/>
                  </w14:solidFill>
                </w14:textFill>
              </w:rPr>
              <w:t>01</w:t>
            </w:r>
            <w:r>
              <w:rPr>
                <w:rFonts w:hint="eastAsia"/>
                <w:color w:val="000000" w:themeColor="text1"/>
                <w:sz w:val="24"/>
                <w14:textFill>
                  <w14:solidFill>
                    <w14:schemeClr w14:val="tx1"/>
                  </w14:solidFill>
                </w14:textFill>
              </w:rPr>
              <w:t>；木质品制造2</w:t>
            </w:r>
            <w:r>
              <w:rPr>
                <w:color w:val="000000" w:themeColor="text1"/>
                <w:sz w:val="24"/>
                <w14:textFill>
                  <w14:solidFill>
                    <w14:schemeClr w14:val="tx1"/>
                  </w14:solidFill>
                </w14:textFill>
              </w:rPr>
              <w:t>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20"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建设性质</w:t>
            </w:r>
          </w:p>
        </w:tc>
        <w:tc>
          <w:tcPr>
            <w:tcW w:w="2965" w:type="dxa"/>
            <w:vAlign w:val="center"/>
          </w:tcPr>
          <w:p>
            <w:pPr>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sym w:font="Wingdings" w:char="00FE"/>
            </w:r>
            <w:r>
              <w:rPr>
                <w:color w:val="000000" w:themeColor="text1"/>
                <w:sz w:val="24"/>
                <w14:textFill>
                  <w14:solidFill>
                    <w14:schemeClr w14:val="tx1"/>
                  </w14:solidFill>
                </w14:textFill>
              </w:rPr>
              <w:t>新建（迁建）</w:t>
            </w:r>
          </w:p>
          <w:p>
            <w:pPr>
              <w:jc w:val="left"/>
              <w:rPr>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改建</w:t>
            </w:r>
          </w:p>
          <w:p>
            <w:pPr>
              <w:jc w:val="left"/>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扩建</w:t>
            </w:r>
          </w:p>
          <w:p>
            <w:pPr>
              <w:jc w:val="left"/>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技术改造</w:t>
            </w:r>
          </w:p>
        </w:tc>
        <w:tc>
          <w:tcPr>
            <w:tcW w:w="2174"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w:t>
            </w:r>
          </w:p>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申报情形</w:t>
            </w:r>
          </w:p>
        </w:tc>
        <w:tc>
          <w:tcPr>
            <w:tcW w:w="2691" w:type="dxa"/>
            <w:vAlign w:val="center"/>
          </w:tcPr>
          <w:p>
            <w:pPr>
              <w:rPr>
                <w:color w:val="000000" w:themeColor="text1"/>
                <w:sz w:val="24"/>
                <w14:textFill>
                  <w14:solidFill>
                    <w14:schemeClr w14:val="tx1"/>
                  </w14:solidFill>
                </w14:textFill>
              </w:rPr>
            </w:pPr>
            <w:r>
              <w:rPr>
                <w:color w:val="000000" w:themeColor="text1"/>
                <w:sz w:val="24"/>
                <w14:textFill>
                  <w14:solidFill>
                    <w14:schemeClr w14:val="tx1"/>
                  </w14:solidFill>
                </w14:textFill>
              </w:rPr>
              <w:sym w:font="Wingdings" w:char="00FE"/>
            </w:r>
            <w:r>
              <w:rPr>
                <w:color w:val="000000" w:themeColor="text1"/>
                <w:sz w:val="24"/>
                <w14:textFill>
                  <w14:solidFill>
                    <w14:schemeClr w14:val="tx1"/>
                  </w14:solidFill>
                </w14:textFill>
              </w:rPr>
              <w:t xml:space="preserve">首次申报项目             </w:t>
            </w:r>
          </w:p>
          <w:p>
            <w:pPr>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不予批准后再次申报项目</w:t>
            </w:r>
          </w:p>
          <w:p>
            <w:pPr>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超五年重新审核项目     </w:t>
            </w:r>
          </w:p>
          <w:p>
            <w:pPr>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20"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项目审批（核准/备案）部门（选填）</w:t>
            </w:r>
          </w:p>
        </w:tc>
        <w:tc>
          <w:tcPr>
            <w:tcW w:w="2965"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w:t>
            </w:r>
          </w:p>
        </w:tc>
        <w:tc>
          <w:tcPr>
            <w:tcW w:w="2174"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项目审批（核准/备案）文号（选填）</w:t>
            </w:r>
          </w:p>
        </w:tc>
        <w:tc>
          <w:tcPr>
            <w:tcW w:w="2691"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21" w:hRule="atLeast"/>
          <w:jc w:val="center"/>
        </w:trPr>
        <w:tc>
          <w:tcPr>
            <w:tcW w:w="1220"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总投资（万元）</w:t>
            </w:r>
          </w:p>
        </w:tc>
        <w:tc>
          <w:tcPr>
            <w:tcW w:w="2965"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100</w:t>
            </w:r>
          </w:p>
        </w:tc>
        <w:tc>
          <w:tcPr>
            <w:tcW w:w="2174"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环保投资（万元）</w:t>
            </w:r>
          </w:p>
        </w:tc>
        <w:tc>
          <w:tcPr>
            <w:tcW w:w="2691"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4" w:hRule="atLeast"/>
          <w:jc w:val="center"/>
        </w:trPr>
        <w:tc>
          <w:tcPr>
            <w:tcW w:w="1220"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环保投资占比（%）</w:t>
            </w:r>
          </w:p>
        </w:tc>
        <w:tc>
          <w:tcPr>
            <w:tcW w:w="2965"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15</w:t>
            </w:r>
          </w:p>
        </w:tc>
        <w:tc>
          <w:tcPr>
            <w:tcW w:w="2174"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施工工期</w:t>
            </w:r>
          </w:p>
        </w:tc>
        <w:tc>
          <w:tcPr>
            <w:tcW w:w="2691" w:type="dxa"/>
            <w:vAlign w:val="center"/>
          </w:tcPr>
          <w:p>
            <w:pPr>
              <w:adjustRightInd w:val="0"/>
              <w:snapToGrid w:val="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租用已建厂房，设备安装需要1个月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220" w:type="dxa"/>
            <w:tcMar>
              <w:top w:w="16" w:type="dxa"/>
              <w:left w:w="16" w:type="dxa"/>
              <w:right w:w="16" w:type="dxa"/>
            </w:tcMar>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是否开工建设</w:t>
            </w:r>
          </w:p>
        </w:tc>
        <w:tc>
          <w:tcPr>
            <w:tcW w:w="2965" w:type="dxa"/>
            <w:vAlign w:val="center"/>
          </w:tcPr>
          <w:p>
            <w:pPr>
              <w:adjustRightInd w:val="0"/>
              <w:snapToGrid w:val="0"/>
              <w:spacing w:line="276" w:lineRule="auto"/>
              <w:rPr>
                <w:color w:val="000000" w:themeColor="text1"/>
                <w:sz w:val="24"/>
                <w14:textFill>
                  <w14:solidFill>
                    <w14:schemeClr w14:val="tx1"/>
                  </w14:solidFill>
                </w14:textFill>
              </w:rPr>
            </w:pPr>
            <w:r>
              <w:rPr>
                <w:color w:val="000000" w:themeColor="text1"/>
                <w:sz w:val="24"/>
                <w14:textFill>
                  <w14:solidFill>
                    <w14:schemeClr w14:val="tx1"/>
                  </w14:solidFill>
                </w14:textFill>
              </w:rPr>
              <w:sym w:font="Wingdings" w:char="00FE"/>
            </w:r>
            <w:r>
              <w:rPr>
                <w:color w:val="000000" w:themeColor="text1"/>
                <w:sz w:val="24"/>
                <w14:textFill>
                  <w14:solidFill>
                    <w14:schemeClr w14:val="tx1"/>
                  </w14:solidFill>
                </w14:textFill>
              </w:rPr>
              <w:t>否</w:t>
            </w:r>
          </w:p>
          <w:p>
            <w:pPr>
              <w:adjustRightInd w:val="0"/>
              <w:snapToGrid w:val="0"/>
              <w:spacing w:line="276" w:lineRule="auto"/>
              <w:rPr>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是</w:t>
            </w:r>
            <w:r>
              <w:rPr>
                <w:color w:val="000000" w:themeColor="text1"/>
                <w:sz w:val="24"/>
                <w:u w:val="single"/>
                <w14:textFill>
                  <w14:solidFill>
                    <w14:schemeClr w14:val="tx1"/>
                  </w14:solidFill>
                </w14:textFill>
              </w:rPr>
              <w:t xml:space="preserve">：     </w:t>
            </w:r>
          </w:p>
        </w:tc>
        <w:tc>
          <w:tcPr>
            <w:tcW w:w="2174" w:type="dxa"/>
            <w:tcMar>
              <w:top w:w="16" w:type="dxa"/>
              <w:left w:w="16" w:type="dxa"/>
              <w:right w:w="16" w:type="dxa"/>
            </w:tcMar>
            <w:vAlign w:val="center"/>
          </w:tcPr>
          <w:p>
            <w:pPr>
              <w:adjustRightInd w:val="0"/>
              <w:snapToGrid w:val="0"/>
              <w:jc w:val="center"/>
              <w:rPr>
                <w:color w:val="000000" w:themeColor="text1"/>
                <w:spacing w:val="-6"/>
                <w:sz w:val="24"/>
                <w14:textFill>
                  <w14:solidFill>
                    <w14:schemeClr w14:val="tx1"/>
                  </w14:solidFill>
                </w14:textFill>
              </w:rPr>
            </w:pPr>
            <w:r>
              <w:rPr>
                <w:color w:val="000000" w:themeColor="text1"/>
                <w:spacing w:val="-6"/>
                <w:sz w:val="24"/>
                <w14:textFill>
                  <w14:solidFill>
                    <w14:schemeClr w14:val="tx1"/>
                  </w14:solidFill>
                </w14:textFill>
              </w:rPr>
              <w:t>用地（用海）</w:t>
            </w:r>
          </w:p>
          <w:p>
            <w:pPr>
              <w:adjustRightInd w:val="0"/>
              <w:snapToGrid w:val="0"/>
              <w:jc w:val="center"/>
              <w:rPr>
                <w:color w:val="000000" w:themeColor="text1"/>
                <w:sz w:val="24"/>
                <w14:textFill>
                  <w14:solidFill>
                    <w14:schemeClr w14:val="tx1"/>
                  </w14:solidFill>
                </w14:textFill>
              </w:rPr>
            </w:pPr>
            <w:r>
              <w:rPr>
                <w:color w:val="000000" w:themeColor="text1"/>
                <w:spacing w:val="-6"/>
                <w:sz w:val="24"/>
                <w14:textFill>
                  <w14:solidFill>
                    <w14:schemeClr w14:val="tx1"/>
                  </w14:solidFill>
                </w14:textFill>
              </w:rPr>
              <w:t>面积（m</w:t>
            </w:r>
            <w:r>
              <w:rPr>
                <w:color w:val="000000" w:themeColor="text1"/>
                <w:spacing w:val="-6"/>
                <w:sz w:val="24"/>
                <w:vertAlign w:val="superscript"/>
                <w14:textFill>
                  <w14:solidFill>
                    <w14:schemeClr w14:val="tx1"/>
                  </w14:solidFill>
                </w14:textFill>
              </w:rPr>
              <w:t>2</w:t>
            </w:r>
            <w:r>
              <w:rPr>
                <w:color w:val="000000" w:themeColor="text1"/>
                <w:spacing w:val="-6"/>
                <w:sz w:val="24"/>
                <w14:textFill>
                  <w14:solidFill>
                    <w14:schemeClr w14:val="tx1"/>
                  </w14:solidFill>
                </w14:textFill>
              </w:rPr>
              <w:t>）</w:t>
            </w:r>
          </w:p>
        </w:tc>
        <w:tc>
          <w:tcPr>
            <w:tcW w:w="2691"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5467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220" w:type="dxa"/>
            <w:vAlign w:val="center"/>
          </w:tcPr>
          <w:p>
            <w:pPr>
              <w:autoSpaceDE w:val="0"/>
              <w:autoSpaceDN w:val="0"/>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专项评价设置情况</w:t>
            </w:r>
          </w:p>
        </w:tc>
        <w:tc>
          <w:tcPr>
            <w:tcW w:w="7830" w:type="dxa"/>
            <w:gridSpan w:val="3"/>
            <w:vAlign w:val="center"/>
          </w:tcPr>
          <w:p>
            <w:pPr>
              <w:autoSpaceDE w:val="0"/>
              <w:autoSpaceDN w:val="0"/>
              <w:adjustRightInd w:val="0"/>
              <w:spacing w:line="360" w:lineRule="auto"/>
              <w:jc w:val="center"/>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20" w:type="dxa"/>
            <w:vAlign w:val="center"/>
          </w:tcPr>
          <w:p>
            <w:pPr>
              <w:autoSpaceDE w:val="0"/>
              <w:autoSpaceDN w:val="0"/>
              <w:adjustRightInd w:val="0"/>
              <w:snapToGrid w:val="0"/>
              <w:jc w:val="center"/>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规划情况</w:t>
            </w:r>
          </w:p>
        </w:tc>
        <w:tc>
          <w:tcPr>
            <w:tcW w:w="7830" w:type="dxa"/>
            <w:gridSpan w:val="3"/>
            <w:vAlign w:val="center"/>
          </w:tcPr>
          <w:p>
            <w:pPr>
              <w:autoSpaceDE w:val="0"/>
              <w:autoSpaceDN w:val="0"/>
              <w:adjustRightInd w:val="0"/>
              <w:spacing w:line="360" w:lineRule="auto"/>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220" w:type="dxa"/>
            <w:vAlign w:val="center"/>
          </w:tcPr>
          <w:p>
            <w:pPr>
              <w:adjustRightInd w:val="0"/>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规划环境影响</w:t>
            </w:r>
          </w:p>
          <w:p>
            <w:pPr>
              <w:adjustRightInd w:val="0"/>
              <w:snapToGrid w:val="0"/>
              <w:jc w:val="center"/>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评价情况</w:t>
            </w:r>
          </w:p>
        </w:tc>
        <w:tc>
          <w:tcPr>
            <w:tcW w:w="7830" w:type="dxa"/>
            <w:gridSpan w:val="3"/>
            <w:vAlign w:val="center"/>
          </w:tcPr>
          <w:p>
            <w:pPr>
              <w:autoSpaceDE w:val="0"/>
              <w:autoSpaceDN w:val="0"/>
              <w:adjustRightInd w:val="0"/>
              <w:spacing w:line="360" w:lineRule="auto"/>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20" w:type="dxa"/>
            <w:vAlign w:val="center"/>
          </w:tcPr>
          <w:p>
            <w:pPr>
              <w:autoSpaceDE w:val="0"/>
              <w:autoSpaceDN w:val="0"/>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规划及规划环境影响评价符合性分析</w:t>
            </w:r>
          </w:p>
        </w:tc>
        <w:tc>
          <w:tcPr>
            <w:tcW w:w="7830" w:type="dxa"/>
            <w:gridSpan w:val="3"/>
            <w:vAlign w:val="center"/>
          </w:tcPr>
          <w:p>
            <w:pPr>
              <w:autoSpaceDE w:val="0"/>
              <w:autoSpaceDN w:val="0"/>
              <w:adjustRightInd w:val="0"/>
              <w:spacing w:line="360" w:lineRule="auto"/>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41" w:hRule="atLeast"/>
          <w:jc w:val="center"/>
        </w:trPr>
        <w:tc>
          <w:tcPr>
            <w:tcW w:w="1220" w:type="dxa"/>
            <w:vAlign w:val="center"/>
          </w:tcPr>
          <w:p>
            <w:pPr>
              <w:autoSpaceDE w:val="0"/>
              <w:autoSpaceDN w:val="0"/>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其他符合性分析</w:t>
            </w:r>
          </w:p>
        </w:tc>
        <w:tc>
          <w:tcPr>
            <w:tcW w:w="7830" w:type="dxa"/>
            <w:gridSpan w:val="3"/>
            <w:vAlign w:val="center"/>
          </w:tcPr>
          <w:p>
            <w:pPr>
              <w:tabs>
                <w:tab w:val="center" w:pos="4718"/>
              </w:tabs>
              <w:spacing w:line="360" w:lineRule="auto"/>
              <w:ind w:firstLine="472" w:firstLineChars="196"/>
              <w:rPr>
                <w:b/>
                <w:color w:val="000000" w:themeColor="text1"/>
                <w:sz w:val="24"/>
                <w14:textFill>
                  <w14:solidFill>
                    <w14:schemeClr w14:val="tx1"/>
                  </w14:solidFill>
                </w14:textFill>
              </w:rPr>
            </w:pPr>
            <w:r>
              <w:rPr>
                <w:b/>
                <w:color w:val="000000" w:themeColor="text1"/>
                <w:sz w:val="24"/>
                <w14:textFill>
                  <w14:solidFill>
                    <w14:schemeClr w14:val="tx1"/>
                  </w14:solidFill>
                </w14:textFill>
              </w:rPr>
              <w:t>1、产业政策相符性</w:t>
            </w:r>
          </w:p>
          <w:p>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本项目为</w:t>
            </w:r>
            <w:r>
              <w:rPr>
                <w:rFonts w:hint="eastAsia"/>
                <w:color w:val="000000" w:themeColor="text1"/>
                <w:sz w:val="24"/>
                <w14:textFill>
                  <w14:solidFill>
                    <w14:schemeClr w14:val="tx1"/>
                  </w14:solidFill>
                </w14:textFill>
              </w:rPr>
              <w:t>C2039 软木制品及其他木制品制造</w:t>
            </w:r>
            <w:r>
              <w:rPr>
                <w:color w:val="000000" w:themeColor="text1"/>
                <w:sz w:val="24"/>
                <w14:textFill>
                  <w14:solidFill>
                    <w14:schemeClr w14:val="tx1"/>
                  </w14:solidFill>
                </w14:textFill>
              </w:rPr>
              <w:t>类项目</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根据</w:t>
            </w:r>
            <w:r>
              <w:rPr>
                <w:rFonts w:hint="eastAsia"/>
                <w:bCs/>
                <w:color w:val="000000" w:themeColor="text1"/>
                <w:sz w:val="24"/>
                <w14:textFill>
                  <w14:solidFill>
                    <w14:schemeClr w14:val="tx1"/>
                  </w14:solidFill>
                </w14:textFill>
              </w:rPr>
              <w:t>国家发改委</w:t>
            </w:r>
            <w:r>
              <w:rPr>
                <w:bCs/>
                <w:color w:val="000000" w:themeColor="text1"/>
                <w:sz w:val="24"/>
                <w14:textFill>
                  <w14:solidFill>
                    <w14:schemeClr w14:val="tx1"/>
                  </w14:solidFill>
                </w14:textFill>
              </w:rPr>
              <w:t>发布的</w:t>
            </w:r>
            <w:r>
              <w:rPr>
                <w:rFonts w:hint="eastAsia"/>
                <w:bCs/>
                <w:color w:val="000000" w:themeColor="text1"/>
                <w:sz w:val="24"/>
                <w14:textFill>
                  <w14:solidFill>
                    <w14:schemeClr w14:val="tx1"/>
                  </w14:solidFill>
                </w14:textFill>
              </w:rPr>
              <w:t>《产业结构调整指导</w:t>
            </w:r>
            <w:r>
              <w:rPr>
                <w:bCs/>
                <w:color w:val="000000" w:themeColor="text1"/>
                <w:sz w:val="24"/>
                <w14:textFill>
                  <w14:solidFill>
                    <w14:schemeClr w14:val="tx1"/>
                  </w14:solidFill>
                </w14:textFill>
              </w:rPr>
              <w:t>目录》（20</w:t>
            </w:r>
            <w:r>
              <w:rPr>
                <w:rFonts w:hint="eastAsia"/>
                <w:bCs/>
                <w:color w:val="000000" w:themeColor="text1"/>
                <w:sz w:val="24"/>
                <w14:textFill>
                  <w14:solidFill>
                    <w14:schemeClr w14:val="tx1"/>
                  </w14:solidFill>
                </w14:textFill>
              </w:rPr>
              <w:t>21</w:t>
            </w:r>
            <w:r>
              <w:rPr>
                <w:bCs/>
                <w:color w:val="000000" w:themeColor="text1"/>
                <w:sz w:val="24"/>
                <w14:textFill>
                  <w14:solidFill>
                    <w14:schemeClr w14:val="tx1"/>
                  </w14:solidFill>
                </w14:textFill>
              </w:rPr>
              <w:t>年</w:t>
            </w:r>
            <w:r>
              <w:rPr>
                <w:rFonts w:hint="eastAsia"/>
                <w:bCs/>
                <w:color w:val="000000" w:themeColor="text1"/>
                <w:sz w:val="24"/>
                <w14:textFill>
                  <w14:solidFill>
                    <w14:schemeClr w14:val="tx1"/>
                  </w14:solidFill>
                </w14:textFill>
              </w:rPr>
              <w:t>修改</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中，本项目</w:t>
            </w:r>
            <w:r>
              <w:rPr>
                <w:bCs/>
                <w:color w:val="000000" w:themeColor="text1"/>
                <w:sz w:val="24"/>
                <w14:textFill>
                  <w14:solidFill>
                    <w14:schemeClr w14:val="tx1"/>
                  </w14:solidFill>
                </w14:textFill>
              </w:rPr>
              <w:t>产品及</w:t>
            </w:r>
            <w:r>
              <w:rPr>
                <w:rFonts w:hint="eastAsia"/>
                <w:bCs/>
                <w:color w:val="000000" w:themeColor="text1"/>
                <w:sz w:val="24"/>
                <w14:textFill>
                  <w14:solidFill>
                    <w14:schemeClr w14:val="tx1"/>
                  </w14:solidFill>
                </w14:textFill>
              </w:rPr>
              <w:t>生产</w:t>
            </w:r>
            <w:r>
              <w:rPr>
                <w:bCs/>
                <w:color w:val="000000" w:themeColor="text1"/>
                <w:sz w:val="24"/>
                <w14:textFill>
                  <w14:solidFill>
                    <w14:schemeClr w14:val="tx1"/>
                  </w14:solidFill>
                </w14:textFill>
              </w:rPr>
              <w:t>工艺不属于</w:t>
            </w:r>
            <w:r>
              <w:rPr>
                <w:rFonts w:hint="eastAsia"/>
                <w:bCs/>
                <w:color w:val="000000" w:themeColor="text1"/>
                <w:sz w:val="24"/>
                <w14:textFill>
                  <w14:solidFill>
                    <w14:schemeClr w14:val="tx1"/>
                  </w14:solidFill>
                </w14:textFill>
              </w:rPr>
              <w:t>其规定</w:t>
            </w:r>
            <w:r>
              <w:rPr>
                <w:bCs/>
                <w:color w:val="000000" w:themeColor="text1"/>
                <w:sz w:val="24"/>
                <w14:textFill>
                  <w14:solidFill>
                    <w14:schemeClr w14:val="tx1"/>
                  </w14:solidFill>
                </w14:textFill>
              </w:rPr>
              <w:t>的淘汰和限制</w:t>
            </w:r>
            <w:r>
              <w:rPr>
                <w:rFonts w:hint="eastAsia"/>
                <w:bCs/>
                <w:color w:val="000000" w:themeColor="text1"/>
                <w:sz w:val="24"/>
                <w14:textFill>
                  <w14:solidFill>
                    <w14:schemeClr w14:val="tx1"/>
                  </w14:solidFill>
                </w14:textFill>
              </w:rPr>
              <w:t>类项目；</w:t>
            </w:r>
            <w:r>
              <w:rPr>
                <w:bCs/>
                <w:color w:val="000000" w:themeColor="text1"/>
                <w:sz w:val="24"/>
                <w14:textFill>
                  <w14:solidFill>
                    <w14:schemeClr w14:val="tx1"/>
                  </w14:solidFill>
                </w14:textFill>
              </w:rPr>
              <w:t>根据国家发展改革委、商务部</w:t>
            </w:r>
            <w:r>
              <w:rPr>
                <w:rFonts w:hint="eastAsia"/>
                <w:bCs/>
                <w:color w:val="000000" w:themeColor="text1"/>
                <w:sz w:val="24"/>
                <w14:textFill>
                  <w14:solidFill>
                    <w14:schemeClr w14:val="tx1"/>
                  </w14:solidFill>
                </w14:textFill>
              </w:rPr>
              <w:t>发布的</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市场准入负面清单（2022 年版）》（发改体改规〔2022〕397号），</w:t>
            </w:r>
            <w:r>
              <w:rPr>
                <w:bCs/>
                <w:color w:val="000000" w:themeColor="text1"/>
                <w:sz w:val="24"/>
                <w14:textFill>
                  <w14:solidFill>
                    <w14:schemeClr w14:val="tx1"/>
                  </w14:solidFill>
                </w14:textFill>
              </w:rPr>
              <w:t>本项目不属于</w:t>
            </w:r>
            <w:r>
              <w:rPr>
                <w:rFonts w:ascii="宋体" w:hAnsi="宋体"/>
                <w:bCs/>
                <w:color w:val="000000" w:themeColor="text1"/>
                <w:sz w:val="24"/>
                <w14:textFill>
                  <w14:solidFill>
                    <w14:schemeClr w14:val="tx1"/>
                  </w14:solidFill>
                </w14:textFill>
              </w:rPr>
              <w:t>“</w:t>
            </w:r>
            <w:r>
              <w:rPr>
                <w:rFonts w:hint="eastAsia" w:ascii="宋体" w:hAnsi="宋体"/>
                <w:bCs/>
                <w:color w:val="000000" w:themeColor="text1"/>
                <w:sz w:val="24"/>
                <w14:textFill>
                  <w14:solidFill>
                    <w14:schemeClr w14:val="tx1"/>
                  </w14:solidFill>
                </w14:textFill>
              </w:rPr>
              <w:t>与市场</w:t>
            </w:r>
            <w:r>
              <w:rPr>
                <w:rFonts w:ascii="宋体" w:hAnsi="宋体"/>
                <w:bCs/>
                <w:color w:val="000000" w:themeColor="text1"/>
                <w:sz w:val="24"/>
                <w14:textFill>
                  <w14:solidFill>
                    <w14:schemeClr w14:val="tx1"/>
                  </w14:solidFill>
                </w14:textFill>
              </w:rPr>
              <w:t>准入相关的禁止性规定”</w:t>
            </w:r>
            <w:r>
              <w:rPr>
                <w:rFonts w:hint="eastAsia" w:ascii="宋体" w:hAnsi="宋体"/>
                <w:bCs/>
                <w:color w:val="000000" w:themeColor="text1"/>
                <w:sz w:val="24"/>
                <w14:textFill>
                  <w14:solidFill>
                    <w14:schemeClr w14:val="tx1"/>
                  </w14:solidFill>
                </w14:textFill>
              </w:rPr>
              <w:t>中</w:t>
            </w:r>
            <w:r>
              <w:rPr>
                <w:rFonts w:ascii="宋体" w:hAnsi="宋体"/>
                <w:bCs/>
                <w:color w:val="000000" w:themeColor="text1"/>
                <w:sz w:val="24"/>
                <w14:textFill>
                  <w14:solidFill>
                    <w14:schemeClr w14:val="tx1"/>
                  </w14:solidFill>
                </w14:textFill>
              </w:rPr>
              <w:t>的</w:t>
            </w:r>
            <w:r>
              <w:rPr>
                <w:rFonts w:hint="eastAsia" w:ascii="宋体" w:hAnsi="宋体"/>
                <w:bCs/>
                <w:color w:val="000000" w:themeColor="text1"/>
                <w:sz w:val="24"/>
                <w14:textFill>
                  <w14:solidFill>
                    <w14:schemeClr w14:val="tx1"/>
                  </w14:solidFill>
                </w14:textFill>
              </w:rPr>
              <w:t>“制造业”禁止</w:t>
            </w:r>
            <w:r>
              <w:rPr>
                <w:rFonts w:ascii="宋体" w:hAnsi="宋体"/>
                <w:bCs/>
                <w:color w:val="000000" w:themeColor="text1"/>
                <w:sz w:val="24"/>
                <w14:textFill>
                  <w14:solidFill>
                    <w14:schemeClr w14:val="tx1"/>
                  </w14:solidFill>
                </w14:textFill>
              </w:rPr>
              <w:t>措施，亦不属于“</w:t>
            </w:r>
            <w:r>
              <w:rPr>
                <w:rFonts w:hint="eastAsia" w:ascii="宋体" w:hAnsi="宋体"/>
                <w:bCs/>
                <w:color w:val="000000" w:themeColor="text1"/>
                <w:sz w:val="24"/>
                <w14:textFill>
                  <w14:solidFill>
                    <w14:schemeClr w14:val="tx1"/>
                  </w14:solidFill>
                </w14:textFill>
              </w:rPr>
              <w:t>市场</w:t>
            </w:r>
            <w:r>
              <w:rPr>
                <w:rFonts w:ascii="宋体" w:hAnsi="宋体"/>
                <w:bCs/>
                <w:color w:val="000000" w:themeColor="text1"/>
                <w:sz w:val="24"/>
                <w14:textFill>
                  <w14:solidFill>
                    <w14:schemeClr w14:val="tx1"/>
                  </w14:solidFill>
                </w14:textFill>
              </w:rPr>
              <w:t>准入负面清单”</w:t>
            </w:r>
            <w:r>
              <w:rPr>
                <w:rFonts w:hint="eastAsia" w:ascii="宋体" w:hAnsi="宋体"/>
                <w:bCs/>
                <w:color w:val="000000" w:themeColor="text1"/>
                <w:sz w:val="24"/>
                <w14:textFill>
                  <w14:solidFill>
                    <w14:schemeClr w14:val="tx1"/>
                  </w14:solidFill>
                </w14:textFill>
              </w:rPr>
              <w:t>中</w:t>
            </w:r>
            <w:r>
              <w:rPr>
                <w:rFonts w:ascii="宋体" w:hAnsi="宋体"/>
                <w:bCs/>
                <w:color w:val="000000" w:themeColor="text1"/>
                <w:sz w:val="24"/>
                <w14:textFill>
                  <w14:solidFill>
                    <w14:schemeClr w14:val="tx1"/>
                  </w14:solidFill>
                </w14:textFill>
              </w:rPr>
              <w:t>的“</w:t>
            </w:r>
            <w:r>
              <w:rPr>
                <w:rFonts w:hint="eastAsia" w:ascii="宋体" w:hAnsi="宋体"/>
                <w:bCs/>
                <w:color w:val="000000" w:themeColor="text1"/>
                <w:sz w:val="24"/>
                <w14:textFill>
                  <w14:solidFill>
                    <w14:schemeClr w14:val="tx1"/>
                  </w14:solidFill>
                </w14:textFill>
              </w:rPr>
              <w:t>禁止</w:t>
            </w:r>
            <w:r>
              <w:rPr>
                <w:rFonts w:ascii="宋体" w:hAnsi="宋体"/>
                <w:bCs/>
                <w:color w:val="000000" w:themeColor="text1"/>
                <w:sz w:val="24"/>
                <w14:textFill>
                  <w14:solidFill>
                    <w14:schemeClr w14:val="tx1"/>
                  </w14:solidFill>
                </w14:textFill>
              </w:rPr>
              <w:t>准入类”</w:t>
            </w:r>
            <w:r>
              <w:rPr>
                <w:bCs/>
                <w:color w:val="000000" w:themeColor="text1"/>
                <w:sz w:val="24"/>
                <w14:textFill>
                  <w14:solidFill>
                    <w14:schemeClr w14:val="tx1"/>
                  </w14:solidFill>
                </w14:textFill>
              </w:rPr>
              <w:t>，故本项目的建设</w:t>
            </w:r>
            <w:r>
              <w:rPr>
                <w:rFonts w:hint="eastAsia"/>
                <w:bCs/>
                <w:color w:val="000000" w:themeColor="text1"/>
                <w:sz w:val="24"/>
                <w14:textFill>
                  <w14:solidFill>
                    <w14:schemeClr w14:val="tx1"/>
                  </w14:solidFill>
                </w14:textFill>
              </w:rPr>
              <w:t>符合国家当前产业政策。</w:t>
            </w:r>
          </w:p>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项目</w:t>
            </w:r>
            <w:r>
              <w:rPr>
                <w:rFonts w:hint="eastAsia"/>
                <w:b/>
                <w:bCs/>
                <w:color w:val="000000" w:themeColor="text1"/>
                <w:sz w:val="24"/>
                <w14:textFill>
                  <w14:solidFill>
                    <w14:schemeClr w14:val="tx1"/>
                  </w14:solidFill>
                </w14:textFill>
              </w:rPr>
              <w:t>用地</w:t>
            </w:r>
            <w:r>
              <w:rPr>
                <w:b/>
                <w:bCs/>
                <w:color w:val="000000" w:themeColor="text1"/>
                <w:sz w:val="24"/>
                <w14:textFill>
                  <w14:solidFill>
                    <w14:schemeClr w14:val="tx1"/>
                  </w14:solidFill>
                </w14:textFill>
              </w:rPr>
              <w:t>合法性分析</w:t>
            </w:r>
          </w:p>
          <w:p>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本项目</w:t>
            </w:r>
            <w:r>
              <w:rPr>
                <w:bCs/>
                <w:color w:val="000000" w:themeColor="text1"/>
                <w:sz w:val="24"/>
                <w14:textFill>
                  <w14:solidFill>
                    <w14:schemeClr w14:val="tx1"/>
                  </w14:solidFill>
                </w14:textFill>
              </w:rPr>
              <w:t>位于</w:t>
            </w:r>
            <w:r>
              <w:rPr>
                <w:rFonts w:hint="eastAsia"/>
                <w:color w:val="000000" w:themeColor="text1"/>
                <w:sz w:val="24"/>
                <w14:textFill>
                  <w14:solidFill>
                    <w14:schemeClr w14:val="tx1"/>
                  </w14:solidFill>
                </w14:textFill>
              </w:rPr>
              <w:t>博罗县福田镇新屋仔村麦园下</w:t>
            </w:r>
            <w:r>
              <w:rPr>
                <w:bCs/>
                <w:color w:val="000000" w:themeColor="text1"/>
                <w:sz w:val="24"/>
                <w14:textFill>
                  <w14:solidFill>
                    <w14:schemeClr w14:val="tx1"/>
                  </w14:solidFill>
                </w14:textFill>
              </w:rPr>
              <w:t>，总用地面积为5467</w:t>
            </w:r>
            <w:r>
              <w:rPr>
                <w:rFonts w:hint="eastAsia"/>
                <w:bCs/>
                <w:color w:val="000000" w:themeColor="text1"/>
                <w:sz w:val="24"/>
                <w14:textFill>
                  <w14:solidFill>
                    <w14:schemeClr w14:val="tx1"/>
                  </w14:solidFill>
                </w14:textFill>
              </w:rPr>
              <w:t>平方米</w:t>
            </w:r>
            <w:r>
              <w:rPr>
                <w:bCs/>
                <w:color w:val="000000" w:themeColor="text1"/>
                <w:sz w:val="24"/>
                <w14:textFill>
                  <w14:solidFill>
                    <w14:schemeClr w14:val="tx1"/>
                  </w14:solidFill>
                </w14:textFill>
              </w:rPr>
              <w:t>，根据</w:t>
            </w:r>
            <w:r>
              <w:rPr>
                <w:rFonts w:hint="eastAsia"/>
                <w:bCs/>
                <w:color w:val="000000" w:themeColor="text1"/>
                <w:sz w:val="24"/>
                <w14:textFill>
                  <w14:solidFill>
                    <w14:schemeClr w14:val="tx1"/>
                  </w14:solidFill>
                </w14:textFill>
              </w:rPr>
              <w:t>项目</w:t>
            </w:r>
            <w:r>
              <w:rPr>
                <w:bCs/>
                <w:color w:val="000000" w:themeColor="text1"/>
                <w:sz w:val="24"/>
                <w14:textFill>
                  <w14:solidFill>
                    <w14:schemeClr w14:val="tx1"/>
                  </w14:solidFill>
                </w14:textFill>
              </w:rPr>
              <w:t>所在厂房证明</w:t>
            </w:r>
            <w:r>
              <w:rPr>
                <w:rFonts w:hint="eastAsia"/>
                <w:bCs/>
                <w:color w:val="000000" w:themeColor="text1"/>
                <w:sz w:val="24"/>
                <w14:textFill>
                  <w14:solidFill>
                    <w14:schemeClr w14:val="tx1"/>
                  </w14:solidFill>
                </w14:textFill>
              </w:rPr>
              <w:t>（见附件2），本项目厂房</w:t>
            </w:r>
            <w:r>
              <w:rPr>
                <w:bCs/>
                <w:color w:val="000000" w:themeColor="text1"/>
                <w:sz w:val="24"/>
                <w14:textFill>
                  <w14:solidFill>
                    <w14:schemeClr w14:val="tx1"/>
                  </w14:solidFill>
                </w14:textFill>
              </w:rPr>
              <w:t>可作为经营场所使用</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用地</w:t>
            </w:r>
            <w:r>
              <w:rPr>
                <w:rFonts w:hint="eastAsia"/>
                <w:bCs/>
                <w:color w:val="000000" w:themeColor="text1"/>
                <w:sz w:val="24"/>
                <w14:textFill>
                  <w14:solidFill>
                    <w14:schemeClr w14:val="tx1"/>
                  </w14:solidFill>
                </w14:textFill>
              </w:rPr>
              <w:t>符合</w:t>
            </w:r>
            <w:r>
              <w:rPr>
                <w:bCs/>
                <w:color w:val="000000" w:themeColor="text1"/>
                <w:sz w:val="24"/>
                <w14:textFill>
                  <w14:solidFill>
                    <w14:schemeClr w14:val="tx1"/>
                  </w14:solidFill>
                </w14:textFill>
              </w:rPr>
              <w:t>当地的总体规划。</w:t>
            </w:r>
          </w:p>
          <w:p>
            <w:pPr>
              <w:spacing w:line="360" w:lineRule="auto"/>
              <w:ind w:firstLine="482" w:firstLineChars="200"/>
              <w:rPr>
                <w:rStyle w:val="135"/>
                <w:b/>
                <w:color w:val="000000" w:themeColor="text1"/>
                <w14:textFill>
                  <w14:solidFill>
                    <w14:schemeClr w14:val="tx1"/>
                  </w14:solidFill>
                </w14:textFill>
              </w:rPr>
            </w:pPr>
            <w:r>
              <w:rPr>
                <w:rFonts w:hint="eastAsia"/>
                <w:b/>
                <w:bCs/>
                <w:color w:val="000000" w:themeColor="text1"/>
                <w:sz w:val="24"/>
                <w14:textFill>
                  <w14:solidFill>
                    <w14:schemeClr w14:val="tx1"/>
                  </w14:solidFill>
                </w14:textFill>
              </w:rPr>
              <w:t>3、</w:t>
            </w:r>
            <w:r>
              <w:rPr>
                <w:rStyle w:val="135"/>
                <w:b/>
                <w:color w:val="000000" w:themeColor="text1"/>
                <w14:textFill>
                  <w14:solidFill>
                    <w14:schemeClr w14:val="tx1"/>
                  </w14:solidFill>
                </w14:textFill>
              </w:rPr>
              <w:t>与《</w:t>
            </w:r>
            <w:r>
              <w:rPr>
                <w:rStyle w:val="135"/>
                <w:rFonts w:hint="eastAsia"/>
                <w:b/>
                <w:color w:val="000000" w:themeColor="text1"/>
                <w14:textFill>
                  <w14:solidFill>
                    <w14:schemeClr w14:val="tx1"/>
                  </w14:solidFill>
                </w14:textFill>
              </w:rPr>
              <w:t>惠州市</w:t>
            </w:r>
            <w:r>
              <w:rPr>
                <w:rStyle w:val="119"/>
                <w:rFonts w:hint="default"/>
                <w:b/>
                <w:color w:val="000000" w:themeColor="text1"/>
                <w14:textFill>
                  <w14:solidFill>
                    <w14:schemeClr w14:val="tx1"/>
                  </w14:solidFill>
                </w14:textFill>
              </w:rPr>
              <w:t>“</w:t>
            </w:r>
            <w:r>
              <w:rPr>
                <w:rStyle w:val="135"/>
                <w:b/>
                <w:color w:val="000000" w:themeColor="text1"/>
                <w14:textFill>
                  <w14:solidFill>
                    <w14:schemeClr w14:val="tx1"/>
                  </w14:solidFill>
                </w14:textFill>
              </w:rPr>
              <w:t>三线一单</w:t>
            </w:r>
            <w:r>
              <w:rPr>
                <w:rStyle w:val="119"/>
                <w:rFonts w:hint="default"/>
                <w:b/>
                <w:color w:val="000000" w:themeColor="text1"/>
                <w14:textFill>
                  <w14:solidFill>
                    <w14:schemeClr w14:val="tx1"/>
                  </w14:solidFill>
                </w14:textFill>
              </w:rPr>
              <w:t>”</w:t>
            </w:r>
            <w:r>
              <w:rPr>
                <w:rStyle w:val="135"/>
                <w:b/>
                <w:color w:val="000000" w:themeColor="text1"/>
                <w14:textFill>
                  <w14:solidFill>
                    <w14:schemeClr w14:val="tx1"/>
                  </w14:solidFill>
                </w14:textFill>
              </w:rPr>
              <w:t>生态环境分区管控方案》</w:t>
            </w:r>
            <w:r>
              <w:rPr>
                <w:rStyle w:val="135"/>
                <w:rFonts w:ascii="Times New Roman" w:hAnsi="Times New Roman"/>
                <w:b/>
                <w:color w:val="000000" w:themeColor="text1"/>
                <w14:textFill>
                  <w14:solidFill>
                    <w14:schemeClr w14:val="tx1"/>
                  </w14:solidFill>
                </w14:textFill>
              </w:rPr>
              <w:t>（2021年7月5日）</w:t>
            </w:r>
            <w:r>
              <w:rPr>
                <w:rStyle w:val="135"/>
                <w:b/>
                <w:color w:val="000000" w:themeColor="text1"/>
                <w14:textFill>
                  <w14:solidFill>
                    <w14:schemeClr w14:val="tx1"/>
                  </w14:solidFill>
                </w14:textFill>
              </w:rPr>
              <w:t>的相符性分析</w:t>
            </w:r>
          </w:p>
          <w:p>
            <w:pPr>
              <w:shd w:val="clear" w:color="auto" w:fill="FFFFFF"/>
              <w:adjustRightInd w:val="0"/>
              <w:spacing w:line="360" w:lineRule="auto"/>
              <w:ind w:firstLine="468" w:firstLineChars="200"/>
              <w:outlineLvl w:val="3"/>
              <w:rPr>
                <w:rStyle w:val="119"/>
                <w:rFonts w:hint="default"/>
                <w:color w:val="000000" w:themeColor="text1"/>
                <w14:textFill>
                  <w14:solidFill>
                    <w14:schemeClr w14:val="tx1"/>
                  </w14:solidFill>
                </w14:textFill>
              </w:rPr>
            </w:pPr>
            <w:r>
              <w:rPr>
                <w:rFonts w:hint="eastAsia"/>
                <w:color w:val="000000" w:themeColor="text1"/>
                <w:spacing w:val="-3"/>
                <w:sz w:val="24"/>
                <w14:textFill>
                  <w14:solidFill>
                    <w14:schemeClr w14:val="tx1"/>
                  </w14:solidFill>
                </w14:textFill>
              </w:rPr>
              <w:t>根据《关于以改善环境质量为核心加强环境影响评价管理的通知》（环环评[2016]150号）和《惠州市“三线一单”生态环境分区管控方案》（2021年7月5日）的要求，本项目与所在区域的生态保护红线、环境质量底线、资源利用上线和生态环境准入清单（“三线一单”）进行对照分析。</w:t>
            </w:r>
            <w:r>
              <w:rPr>
                <w:rFonts w:hint="eastAsia" w:ascii="宋体" w:hAnsi="宋体"/>
                <w:color w:val="000000" w:themeColor="text1"/>
                <w:kern w:val="0"/>
                <w:sz w:val="24"/>
                <w14:textFill>
                  <w14:solidFill>
                    <w14:schemeClr w14:val="tx1"/>
                  </w14:solidFill>
                </w14:textFill>
              </w:rPr>
              <w:t>详见下表：</w:t>
            </w:r>
          </w:p>
          <w:p>
            <w:pPr>
              <w:widowControl/>
              <w:spacing w:line="360" w:lineRule="auto"/>
              <w:jc w:val="center"/>
              <w:rPr>
                <w:b/>
                <w:color w:val="000000" w:themeColor="text1"/>
                <w:kern w:val="0"/>
                <w:szCs w:val="21"/>
                <w14:textFill>
                  <w14:solidFill>
                    <w14:schemeClr w14:val="tx1"/>
                  </w14:solidFill>
                </w14:textFill>
              </w:rPr>
            </w:pPr>
            <w:r>
              <w:rPr>
                <w:rStyle w:val="119"/>
                <w:rFonts w:hint="default" w:ascii="Times New Roman" w:hAnsi="Times New Roman"/>
                <w:b/>
                <w:color w:val="000000" w:themeColor="text1"/>
                <w:sz w:val="21"/>
                <w:szCs w:val="21"/>
                <w14:textFill>
                  <w14:solidFill>
                    <w14:schemeClr w14:val="tx1"/>
                  </w14:solidFill>
                </w14:textFill>
              </w:rPr>
              <w:t xml:space="preserve">表 </w:t>
            </w:r>
            <w:r>
              <w:rPr>
                <w:rStyle w:val="120"/>
                <w:rFonts w:ascii="Times New Roman" w:hAnsi="Times New Roman"/>
                <w:b/>
                <w:color w:val="000000" w:themeColor="text1"/>
                <w:sz w:val="21"/>
                <w:szCs w:val="21"/>
                <w14:textFill>
                  <w14:solidFill>
                    <w14:schemeClr w14:val="tx1"/>
                  </w14:solidFill>
                </w14:textFill>
              </w:rPr>
              <w:t xml:space="preserve">1-1 </w:t>
            </w:r>
            <w:r>
              <w:rPr>
                <w:rStyle w:val="119"/>
                <w:rFonts w:hint="default" w:ascii="Times New Roman" w:hAnsi="Times New Roman"/>
                <w:b/>
                <w:color w:val="000000" w:themeColor="text1"/>
                <w:sz w:val="21"/>
                <w:szCs w:val="21"/>
                <w14:textFill>
                  <w14:solidFill>
                    <w14:schemeClr w14:val="tx1"/>
                  </w14:solidFill>
                </w14:textFill>
              </w:rPr>
              <w:t>项目与</w:t>
            </w:r>
            <w:r>
              <w:rPr>
                <w:rStyle w:val="120"/>
                <w:rFonts w:ascii="Times New Roman" w:hAnsi="Times New Roman"/>
                <w:b/>
                <w:color w:val="000000" w:themeColor="text1"/>
                <w:sz w:val="21"/>
                <w:szCs w:val="21"/>
                <w14:textFill>
                  <w14:solidFill>
                    <w14:schemeClr w14:val="tx1"/>
                  </w14:solidFill>
                </w14:textFill>
              </w:rPr>
              <w:t>“</w:t>
            </w:r>
            <w:r>
              <w:rPr>
                <w:rStyle w:val="119"/>
                <w:rFonts w:hint="default" w:ascii="Times New Roman" w:hAnsi="Times New Roman"/>
                <w:b/>
                <w:color w:val="000000" w:themeColor="text1"/>
                <w:sz w:val="21"/>
                <w:szCs w:val="21"/>
                <w14:textFill>
                  <w14:solidFill>
                    <w14:schemeClr w14:val="tx1"/>
                  </w14:solidFill>
                </w14:textFill>
              </w:rPr>
              <w:t>三线一单</w:t>
            </w:r>
            <w:r>
              <w:rPr>
                <w:rStyle w:val="120"/>
                <w:rFonts w:ascii="Times New Roman" w:hAnsi="Times New Roman"/>
                <w:b/>
                <w:color w:val="000000" w:themeColor="text1"/>
                <w:sz w:val="21"/>
                <w:szCs w:val="21"/>
                <w14:textFill>
                  <w14:solidFill>
                    <w14:schemeClr w14:val="tx1"/>
                  </w14:solidFill>
                </w14:textFill>
              </w:rPr>
              <w:t>”</w:t>
            </w:r>
            <w:r>
              <w:rPr>
                <w:rStyle w:val="119"/>
                <w:rFonts w:hint="default" w:ascii="Times New Roman" w:hAnsi="Times New Roman"/>
                <w:b/>
                <w:color w:val="000000" w:themeColor="text1"/>
                <w:sz w:val="21"/>
                <w:szCs w:val="21"/>
                <w14:textFill>
                  <w14:solidFill>
                    <w14:schemeClr w14:val="tx1"/>
                  </w14:solidFill>
                </w14:textFill>
              </w:rPr>
              <w:t>的相符性分析一览表</w:t>
            </w:r>
          </w:p>
          <w:tbl>
            <w:tblPr>
              <w:tblStyle w:val="3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447"/>
              <w:gridCol w:w="529"/>
              <w:gridCol w:w="447"/>
              <w:gridCol w:w="617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tblHeader/>
                <w:jc w:val="center"/>
              </w:trPr>
              <w:tc>
                <w:tcPr>
                  <w:tcW w:w="0" w:type="auto"/>
                  <w:tcBorders>
                    <w:tl2br w:val="nil"/>
                    <w:tr2bl w:val="nil"/>
                  </w:tcBorders>
                  <w:vAlign w:val="center"/>
                </w:tcPr>
                <w:p>
                  <w:pPr>
                    <w:tabs>
                      <w:tab w:val="left" w:pos="4962"/>
                    </w:tabs>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0" w:type="auto"/>
                  <w:gridSpan w:val="2"/>
                  <w:tcBorders>
                    <w:tl2br w:val="nil"/>
                    <w:tr2bl w:val="nil"/>
                  </w:tcBorders>
                  <w:vAlign w:val="center"/>
                </w:tcPr>
                <w:p>
                  <w:pPr>
                    <w:tabs>
                      <w:tab w:val="left" w:pos="4962"/>
                    </w:tabs>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三线一单内容</w:t>
                  </w:r>
                </w:p>
              </w:tc>
              <w:tc>
                <w:tcPr>
                  <w:tcW w:w="0" w:type="auto"/>
                  <w:tcBorders>
                    <w:tl2br w:val="nil"/>
                    <w:tr2bl w:val="nil"/>
                  </w:tcBorders>
                  <w:vAlign w:val="center"/>
                </w:tcPr>
                <w:p>
                  <w:pPr>
                    <w:tabs>
                      <w:tab w:val="left" w:pos="4962"/>
                    </w:tabs>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本项目对照分析情况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w:t>
                  </w:r>
                </w:p>
              </w:tc>
              <w:tc>
                <w:tcPr>
                  <w:tcW w:w="0" w:type="auto"/>
                  <w:gridSpan w:val="2"/>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生态保护红线</w:t>
                  </w:r>
                </w:p>
              </w:tc>
              <w:tc>
                <w:tcPr>
                  <w:tcW w:w="0" w:type="auto"/>
                  <w:tcBorders>
                    <w:tl2br w:val="nil"/>
                    <w:tr2bl w:val="nil"/>
                  </w:tcBorders>
                  <w:vAlign w:val="center"/>
                </w:tcPr>
                <w:p>
                  <w:pPr>
                    <w:tabs>
                      <w:tab w:val="left" w:pos="4962"/>
                    </w:tabs>
                    <w:adjustRightInd w:val="0"/>
                    <w:snapToGrid w:val="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本项目位于惠州市博罗县福田镇，根据《惠州市主体功能区规划》，项目所在区域属于重点拓展区，不位于重点生态功能区、生态环境敏感区和脆弱区等生态保护红线范围内，符合生态保护红线的要求。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0" w:type="auto"/>
                  <w:vMerge w:val="restart"/>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w:t>
                  </w:r>
                </w:p>
              </w:tc>
              <w:tc>
                <w:tcPr>
                  <w:tcW w:w="0" w:type="auto"/>
                  <w:vMerge w:val="restart"/>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环境质量底线</w:t>
                  </w:r>
                </w:p>
              </w:tc>
              <w:tc>
                <w:tcPr>
                  <w:tcW w:w="0" w:type="auto"/>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大气</w:t>
                  </w:r>
                </w:p>
              </w:tc>
              <w:tc>
                <w:tcPr>
                  <w:tcW w:w="0" w:type="auto"/>
                  <w:tcBorders>
                    <w:tl2br w:val="nil"/>
                    <w:tr2bl w:val="nil"/>
                  </w:tcBorders>
                  <w:vAlign w:val="center"/>
                </w:tcPr>
                <w:p>
                  <w:pPr>
                    <w:tabs>
                      <w:tab w:val="left" w:pos="4962"/>
                    </w:tabs>
                    <w:adjustRightInd w:val="0"/>
                    <w:snapToGrid w:val="0"/>
                    <w:rPr>
                      <w:bCs/>
                      <w:color w:val="000000" w:themeColor="text1"/>
                      <w:szCs w:val="21"/>
                      <w14:textFill>
                        <w14:solidFill>
                          <w14:schemeClr w14:val="tx1"/>
                        </w14:solidFill>
                      </w14:textFill>
                    </w:rPr>
                  </w:pPr>
                  <w:r>
                    <w:rPr>
                      <w:rFonts w:hint="eastAsia" w:ascii="宋体" w:hAnsi="宋体"/>
                      <w:color w:val="000000" w:themeColor="text1"/>
                      <w14:textFill>
                        <w14:solidFill>
                          <w14:schemeClr w14:val="tx1"/>
                        </w14:solidFill>
                      </w14:textFill>
                    </w:rPr>
                    <w:t>根据</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21</w:t>
                  </w:r>
                  <w:r>
                    <w:rPr>
                      <w:rFonts w:hint="eastAsia" w:ascii="宋体" w:hAnsi="宋体"/>
                      <w:color w:val="000000" w:themeColor="text1"/>
                      <w14:textFill>
                        <w14:solidFill>
                          <w14:schemeClr w14:val="tx1"/>
                        </w14:solidFill>
                      </w14:textFill>
                    </w:rPr>
                    <w:t>年惠州市环境质量状况公报，</w:t>
                  </w:r>
                  <w:r>
                    <w:rPr>
                      <w:rFonts w:hint="eastAsia"/>
                      <w:color w:val="000000" w:themeColor="text1"/>
                      <w:kern w:val="0"/>
                      <w14:textFill>
                        <w14:solidFill>
                          <w14:schemeClr w14:val="tx1"/>
                        </w14:solidFill>
                      </w14:textFill>
                    </w:rPr>
                    <w:t>2021年，各县（区）二氧化硫（SO</w:t>
                  </w:r>
                  <w:r>
                    <w:rPr>
                      <w:rFonts w:hint="eastAsia"/>
                      <w:color w:val="000000" w:themeColor="text1"/>
                      <w:kern w:val="0"/>
                      <w:vertAlign w:val="subscript"/>
                      <w14:textFill>
                        <w14:solidFill>
                          <w14:schemeClr w14:val="tx1"/>
                        </w14:solidFill>
                      </w14:textFill>
                    </w:rPr>
                    <w:t>2</w:t>
                  </w:r>
                  <w:r>
                    <w:rPr>
                      <w:rFonts w:hint="eastAsia"/>
                      <w:color w:val="000000" w:themeColor="text1"/>
                      <w:kern w:val="0"/>
                      <w14:textFill>
                        <w14:solidFill>
                          <w14:schemeClr w14:val="tx1"/>
                        </w14:solidFill>
                      </w14:textFill>
                    </w:rPr>
                    <w:t>）、二氧化氮（NO</w:t>
                  </w:r>
                  <w:r>
                    <w:rPr>
                      <w:rFonts w:hint="eastAsia"/>
                      <w:color w:val="000000" w:themeColor="text1"/>
                      <w:kern w:val="0"/>
                      <w:vertAlign w:val="subscript"/>
                      <w14:textFill>
                        <w14:solidFill>
                          <w14:schemeClr w14:val="tx1"/>
                        </w14:solidFill>
                      </w14:textFill>
                    </w:rPr>
                    <w:t>2</w:t>
                  </w:r>
                  <w:r>
                    <w:rPr>
                      <w:rFonts w:hint="eastAsia"/>
                      <w:color w:val="000000" w:themeColor="text1"/>
                      <w:kern w:val="0"/>
                      <w14:textFill>
                        <w14:solidFill>
                          <w14:schemeClr w14:val="tx1"/>
                        </w14:solidFill>
                      </w14:textFill>
                    </w:rPr>
                    <w:t>）、一氧化碳（CO）达国家一级标准，臭氧（O</w:t>
                  </w:r>
                  <w:r>
                    <w:rPr>
                      <w:rFonts w:hint="eastAsia"/>
                      <w:color w:val="000000" w:themeColor="text1"/>
                      <w:kern w:val="0"/>
                      <w:vertAlign w:val="subscript"/>
                      <w14:textFill>
                        <w14:solidFill>
                          <w14:schemeClr w14:val="tx1"/>
                        </w14:solidFill>
                      </w14:textFill>
                    </w:rPr>
                    <w:t>3</w:t>
                  </w:r>
                  <w:r>
                    <w:rPr>
                      <w:rFonts w:hint="eastAsia"/>
                      <w:color w:val="000000" w:themeColor="text1"/>
                      <w:kern w:val="0"/>
                      <w14:textFill>
                        <w14:solidFill>
                          <w14:schemeClr w14:val="tx1"/>
                        </w14:solidFill>
                      </w14:textFill>
                    </w:rPr>
                    <w:t>）达国家二级标准；龙门县、大亚湾区和惠东县可吸入颗粒物（PM</w:t>
                  </w:r>
                  <w:r>
                    <w:rPr>
                      <w:rFonts w:hint="eastAsia"/>
                      <w:color w:val="000000" w:themeColor="text1"/>
                      <w:kern w:val="0"/>
                      <w:vertAlign w:val="subscript"/>
                      <w14:textFill>
                        <w14:solidFill>
                          <w14:schemeClr w14:val="tx1"/>
                        </w14:solidFill>
                      </w14:textFill>
                    </w:rPr>
                    <w:t>10</w:t>
                  </w:r>
                  <w:r>
                    <w:rPr>
                      <w:rFonts w:hint="eastAsia"/>
                      <w:color w:val="000000" w:themeColor="text1"/>
                      <w:kern w:val="0"/>
                      <w14:textFill>
                        <w14:solidFill>
                          <w14:schemeClr w14:val="tx1"/>
                        </w14:solidFill>
                      </w14:textFill>
                    </w:rPr>
                    <w:t>）达国家一级标准，其余县（区）达国家二级标准；龙门县细颗粒物（PM</w:t>
                  </w:r>
                  <w:r>
                    <w:rPr>
                      <w:rFonts w:hint="eastAsia"/>
                      <w:color w:val="000000" w:themeColor="text1"/>
                      <w:kern w:val="0"/>
                      <w:vertAlign w:val="subscript"/>
                      <w14:textFill>
                        <w14:solidFill>
                          <w14:schemeClr w14:val="tx1"/>
                        </w14:solidFill>
                      </w14:textFill>
                    </w:rPr>
                    <w:t>2.5</w:t>
                  </w:r>
                  <w:r>
                    <w:rPr>
                      <w:rFonts w:hint="eastAsia"/>
                      <w:color w:val="000000" w:themeColor="text1"/>
                      <w:kern w:val="0"/>
                      <w14:textFill>
                        <w14:solidFill>
                          <w14:schemeClr w14:val="tx1"/>
                        </w14:solidFill>
                      </w14:textFill>
                    </w:rPr>
                    <w:t>）达国家一级标准，其余县（区）达国家二级标准。各县（区）环境空气优良率（达标率）范围在92.6%～99.1%之间；综合指数范围在2.33～3.31之间，主要污染物均为臭氧，次要污染物以可吸入颗粒物PM</w:t>
                  </w:r>
                  <w:r>
                    <w:rPr>
                      <w:rFonts w:hint="eastAsia"/>
                      <w:color w:val="000000" w:themeColor="text1"/>
                      <w:kern w:val="0"/>
                      <w:vertAlign w:val="subscript"/>
                      <w14:textFill>
                        <w14:solidFill>
                          <w14:schemeClr w14:val="tx1"/>
                        </w14:solidFill>
                      </w14:textFill>
                    </w:rPr>
                    <w:t>10</w:t>
                  </w:r>
                  <w:r>
                    <w:rPr>
                      <w:rFonts w:hint="eastAsia"/>
                      <w:color w:val="000000" w:themeColor="text1"/>
                      <w:kern w:val="0"/>
                      <w14:textFill>
                        <w14:solidFill>
                          <w14:schemeClr w14:val="tx1"/>
                        </w14:solidFill>
                      </w14:textFill>
                    </w:rPr>
                    <w:t>为主。</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0" w:type="auto"/>
                  <w:vMerge w:val="continue"/>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p>
              </w:tc>
              <w:tc>
                <w:tcPr>
                  <w:tcW w:w="0" w:type="auto"/>
                  <w:vMerge w:val="continue"/>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p>
              </w:tc>
              <w:tc>
                <w:tcPr>
                  <w:tcW w:w="0" w:type="auto"/>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水</w:t>
                  </w:r>
                </w:p>
              </w:tc>
              <w:tc>
                <w:tcPr>
                  <w:tcW w:w="0" w:type="auto"/>
                  <w:tcBorders>
                    <w:tl2br w:val="nil"/>
                    <w:tr2bl w:val="nil"/>
                  </w:tcBorders>
                  <w:vAlign w:val="center"/>
                </w:tcPr>
                <w:p>
                  <w:pPr>
                    <w:tabs>
                      <w:tab w:val="left" w:pos="4962"/>
                    </w:tabs>
                    <w:adjustRightInd w:val="0"/>
                    <w:snapToGrid w:val="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w:t>
                  </w:r>
                  <w:r>
                    <w:rPr>
                      <w:bCs/>
                      <w:color w:val="000000" w:themeColor="text1"/>
                      <w:szCs w:val="21"/>
                      <w14:textFill>
                        <w14:solidFill>
                          <w14:schemeClr w14:val="tx1"/>
                        </w14:solidFill>
                      </w14:textFill>
                    </w:rPr>
                    <w:t>项目产生的生活污水经</w:t>
                  </w:r>
                  <w:r>
                    <w:rPr>
                      <w:rFonts w:hint="eastAsia"/>
                      <w:bCs/>
                      <w:color w:val="000000" w:themeColor="text1"/>
                      <w:szCs w:val="21"/>
                      <w14:textFill>
                        <w14:solidFill>
                          <w14:schemeClr w14:val="tx1"/>
                        </w14:solidFill>
                      </w14:textFill>
                    </w:rPr>
                    <w:t>隔油隔渣、</w:t>
                  </w:r>
                  <w:r>
                    <w:rPr>
                      <w:bCs/>
                      <w:color w:val="000000" w:themeColor="text1"/>
                      <w:szCs w:val="21"/>
                      <w14:textFill>
                        <w14:solidFill>
                          <w14:schemeClr w14:val="tx1"/>
                        </w14:solidFill>
                      </w14:textFill>
                    </w:rPr>
                    <w:t>三级化粪池</w:t>
                  </w:r>
                  <w:r>
                    <w:rPr>
                      <w:rFonts w:hint="eastAsia"/>
                      <w:bCs/>
                      <w:color w:val="000000" w:themeColor="text1"/>
                      <w:szCs w:val="21"/>
                      <w14:textFill>
                        <w14:solidFill>
                          <w14:schemeClr w14:val="tx1"/>
                        </w14:solidFill>
                      </w14:textFill>
                    </w:rPr>
                    <w:t>预处理后排污市政管网</w:t>
                  </w:r>
                  <w:r>
                    <w:rPr>
                      <w:bCs/>
                      <w:color w:val="000000" w:themeColor="text1"/>
                      <w:szCs w:val="21"/>
                      <w14:textFill>
                        <w14:solidFill>
                          <w14:schemeClr w14:val="tx1"/>
                        </w14:solidFill>
                      </w14:textFill>
                    </w:rPr>
                    <w:t>。</w:t>
                  </w:r>
                </w:p>
                <w:p>
                  <w:pPr>
                    <w:tabs>
                      <w:tab w:val="left" w:pos="4962"/>
                    </w:tabs>
                    <w:adjustRightInd w:val="0"/>
                    <w:snapToGrid w:val="0"/>
                    <w:rPr>
                      <w:bCs/>
                      <w:color w:val="000000" w:themeColor="text1"/>
                      <w:szCs w:val="21"/>
                      <w14:textFill>
                        <w14:solidFill>
                          <w14:schemeClr w14:val="tx1"/>
                        </w14:solidFill>
                      </w14:textFill>
                    </w:rPr>
                  </w:pPr>
                  <w:r>
                    <w:rPr>
                      <w:color w:val="000000" w:themeColor="text1"/>
                      <w:szCs w:val="21"/>
                      <w14:textFill>
                        <w14:solidFill>
                          <w14:schemeClr w14:val="tx1"/>
                        </w14:solidFill>
                      </w14:textFill>
                    </w:rPr>
                    <w:t>监测</w:t>
                  </w:r>
                  <w:r>
                    <w:rPr>
                      <w:color w:val="000000" w:themeColor="text1"/>
                      <w:kern w:val="24"/>
                      <w:szCs w:val="21"/>
                      <w14:textFill>
                        <w14:solidFill>
                          <w14:schemeClr w14:val="tx1"/>
                        </w14:solidFill>
                      </w14:textFill>
                    </w:rPr>
                    <w:t>结果表明：</w:t>
                  </w:r>
                  <w:r>
                    <w:rPr>
                      <w:color w:val="000000" w:themeColor="text1"/>
                      <w:kern w:val="0"/>
                      <w:szCs w:val="21"/>
                      <w14:textFill>
                        <w14:solidFill>
                          <w14:schemeClr w14:val="tx1"/>
                        </w14:solidFill>
                      </w14:textFill>
                    </w:rPr>
                    <w:t>福田河</w:t>
                  </w:r>
                  <w:r>
                    <w:rPr>
                      <w:rFonts w:hint="eastAsia"/>
                      <w:color w:val="000000" w:themeColor="text1"/>
                      <w:kern w:val="0"/>
                      <w:szCs w:val="21"/>
                      <w14:textFill>
                        <w14:solidFill>
                          <w14:schemeClr w14:val="tx1"/>
                        </w14:solidFill>
                      </w14:textFill>
                    </w:rPr>
                    <w:t>2</w:t>
                  </w:r>
                  <w:r>
                    <w:rPr>
                      <w:color w:val="000000" w:themeColor="text1"/>
                      <w:kern w:val="0"/>
                      <w:szCs w:val="21"/>
                      <w14:textFill>
                        <w14:solidFill>
                          <w14:schemeClr w14:val="tx1"/>
                        </w14:solidFill>
                      </w14:textFill>
                    </w:rPr>
                    <w:t>020</w:t>
                  </w:r>
                  <w:r>
                    <w:rPr>
                      <w:rFonts w:hint="eastAsia"/>
                      <w:color w:val="000000" w:themeColor="text1"/>
                      <w:kern w:val="0"/>
                      <w:szCs w:val="21"/>
                      <w14:textFill>
                        <w14:solidFill>
                          <w14:schemeClr w14:val="tx1"/>
                        </w14:solidFill>
                      </w14:textFill>
                    </w:rPr>
                    <w:t>年</w:t>
                  </w:r>
                  <w:r>
                    <w:rPr>
                      <w:color w:val="000000" w:themeColor="text1"/>
                      <w:kern w:val="0"/>
                      <w:szCs w:val="21"/>
                      <w14:textFill>
                        <w14:solidFill>
                          <w14:schemeClr w14:val="tx1"/>
                        </w14:solidFill>
                      </w14:textFill>
                    </w:rPr>
                    <w:t>10月水质良好，福田河监测因子均可达到《地表水环境质量标准》（GB3838-2002）中Ⅴ类标准的要求</w:t>
                  </w:r>
                  <w:r>
                    <w:rPr>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0" w:type="auto"/>
                  <w:vMerge w:val="continue"/>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p>
              </w:tc>
              <w:tc>
                <w:tcPr>
                  <w:tcW w:w="0" w:type="auto"/>
                  <w:vMerge w:val="continue"/>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p>
              </w:tc>
              <w:tc>
                <w:tcPr>
                  <w:tcW w:w="0" w:type="auto"/>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声</w:t>
                  </w:r>
                </w:p>
              </w:tc>
              <w:tc>
                <w:tcPr>
                  <w:tcW w:w="0" w:type="auto"/>
                  <w:tcBorders>
                    <w:tl2br w:val="nil"/>
                    <w:tr2bl w:val="nil"/>
                  </w:tcBorders>
                  <w:vAlign w:val="center"/>
                </w:tcPr>
                <w:p>
                  <w:pPr>
                    <w:tabs>
                      <w:tab w:val="left" w:pos="4962"/>
                    </w:tabs>
                    <w:adjustRightInd w:val="0"/>
                    <w:snapToGrid w:val="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w:t>
                  </w:r>
                  <w:r>
                    <w:rPr>
                      <w:bCs/>
                      <w:color w:val="000000" w:themeColor="text1"/>
                      <w:szCs w:val="21"/>
                      <w14:textFill>
                        <w14:solidFill>
                          <w14:schemeClr w14:val="tx1"/>
                        </w14:solidFill>
                      </w14:textFill>
                    </w:rPr>
                    <w:t>项目所在区域为2类声环境功能区，根据监测结果，项目四周厂界均能达到《声环境质量标准》（GB3096-2008）2类标准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3</w:t>
                  </w:r>
                </w:p>
              </w:tc>
              <w:tc>
                <w:tcPr>
                  <w:tcW w:w="0" w:type="auto"/>
                  <w:gridSpan w:val="2"/>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资源利用上线</w:t>
                  </w:r>
                </w:p>
              </w:tc>
              <w:tc>
                <w:tcPr>
                  <w:tcW w:w="0" w:type="auto"/>
                  <w:tcBorders>
                    <w:tl2br w:val="nil"/>
                    <w:tr2bl w:val="nil"/>
                  </w:tcBorders>
                  <w:vAlign w:val="center"/>
                </w:tcPr>
                <w:p>
                  <w:pPr>
                    <w:tabs>
                      <w:tab w:val="left" w:pos="4962"/>
                    </w:tabs>
                    <w:adjustRightInd w:val="0"/>
                    <w:snapToGrid w:val="0"/>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项目</w:t>
                  </w:r>
                  <w:r>
                    <w:rPr>
                      <w:color w:val="000000" w:themeColor="text1"/>
                      <w14:textFill>
                        <w14:solidFill>
                          <w14:schemeClr w14:val="tx1"/>
                        </w14:solidFill>
                      </w14:textFill>
                    </w:rPr>
                    <w:t>运营期消耗一定量的</w:t>
                  </w:r>
                  <w:r>
                    <w:rPr>
                      <w:rFonts w:hint="eastAsia"/>
                      <w:color w:val="000000" w:themeColor="text1"/>
                      <w14:textFill>
                        <w14:solidFill>
                          <w14:schemeClr w14:val="tx1"/>
                        </w14:solidFill>
                      </w14:textFill>
                    </w:rPr>
                    <w:t>水资源</w:t>
                  </w:r>
                  <w:r>
                    <w:rPr>
                      <w:color w:val="000000" w:themeColor="text1"/>
                      <w14:textFill>
                        <w14:solidFill>
                          <w14:schemeClr w14:val="tx1"/>
                        </w14:solidFill>
                      </w14:textFill>
                    </w:rPr>
                    <w:t>、电能，由当地</w:t>
                  </w:r>
                  <w:r>
                    <w:rPr>
                      <w:rFonts w:hint="eastAsia"/>
                      <w:color w:val="000000" w:themeColor="text1"/>
                      <w14:textFill>
                        <w14:solidFill>
                          <w14:schemeClr w14:val="tx1"/>
                        </w14:solidFill>
                      </w14:textFill>
                    </w:rPr>
                    <w:t>市政</w:t>
                  </w:r>
                  <w:r>
                    <w:rPr>
                      <w:color w:val="000000" w:themeColor="text1"/>
                      <w14:textFill>
                        <w14:solidFill>
                          <w14:schemeClr w14:val="tx1"/>
                        </w14:solidFill>
                      </w14:textFill>
                    </w:rPr>
                    <w:t>供水供电，</w:t>
                  </w:r>
                  <w:r>
                    <w:rPr>
                      <w:rFonts w:hint="eastAsia"/>
                      <w:color w:val="000000" w:themeColor="text1"/>
                      <w14:textFill>
                        <w14:solidFill>
                          <w14:schemeClr w14:val="tx1"/>
                        </w14:solidFill>
                      </w14:textFill>
                    </w:rPr>
                    <w:t>区域</w:t>
                  </w:r>
                  <w:r>
                    <w:rPr>
                      <w:color w:val="000000" w:themeColor="text1"/>
                      <w14:textFill>
                        <w14:solidFill>
                          <w14:schemeClr w14:val="tx1"/>
                        </w14:solidFill>
                      </w14:textFill>
                    </w:rPr>
                    <w:t>水电资源较充足，项目消耗量没有超出资源负荷</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没有超出资源利用上线</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0" w:type="auto"/>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4</w:t>
                  </w:r>
                </w:p>
              </w:tc>
              <w:tc>
                <w:tcPr>
                  <w:tcW w:w="0" w:type="auto"/>
                  <w:gridSpan w:val="2"/>
                  <w:tcBorders>
                    <w:tl2br w:val="nil"/>
                    <w:tr2bl w:val="nil"/>
                  </w:tcBorders>
                  <w:vAlign w:val="center"/>
                </w:tcPr>
                <w:p>
                  <w:pPr>
                    <w:tabs>
                      <w:tab w:val="left" w:pos="4962"/>
                    </w:tabs>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生态</w:t>
                  </w:r>
                  <w:r>
                    <w:rPr>
                      <w:bCs/>
                      <w:color w:val="000000" w:themeColor="text1"/>
                      <w:szCs w:val="21"/>
                      <w14:textFill>
                        <w14:solidFill>
                          <w14:schemeClr w14:val="tx1"/>
                        </w14:solidFill>
                      </w14:textFill>
                    </w:rPr>
                    <w:t>环境准入清单</w:t>
                  </w:r>
                </w:p>
              </w:tc>
              <w:tc>
                <w:tcPr>
                  <w:tcW w:w="0" w:type="auto"/>
                  <w:tcBorders>
                    <w:tl2br w:val="nil"/>
                    <w:tr2bl w:val="nil"/>
                  </w:tcBorders>
                  <w:vAlign w:val="center"/>
                </w:tcPr>
                <w:p>
                  <w:pPr>
                    <w:keepNext/>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根据《惠州市“三线一单”生态环境分区管控方案》（惠府[2021]23 号）附表4-2，本项</w:t>
                  </w:r>
                  <w:r>
                    <w:rPr>
                      <w:color w:val="000000" w:themeColor="text1"/>
                      <w14:textFill>
                        <w14:solidFill>
                          <w14:schemeClr w14:val="tx1"/>
                        </w14:solidFill>
                      </w14:textFill>
                    </w:rPr>
                    <w:t>目位于博罗沙河流域重点管控单元</w:t>
                  </w:r>
                  <w:r>
                    <w:rPr>
                      <w:rFonts w:hint="eastAsia"/>
                      <w:color w:val="000000" w:themeColor="text1"/>
                      <w14:textFill>
                        <w14:solidFill>
                          <w14:schemeClr w14:val="tx1"/>
                        </w14:solidFill>
                      </w14:textFill>
                    </w:rPr>
                    <w:t>，环境管控单元编码为ZH44132220001</w:t>
                  </w:r>
                  <w:r>
                    <w:rPr>
                      <w:color w:val="000000" w:themeColor="text1"/>
                      <w14:textFill>
                        <w14:solidFill>
                          <w14:schemeClr w14:val="tx1"/>
                        </w14:solidFill>
                      </w14:textFill>
                    </w:rPr>
                    <w:t>。与本项目相关的管控要求如下</w:t>
                  </w:r>
                  <w:r>
                    <w:rPr>
                      <w:rFonts w:hint="eastAsia"/>
                      <w:color w:val="000000" w:themeColor="text1"/>
                      <w14:textFill>
                        <w14:solidFill>
                          <w14:schemeClr w14:val="tx1"/>
                        </w14:solidFill>
                      </w14:textFill>
                    </w:rPr>
                    <w:t>表1-1-1</w:t>
                  </w:r>
                  <w:r>
                    <w:rPr>
                      <w:color w:val="000000" w:themeColor="text1"/>
                      <w14:textFill>
                        <w14:solidFill>
                          <w14:schemeClr w14:val="tx1"/>
                        </w14:solidFill>
                      </w14:textFill>
                    </w:rPr>
                    <w:t>：</w:t>
                  </w:r>
                </w:p>
                <w:p>
                  <w:pPr>
                    <w:keepNext/>
                    <w:ind w:firstLine="422" w:firstLineChars="20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w:t>
                  </w:r>
                  <w:r>
                    <w:rPr>
                      <w:rFonts w:hint="eastAsia"/>
                      <w:b/>
                      <w:bCs/>
                      <w:color w:val="000000" w:themeColor="text1"/>
                      <w14:textFill>
                        <w14:solidFill>
                          <w14:schemeClr w14:val="tx1"/>
                        </w14:solidFill>
                      </w14:textFill>
                    </w:rPr>
                    <w:t>1-1-1</w:t>
                  </w:r>
                  <w:r>
                    <w:rPr>
                      <w:b/>
                      <w:bCs/>
                      <w:color w:val="000000" w:themeColor="text1"/>
                      <w14:textFill>
                        <w14:solidFill>
                          <w14:schemeClr w14:val="tx1"/>
                        </w14:solidFill>
                      </w14:textFill>
                    </w:rPr>
                    <w:t>项目与</w:t>
                  </w:r>
                  <w:r>
                    <w:rPr>
                      <w:rFonts w:hint="eastAsia"/>
                      <w:b/>
                      <w:bCs/>
                      <w:color w:val="000000" w:themeColor="text1"/>
                      <w14:textFill>
                        <w14:solidFill>
                          <w14:schemeClr w14:val="tx1"/>
                        </w14:solidFill>
                      </w14:textFill>
                    </w:rPr>
                    <w:t>惠州市陆域管控单元生态环境准入清单</w:t>
                  </w:r>
                </w:p>
                <w:p>
                  <w:pPr>
                    <w:keepNext/>
                    <w:ind w:firstLine="422" w:firstLineChars="200"/>
                    <w:jc w:val="center"/>
                    <w:rPr>
                      <w:b/>
                      <w:bCs/>
                      <w:color w:val="000000" w:themeColor="text1"/>
                      <w14:textFill>
                        <w14:solidFill>
                          <w14:schemeClr w14:val="tx1"/>
                        </w14:solidFill>
                      </w14:textFill>
                    </w:rPr>
                  </w:pPr>
                  <w:r>
                    <w:rPr>
                      <w:b/>
                      <w:bCs/>
                      <w:color w:val="000000" w:themeColor="text1"/>
                      <w14:textFill>
                        <w14:solidFill>
                          <w14:schemeClr w14:val="tx1"/>
                        </w14:solidFill>
                      </w14:textFill>
                    </w:rPr>
                    <w:t>相符性分析一览表</w:t>
                  </w: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6"/>
                    <w:gridCol w:w="2400"/>
                    <w:gridCol w:w="2194"/>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418" w:type="pct"/>
                        <w:gridSpan w:val="2"/>
                        <w:vAlign w:val="center"/>
                      </w:tcPr>
                      <w:p>
                        <w:pPr>
                          <w:jc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sz w:val="18"/>
                            <w:szCs w:val="18"/>
                            <w14:textFill>
                              <w14:solidFill>
                                <w14:schemeClr w14:val="tx1"/>
                              </w14:solidFill>
                            </w14:textFill>
                          </w:rPr>
                          <w:t>管控要求</w:t>
                        </w:r>
                      </w:p>
                    </w:tc>
                    <w:tc>
                      <w:tcPr>
                        <w:tcW w:w="1845" w:type="pct"/>
                        <w:vAlign w:val="center"/>
                      </w:tcPr>
                      <w:p>
                        <w:pPr>
                          <w:jc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sz w:val="18"/>
                            <w:szCs w:val="18"/>
                            <w14:textFill>
                              <w14:solidFill>
                                <w14:schemeClr w14:val="tx1"/>
                              </w14:solidFill>
                            </w14:textFill>
                          </w:rPr>
                          <w:t>本项目情况</w:t>
                        </w:r>
                      </w:p>
                    </w:tc>
                    <w:tc>
                      <w:tcPr>
                        <w:tcW w:w="735" w:type="pct"/>
                        <w:vAlign w:val="center"/>
                      </w:tcPr>
                      <w:p>
                        <w:pPr>
                          <w:jc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sz w:val="18"/>
                            <w:szCs w:val="18"/>
                            <w14:textFill>
                              <w14:solidFill>
                                <w14:schemeClr w14:val="tx1"/>
                              </w14:solidFill>
                            </w14:textFill>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 w:type="pct"/>
                        <w:vAlign w:val="center"/>
                      </w:tcPr>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p>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区</w:t>
                        </w:r>
                      </w:p>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域</w:t>
                        </w:r>
                      </w:p>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布</w:t>
                        </w:r>
                      </w:p>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局</w:t>
                        </w:r>
                      </w:p>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管</w:t>
                        </w:r>
                      </w:p>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控</w:t>
                        </w:r>
                      </w:p>
                    </w:tc>
                    <w:tc>
                      <w:tcPr>
                        <w:tcW w:w="2018" w:type="pct"/>
                        <w:vAlign w:val="center"/>
                      </w:tcPr>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1-1.【产业/鼓励引导类】饮用水水源保护区外的区域，重点发展电子信息、智能家电、先进材料等产业。</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1-2. 【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1-3. 【产业/限制类】严格限制化工、包装印刷、工业涂装等高VOCs排放建设项目。</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1-4. 【生态/限制类】一般生态空间内可开展生态保护红线内允许的活动，在不影响主导生态功能的前提下，还可开展国家和省规定不纳入环评管理的项目建设，以及生态旅游、基础设施建设、村庄建设等人为活动。</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1-5. 【水/禁止类】饮用水水源保护区涉及园洲镇东江饮用水水源保护区，饮用水水源保护区按照《广东省水污染防治条例》“第五章 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1-6. 【水/禁止类】禁止在东江干流和沙河干流两岸最高水位线外延五百米范围内新建废弃物堆放场和处理场。已有的堆放场和处理场需采取有效的防治污染措施，危及水体水质安全的，由县级以上人民政府责令限期搬迁。</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1-7. 【水/禁止类】畜禽禁养区内不得从事畜禽养殖业。</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1-8. 【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1-9. 【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1-10. 【大气/鼓励引导类】大气环境高排放重点管控区内，强化达标监管，引导工业项目落地集聚发展，有序推进区域内行业企业提标改造。</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1-11. 【土壤/禁止类】禁止在重金属重点防控区域内新建、改建、扩建增加重金属污染物排放总量的建设项目。</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1-12. 【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1845" w:type="pct"/>
                        <w:vAlign w:val="center"/>
                      </w:tcPr>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1-1.本项目不属于产业/鼓励引导类。</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-2.本项目不属于《产业结构调整指导目录（2021年修改）》中的限制类和淘汰类项目，不属于农药、铬盐、钛白粉生产项目，不属于稀土分离、炼砒、炼铍、纸浆制造、氰化法提炼产品、开采和冶炼放射性矿产及其他严重污染水环境的项目；不属于造纸、制革、味精、电镀、漂染、印染、炼油、发酵酿造、非放射性矿产冶炼以及使用含汞、砷、镉、铬、铅为原料的项目；项目不涉及拆船活动。</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1-3.项目不属于化工、包装印刷、工业涂装等行业等高VOCs排放建设项目，项目生产过程使用的水性</w:t>
                        </w:r>
                        <w:r>
                          <w:rPr>
                            <w:rFonts w:hint="eastAsia"/>
                            <w:color w:val="000000" w:themeColor="text1"/>
                            <w:sz w:val="18"/>
                            <w:szCs w:val="18"/>
                            <w14:textFill>
                              <w14:solidFill>
                                <w14:schemeClr w14:val="tx1"/>
                              </w14:solidFill>
                            </w14:textFill>
                          </w:rPr>
                          <w:t>涂料</w:t>
                        </w:r>
                        <w:r>
                          <w:rPr>
                            <w:color w:val="000000" w:themeColor="text1"/>
                            <w:sz w:val="18"/>
                            <w:szCs w:val="18"/>
                            <w14:textFill>
                              <w14:solidFill>
                                <w14:schemeClr w14:val="tx1"/>
                              </w14:solidFill>
                            </w14:textFill>
                          </w:rPr>
                          <w:t>属于低VOCs 挥发性原料，不属于高VOCs排放建设项目。</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1-4. 项目不在一般生态空间范围内。</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1-5. 项目不在饮用水水源保护区范围内。</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1-6. 项目不涉及废弃物堆放场和处理场。</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1-7. 项目不从事畜禽养殖业。</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1-8 项目不属于养殖业。</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1-9. 项目不属于油库项目，也不属于产生和排放有毒有害大气污染物的建设项目，项目生产过程使用的水性</w:t>
                        </w:r>
                        <w:r>
                          <w:rPr>
                            <w:rFonts w:hint="eastAsia"/>
                            <w:color w:val="000000" w:themeColor="text1"/>
                            <w:sz w:val="18"/>
                            <w:szCs w:val="18"/>
                            <w14:textFill>
                              <w14:solidFill>
                                <w14:schemeClr w14:val="tx1"/>
                              </w14:solidFill>
                            </w14:textFill>
                          </w:rPr>
                          <w:t>涂料</w:t>
                        </w:r>
                        <w:r>
                          <w:rPr>
                            <w:color w:val="000000" w:themeColor="text1"/>
                            <w:sz w:val="18"/>
                            <w:szCs w:val="18"/>
                            <w14:textFill>
                              <w14:solidFill>
                                <w14:schemeClr w14:val="tx1"/>
                              </w14:solidFill>
                            </w14:textFill>
                          </w:rPr>
                          <w:t>属于低VOCs 挥发性原料，不使用溶剂型油墨、涂料、清洗剂、胶黏剂等高挥发性有机物原辅材料。</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1-10.项目不属于大气环境高排放重点管控区内。</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1-11.项目不排放重金属污染物。</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1-12.项目不排放重金属污染物。</w:t>
                        </w:r>
                      </w:p>
                      <w:p>
                        <w:pPr>
                          <w:jc w:val="left"/>
                          <w:rPr>
                            <w:color w:val="000000" w:themeColor="text1"/>
                            <w:sz w:val="18"/>
                            <w:szCs w:val="18"/>
                            <w14:textFill>
                              <w14:solidFill>
                                <w14:schemeClr w14:val="tx1"/>
                              </w14:solidFill>
                            </w14:textFill>
                          </w:rPr>
                        </w:pPr>
                      </w:p>
                    </w:tc>
                    <w:tc>
                      <w:tcPr>
                        <w:tcW w:w="735" w:type="pct"/>
                        <w:vAlign w:val="center"/>
                      </w:tcPr>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5" w:hRule="atLeast"/>
                    </w:trPr>
                    <w:tc>
                      <w:tcPr>
                        <w:tcW w:w="400" w:type="pct"/>
                        <w:vAlign w:val="center"/>
                      </w:tcPr>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能源资源利用</w:t>
                        </w:r>
                      </w:p>
                    </w:tc>
                    <w:tc>
                      <w:tcPr>
                        <w:tcW w:w="2018" w:type="pct"/>
                        <w:vAlign w:val="center"/>
                      </w:tcPr>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2-1. 【能源/鼓励引导类】鼓励降低煤炭消耗、能源消耗，引导光伏等多种形式的新能源利用。</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2-2. 【能源/综合类】根据本地区大气环境质量改善要求逐步扩大高污染燃料禁燃区范围。</w:t>
                        </w:r>
                      </w:p>
                    </w:tc>
                    <w:tc>
                      <w:tcPr>
                        <w:tcW w:w="1845" w:type="pct"/>
                        <w:vAlign w:val="center"/>
                      </w:tcPr>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2-1 本项目所有设备均采用电能，没有煤炭消耗、能源消耗，生产用电均由市政电网供应，符合相应要求；</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2-2 本项目无高污染燃料燃烧。</w:t>
                        </w:r>
                      </w:p>
                    </w:tc>
                    <w:tc>
                      <w:tcPr>
                        <w:tcW w:w="735" w:type="pct"/>
                        <w:vAlign w:val="center"/>
                      </w:tcPr>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6" w:hRule="atLeast"/>
                    </w:trPr>
                    <w:tc>
                      <w:tcPr>
                        <w:tcW w:w="400" w:type="pct"/>
                        <w:vAlign w:val="center"/>
                      </w:tcPr>
                      <w:p>
                        <w:pPr>
                          <w:widowControl/>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污染物排放管控</w:t>
                        </w:r>
                      </w:p>
                      <w:p>
                        <w:pPr>
                          <w:jc w:val="center"/>
                          <w:rPr>
                            <w:rFonts w:ascii="宋体" w:hAnsi="宋体" w:cs="宋体"/>
                            <w:color w:val="000000" w:themeColor="text1"/>
                            <w:sz w:val="18"/>
                            <w:szCs w:val="18"/>
                            <w14:textFill>
                              <w14:solidFill>
                                <w14:schemeClr w14:val="tx1"/>
                              </w14:solidFill>
                            </w14:textFill>
                          </w:rPr>
                        </w:pPr>
                      </w:p>
                    </w:tc>
                    <w:tc>
                      <w:tcPr>
                        <w:tcW w:w="2018" w:type="pct"/>
                        <w:vAlign w:val="center"/>
                      </w:tcPr>
                      <w:p>
                        <w:pPr>
                          <w:jc w:val="left"/>
                          <w:rPr>
                            <w:color w:val="000000" w:themeColor="text1"/>
                            <w:sz w:val="18"/>
                            <w:szCs w:val="18"/>
                            <w14:textFill>
                              <w14:solidFill>
                                <w14:schemeClr w14:val="tx1"/>
                              </w14:solidFill>
                            </w14:textFill>
                          </w:rPr>
                        </w:pPr>
                        <w:r>
                          <w:rPr>
                            <w:color w:val="000000" w:themeColor="text1"/>
                            <w:kern w:val="0"/>
                            <w:sz w:val="18"/>
                            <w:szCs w:val="18"/>
                            <w14:textFill>
                              <w14:solidFill>
                                <w14:schemeClr w14:val="tx1"/>
                              </w14:solidFill>
                            </w14:textFill>
                          </w:rPr>
                          <w:t>3</w:t>
                        </w:r>
                        <w:r>
                          <w:rPr>
                            <w:color w:val="000000" w:themeColor="text1"/>
                            <w:sz w:val="18"/>
                            <w:szCs w:val="18"/>
                            <w14:textFill>
                              <w14:solidFill>
                                <w14:schemeClr w14:val="tx1"/>
                              </w14:solidFill>
                            </w14:textFill>
                          </w:rPr>
                          <w:t>-1. 【水/限制类】单元内城镇生活污水处理厂出水水COD、氨氮、总磷排放执行国家《地表水环境质量（GB3838-2002）Ⅴ类标准，其余指标执行国家《城镇污水处理厂污染物排放标》（GB18918-2002）一级A 标准与广东省《水污染物排放限值》较严值的标准。</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3-2. 【水/限制类】严格控制流域内增加水污染物排放或对东江水质、水环境安全构成影响的项目。</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3-4. 【水/综合类】强化农业面源污染治理，控制农药化肥使用量。</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3-5. 【大气/限制类】重点行业新建涉VOCs排放的工业企业原则上应入园进区。新建项目VOCs实施倍量替代。</w:t>
                        </w:r>
                        <w:r>
                          <w:rPr>
                            <w:color w:val="000000" w:themeColor="text1"/>
                            <w:sz w:val="18"/>
                            <w:szCs w:val="18"/>
                            <w14:textFill>
                              <w14:solidFill>
                                <w14:schemeClr w14:val="tx1"/>
                              </w14:solidFill>
                            </w14:textFill>
                          </w:rPr>
                          <w:br w:type="textWrapping"/>
                        </w:r>
                        <w:r>
                          <w:rPr>
                            <w:color w:val="000000" w:themeColor="text1"/>
                            <w:sz w:val="18"/>
                            <w:szCs w:val="18"/>
                            <w14:textFill>
                              <w14:solidFill>
                                <w14:schemeClr w14:val="tx1"/>
                              </w14:solidFill>
                            </w14:textFill>
                          </w:rPr>
                          <w:t>3-6. 【土壤/禁止类】禁止向农用地排放重金属或者其他有毒有害物质含量超标的污水、污泥，以及可能造成土壤污染的清淤底泥、尾矿、矿渣等。</w:t>
                        </w:r>
                      </w:p>
                    </w:tc>
                    <w:tc>
                      <w:tcPr>
                        <w:tcW w:w="1845" w:type="pct"/>
                        <w:vAlign w:val="center"/>
                      </w:tcPr>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3-1. 本项目不属于城镇生活污水处理厂项目，项目生活污水经隔油隔渣、三级化粪池预处理后通过市政纳污管网排入博罗县福田镇生活污水处理厂进行处理。</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3-2. 本项目无生产废水的排放，生活污水经隔油隔渣、三级化粪池预处理后通过市政纳污管网排入博罗县福田镇生活污水处理厂进行处理达标后排放，对地表水体造成的环境影响不大。</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3-3. 项目不涉及农村环境基础设施建设。</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3-4. 项目不属于农业类别，不涉及农药化肥使用。</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3-5. 本项目属于《国民经济行业分类》（GB/T4754-2017）及第1号修改单中</w:t>
                        </w:r>
                        <w:r>
                          <w:rPr>
                            <w:rFonts w:hint="eastAsia"/>
                            <w:color w:val="000000" w:themeColor="text1"/>
                            <w:sz w:val="18"/>
                            <w:szCs w:val="18"/>
                            <w14:textFill>
                              <w14:solidFill>
                                <w14:schemeClr w14:val="tx1"/>
                              </w14:solidFill>
                            </w14:textFill>
                          </w:rPr>
                          <w:t>C2039 软木制品及其他木制品制造</w:t>
                        </w:r>
                        <w:r>
                          <w:rPr>
                            <w:color w:val="000000" w:themeColor="text1"/>
                            <w:sz w:val="18"/>
                            <w:szCs w:val="18"/>
                            <w14:textFill>
                              <w14:solidFill>
                                <w14:schemeClr w14:val="tx1"/>
                              </w14:solidFill>
                            </w14:textFill>
                          </w:rPr>
                          <w:t>类项目，不属于重点行业新建涉VOCs 排放的工业企业，项目属于新建项目，VOCs 排放实施倍量替代。</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3-6. 项目生产废水统一收集后定期交由有资质的单位回收处理，无生产废水外排；项目不涉及重金属或者其他有毒有害物质含量超标的污水、污泥排放，也不排放可能造成土壤污染的清淤底泥、尾矿、矿渣等。</w:t>
                        </w:r>
                      </w:p>
                    </w:tc>
                    <w:tc>
                      <w:tcPr>
                        <w:tcW w:w="735" w:type="pct"/>
                        <w:vAlign w:val="center"/>
                      </w:tcPr>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0" w:type="pct"/>
                        <w:vAlign w:val="center"/>
                      </w:tcPr>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环</w:t>
                        </w:r>
                      </w:p>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境</w:t>
                        </w:r>
                      </w:p>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风</w:t>
                        </w:r>
                      </w:p>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险</w:t>
                        </w:r>
                      </w:p>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防</w:t>
                        </w:r>
                      </w:p>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控</w:t>
                        </w:r>
                      </w:p>
                    </w:tc>
                    <w:tc>
                      <w:tcPr>
                        <w:tcW w:w="2018" w:type="pct"/>
                        <w:vAlign w:val="center"/>
                      </w:tcPr>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4-1. 【水/综合类】城镇污水处理厂、涉水企业应采取有效措施，防止事故废水直接排入体。</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4-2. 【水/综合类】加强用水水源保护区内环境风险排查，开展风险评估及水环境预警监测。</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4-3. 【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845" w:type="pct"/>
                        <w:vAlign w:val="center"/>
                      </w:tcPr>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4-1. 项目生产废水统一收集后定期交由有资质的单位回收处理，无生产废水外排；项目生活污水经隔油隔渣、三级化粪池预处理后纳入博罗县福田镇生活污水处理厂进行处理达标后排放，不会对水环境造成影响。</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4-2. 本项目所在区域不属于饮用水源保护区范围。</w:t>
                        </w:r>
                      </w:p>
                      <w:p>
                        <w:pPr>
                          <w:jc w:val="left"/>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4-3.项目不生产、储存和使用有毒有害气体。</w:t>
                        </w:r>
                      </w:p>
                    </w:tc>
                    <w:tc>
                      <w:tcPr>
                        <w:tcW w:w="735" w:type="pct"/>
                        <w:vAlign w:val="center"/>
                      </w:tcPr>
                      <w:p>
                        <w:pPr>
                          <w:jc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sz w:val="18"/>
                            <w:szCs w:val="18"/>
                            <w14:textFill>
                              <w14:solidFill>
                                <w14:schemeClr w14:val="tx1"/>
                              </w14:solidFill>
                            </w14:textFill>
                          </w:rPr>
                          <w:t>相符</w:t>
                        </w:r>
                      </w:p>
                    </w:tc>
                  </w:tr>
                </w:tbl>
                <w:p>
                  <w:pPr>
                    <w:tabs>
                      <w:tab w:val="left" w:pos="4962"/>
                    </w:tabs>
                    <w:adjustRightInd w:val="0"/>
                    <w:snapToGrid w:val="0"/>
                    <w:ind w:firstLine="420" w:firstLineChars="200"/>
                    <w:rPr>
                      <w:bCs/>
                      <w:color w:val="000000" w:themeColor="text1"/>
                      <w:szCs w:val="21"/>
                      <w14:textFill>
                        <w14:solidFill>
                          <w14:schemeClr w14:val="tx1"/>
                        </w14:solidFill>
                      </w14:textFill>
                    </w:rPr>
                  </w:pPr>
                </w:p>
              </w:tc>
            </w:tr>
          </w:tbl>
          <w:p>
            <w:pPr>
              <w:spacing w:line="360" w:lineRule="auto"/>
              <w:ind w:firstLine="480" w:firstLineChars="200"/>
              <w:rPr>
                <w:rStyle w:val="119"/>
                <w:rFonts w:hint="default"/>
                <w:color w:val="000000" w:themeColor="text1"/>
                <w14:textFill>
                  <w14:solidFill>
                    <w14:schemeClr w14:val="tx1"/>
                  </w14:solidFill>
                </w14:textFill>
              </w:rPr>
            </w:pPr>
            <w:r>
              <w:rPr>
                <w:rStyle w:val="119"/>
                <w:rFonts w:hint="default"/>
                <w:color w:val="000000" w:themeColor="text1"/>
                <w14:textFill>
                  <w14:solidFill>
                    <w14:schemeClr w14:val="tx1"/>
                  </w14:solidFill>
                </w14:textFill>
              </w:rPr>
              <w:t>综上所述，本项目符合“三线一单”要求。</w:t>
            </w: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4、</w:t>
            </w:r>
            <w:r>
              <w:rPr>
                <w:b/>
                <w:bCs/>
                <w:color w:val="000000" w:themeColor="text1"/>
                <w:sz w:val="24"/>
                <w14:textFill>
                  <w14:solidFill>
                    <w14:schemeClr w14:val="tx1"/>
                  </w14:solidFill>
                </w14:textFill>
              </w:rPr>
              <w:t>与</w:t>
            </w:r>
            <w:r>
              <w:rPr>
                <w:rFonts w:hint="eastAsia"/>
                <w:b/>
                <w:bCs/>
                <w:color w:val="000000" w:themeColor="text1"/>
                <w:sz w:val="24"/>
                <w14:textFill>
                  <w14:solidFill>
                    <w14:schemeClr w14:val="tx1"/>
                  </w14:solidFill>
                </w14:textFill>
              </w:rPr>
              <w:t>《关于印发&lt;广东省挥发性有机物（VOCs）整治与减排工作方案（2018-2020年）&gt;的通知》（粤环发〔2018〕6号）相符性</w:t>
            </w:r>
            <w:r>
              <w:rPr>
                <w:b/>
                <w:bCs/>
                <w:color w:val="000000" w:themeColor="text1"/>
                <w:sz w:val="24"/>
                <w14:textFill>
                  <w14:solidFill>
                    <w14:schemeClr w14:val="tx1"/>
                  </w14:solidFill>
                </w14:textFill>
              </w:rPr>
              <w:t>分析</w:t>
            </w:r>
          </w:p>
          <w:p>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《关于印发&lt;广东省挥发性有机物（VOCs）整治与减排工作方案（2018-2020年）&gt;的通知》（粤环发〔2018〕6号）中提出“</w:t>
            </w:r>
            <w:r>
              <w:rPr>
                <w:color w:val="000000" w:themeColor="text1"/>
                <w:sz w:val="24"/>
                <w14:textFill>
                  <w14:solidFill>
                    <w14:schemeClr w14:val="tx1"/>
                  </w14:solidFill>
                </w14:textFill>
              </w:rPr>
              <w:t>各地市应结合产业结构特征和VOCs减排要求，因地制宜选择本地典型工业行业，确保完成上级部门下达的环境空气质量改善目标和VOCs总量减排目标。</w:t>
            </w:r>
            <w:r>
              <w:rPr>
                <w:rFonts w:hint="eastAsia"/>
                <w:bCs/>
                <w:color w:val="000000" w:themeColor="text1"/>
                <w:sz w:val="24"/>
                <w14:textFill>
                  <w14:solidFill>
                    <w14:schemeClr w14:val="tx1"/>
                  </w14:solidFill>
                </w14:textFill>
              </w:rPr>
              <w:t>”</w:t>
            </w:r>
          </w:p>
          <w:p>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本项目主要从事</w:t>
            </w:r>
            <w:r>
              <w:rPr>
                <w:rFonts w:hint="eastAsia"/>
                <w:color w:val="000000" w:themeColor="text1"/>
                <w:sz w:val="24"/>
                <w14:textFill>
                  <w14:solidFill>
                    <w14:schemeClr w14:val="tx1"/>
                  </w14:solidFill>
                </w14:textFill>
              </w:rPr>
              <w:t>木质品制造</w:t>
            </w:r>
            <w:r>
              <w:rPr>
                <w:color w:val="000000" w:themeColor="text1"/>
                <w:sz w:val="24"/>
                <w14:textFill>
                  <w14:solidFill>
                    <w14:schemeClr w14:val="tx1"/>
                  </w14:solidFill>
                </w14:textFill>
              </w:rPr>
              <w:t>生产</w:t>
            </w:r>
            <w:r>
              <w:rPr>
                <w:rFonts w:hint="eastAsia"/>
                <w:bCs/>
                <w:color w:val="000000" w:themeColor="text1"/>
                <w:sz w:val="24"/>
                <w14:textFill>
                  <w14:solidFill>
                    <w14:schemeClr w14:val="tx1"/>
                  </w14:solidFill>
                </w14:textFill>
              </w:rPr>
              <w:t>，运营</w:t>
            </w:r>
            <w:r>
              <w:rPr>
                <w:bCs/>
                <w:color w:val="000000" w:themeColor="text1"/>
                <w:sz w:val="24"/>
                <w14:textFill>
                  <w14:solidFill>
                    <w14:schemeClr w14:val="tx1"/>
                  </w14:solidFill>
                </w14:textFill>
              </w:rPr>
              <w:t>过程中</w:t>
            </w:r>
            <w:r>
              <w:rPr>
                <w:rFonts w:hint="eastAsia"/>
                <w:bCs/>
                <w:color w:val="000000" w:themeColor="text1"/>
                <w:sz w:val="24"/>
                <w14:textFill>
                  <w14:solidFill>
                    <w14:schemeClr w14:val="tx1"/>
                  </w14:solidFill>
                </w14:textFill>
              </w:rPr>
              <w:t>产生的V</w:t>
            </w:r>
            <w:r>
              <w:rPr>
                <w:bCs/>
                <w:color w:val="000000" w:themeColor="text1"/>
                <w:sz w:val="24"/>
                <w14:textFill>
                  <w14:solidFill>
                    <w14:schemeClr w14:val="tx1"/>
                  </w14:solidFill>
                </w14:textFill>
              </w:rPr>
              <w:t>OC</w:t>
            </w:r>
            <w:r>
              <w:rPr>
                <w:rFonts w:hint="eastAsia"/>
                <w:bCs/>
                <w:color w:val="000000" w:themeColor="text1"/>
                <w:sz w:val="24"/>
                <w14:textFill>
                  <w14:solidFill>
                    <w14:schemeClr w14:val="tx1"/>
                  </w14:solidFill>
                </w14:textFill>
              </w:rPr>
              <w:t>s</w:t>
            </w:r>
            <w:r>
              <w:rPr>
                <w:bCs/>
                <w:color w:val="000000" w:themeColor="text1"/>
                <w:sz w:val="24"/>
                <w14:textFill>
                  <w14:solidFill>
                    <w14:schemeClr w14:val="tx1"/>
                  </w14:solidFill>
                </w14:textFill>
              </w:rPr>
              <w:t>主要是</w:t>
            </w:r>
            <w:r>
              <w:rPr>
                <w:rFonts w:hint="eastAsia"/>
                <w:bCs/>
                <w:color w:val="000000" w:themeColor="text1"/>
                <w:sz w:val="24"/>
                <w14:textFill>
                  <w14:solidFill>
                    <w14:schemeClr w14:val="tx1"/>
                  </w14:solidFill>
                </w14:textFill>
              </w:rPr>
              <w:t>调漆、</w:t>
            </w:r>
            <w:r>
              <w:rPr>
                <w:rFonts w:hint="eastAsia"/>
                <w:color w:val="000000" w:themeColor="text1"/>
                <w:spacing w:val="-3"/>
                <w:sz w:val="24"/>
                <w14:textFill>
                  <w14:solidFill>
                    <w14:schemeClr w14:val="tx1"/>
                  </w14:solidFill>
                </w14:textFill>
              </w:rPr>
              <w:t>喷漆、晾干</w:t>
            </w:r>
            <w:r>
              <w:rPr>
                <w:color w:val="000000" w:themeColor="text1"/>
                <w:spacing w:val="-3"/>
                <w:sz w:val="24"/>
                <w14:textFill>
                  <w14:solidFill>
                    <w14:schemeClr w14:val="tx1"/>
                  </w14:solidFill>
                </w14:textFill>
              </w:rPr>
              <w:t>废气</w:t>
            </w:r>
            <w:r>
              <w:rPr>
                <w:rFonts w:hint="eastAsia"/>
                <w:color w:val="000000" w:themeColor="text1"/>
                <w:spacing w:val="-3"/>
                <w:sz w:val="24"/>
                <w14:textFill>
                  <w14:solidFill>
                    <w14:schemeClr w14:val="tx1"/>
                  </w14:solidFill>
                </w14:textFill>
              </w:rPr>
              <w:t>收集后经“水喷淋+水喷淋+过滤除雾器+二级活性炭吸附”</w:t>
            </w:r>
            <w:r>
              <w:rPr>
                <w:rFonts w:hint="eastAsia"/>
                <w:bCs/>
                <w:color w:val="000000" w:themeColor="text1"/>
                <w:sz w:val="24"/>
                <w14:textFill>
                  <w14:solidFill>
                    <w14:schemeClr w14:val="tx1"/>
                  </w14:solidFill>
                </w14:textFill>
              </w:rPr>
              <w:t>装置处理</w:t>
            </w:r>
            <w:r>
              <w:rPr>
                <w:bCs/>
                <w:color w:val="000000" w:themeColor="text1"/>
                <w:sz w:val="24"/>
                <w14:textFill>
                  <w14:solidFill>
                    <w14:schemeClr w14:val="tx1"/>
                  </w14:solidFill>
                </w14:textFill>
              </w:rPr>
              <w:t>达标后经</w:t>
            </w:r>
            <w:r>
              <w:rPr>
                <w:rFonts w:hint="eastAsia"/>
                <w:bCs/>
                <w:color w:val="000000" w:themeColor="text1"/>
                <w:sz w:val="24"/>
                <w14:textFill>
                  <w14:solidFill>
                    <w14:schemeClr w14:val="tx1"/>
                  </w14:solidFill>
                </w14:textFill>
              </w:rPr>
              <w:t>15</w:t>
            </w:r>
            <w:r>
              <w:rPr>
                <w:bCs/>
                <w:color w:val="000000" w:themeColor="text1"/>
                <w:sz w:val="24"/>
                <w14:textFill>
                  <w14:solidFill>
                    <w14:schemeClr w14:val="tx1"/>
                  </w14:solidFill>
                </w14:textFill>
              </w:rPr>
              <w:t>m高排气筒排放</w:t>
            </w:r>
            <w:r>
              <w:rPr>
                <w:rFonts w:hint="eastAsia"/>
                <w:bCs/>
                <w:color w:val="000000" w:themeColor="text1"/>
                <w:sz w:val="24"/>
                <w14:textFill>
                  <w14:solidFill>
                    <w14:schemeClr w14:val="tx1"/>
                  </w14:solidFill>
                </w14:textFill>
              </w:rPr>
              <w:t>，根据《广东省印刷、制鞋、家具、表面涂装（汽车制造）行业挥发性有机物总量减排核算 细则》中表1-1常见治理设施治理效率可知，吸附法对有机废气的处理效率约为45~80%，本项目取60%，“二级活性炭吸附”法对有机废气的处理效率约为85%；水喷淋对有机废气的处理效率约为5~15%，根据本项目的情况，水喷淋法对有机废气的处理效率约为10%；故“</w:t>
            </w:r>
            <w:r>
              <w:rPr>
                <w:rFonts w:hint="eastAsia"/>
                <w:color w:val="000000" w:themeColor="text1"/>
                <w:spacing w:val="-3"/>
                <w:sz w:val="24"/>
                <w14:textFill>
                  <w14:solidFill>
                    <w14:schemeClr w14:val="tx1"/>
                  </w14:solidFill>
                </w14:textFill>
              </w:rPr>
              <w:t>水喷淋+过滤除雾器+二级活性炭吸附</w:t>
            </w:r>
            <w:r>
              <w:rPr>
                <w:rFonts w:hint="eastAsia"/>
                <w:bCs/>
                <w:color w:val="000000" w:themeColor="text1"/>
                <w:sz w:val="24"/>
                <w14:textFill>
                  <w14:solidFill>
                    <w14:schemeClr w14:val="tx1"/>
                  </w14:solidFill>
                </w14:textFill>
              </w:rPr>
              <w:t>”综合有机废气处理效率为86.5%，本项目取86%。漆雾处理效率达80</w:t>
            </w:r>
            <w:r>
              <w:rPr>
                <w:bCs/>
                <w:color w:val="000000" w:themeColor="text1"/>
                <w:sz w:val="24"/>
                <w14:textFill>
                  <w14:solidFill>
                    <w14:schemeClr w14:val="tx1"/>
                  </w14:solidFill>
                </w14:textFill>
              </w:rPr>
              <w:t>%以上</w:t>
            </w:r>
            <w:r>
              <w:rPr>
                <w:rFonts w:hint="eastAsia"/>
                <w:bCs/>
                <w:color w:val="000000" w:themeColor="text1"/>
                <w:sz w:val="24"/>
                <w14:textFill>
                  <w14:solidFill>
                    <w14:schemeClr w14:val="tx1"/>
                  </w14:solidFill>
                </w14:textFill>
              </w:rPr>
              <w:t>，对</w:t>
            </w:r>
            <w:r>
              <w:rPr>
                <w:bCs/>
                <w:color w:val="000000" w:themeColor="text1"/>
                <w:sz w:val="24"/>
                <w14:textFill>
                  <w14:solidFill>
                    <w14:schemeClr w14:val="tx1"/>
                  </w14:solidFill>
                </w14:textFill>
              </w:rPr>
              <w:t>周围环境产生</w:t>
            </w:r>
            <w:r>
              <w:rPr>
                <w:rFonts w:hint="eastAsia"/>
                <w:bCs/>
                <w:color w:val="000000" w:themeColor="text1"/>
                <w:sz w:val="24"/>
                <w14:textFill>
                  <w14:solidFill>
                    <w14:schemeClr w14:val="tx1"/>
                  </w14:solidFill>
                </w14:textFill>
              </w:rPr>
              <w:t>的</w:t>
            </w:r>
            <w:r>
              <w:rPr>
                <w:bCs/>
                <w:color w:val="000000" w:themeColor="text1"/>
                <w:sz w:val="24"/>
                <w14:textFill>
                  <w14:solidFill>
                    <w14:schemeClr w14:val="tx1"/>
                  </w14:solidFill>
                </w14:textFill>
              </w:rPr>
              <w:t>影响</w:t>
            </w:r>
            <w:r>
              <w:rPr>
                <w:rFonts w:hint="eastAsia"/>
                <w:bCs/>
                <w:color w:val="000000" w:themeColor="text1"/>
                <w:sz w:val="24"/>
                <w14:textFill>
                  <w14:solidFill>
                    <w14:schemeClr w14:val="tx1"/>
                  </w14:solidFill>
                </w14:textFill>
              </w:rPr>
              <w:t>较小。</w:t>
            </w:r>
            <w:r>
              <w:rPr>
                <w:bCs/>
                <w:color w:val="000000" w:themeColor="text1"/>
                <w:sz w:val="24"/>
                <w14:textFill>
                  <w14:solidFill>
                    <w14:schemeClr w14:val="tx1"/>
                  </w14:solidFill>
                </w14:textFill>
              </w:rPr>
              <w:t>因此</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本项目</w:t>
            </w:r>
            <w:r>
              <w:rPr>
                <w:rFonts w:hint="eastAsia"/>
                <w:bCs/>
                <w:color w:val="000000" w:themeColor="text1"/>
                <w:sz w:val="24"/>
                <w14:textFill>
                  <w14:solidFill>
                    <w14:schemeClr w14:val="tx1"/>
                  </w14:solidFill>
                </w14:textFill>
              </w:rPr>
              <w:t>符合《广东省挥发性有机物（VOCs）整治与减排工作方案（2018-2020年）》的</w:t>
            </w:r>
            <w:r>
              <w:rPr>
                <w:bCs/>
                <w:color w:val="000000" w:themeColor="text1"/>
                <w:sz w:val="24"/>
                <w14:textFill>
                  <w14:solidFill>
                    <w14:schemeClr w14:val="tx1"/>
                  </w14:solidFill>
                </w14:textFill>
              </w:rPr>
              <w:t>相关要求。</w:t>
            </w: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5、</w:t>
            </w:r>
            <w:r>
              <w:rPr>
                <w:b/>
                <w:bCs/>
                <w:color w:val="000000" w:themeColor="text1"/>
                <w:sz w:val="24"/>
                <w14:textFill>
                  <w14:solidFill>
                    <w14:schemeClr w14:val="tx1"/>
                  </w14:solidFill>
                </w14:textFill>
              </w:rPr>
              <w:t>与</w:t>
            </w:r>
            <w:r>
              <w:rPr>
                <w:rFonts w:hint="eastAsia"/>
                <w:b/>
                <w:bCs/>
                <w:color w:val="000000" w:themeColor="text1"/>
                <w:sz w:val="24"/>
                <w14:textFill>
                  <w14:solidFill>
                    <w14:schemeClr w14:val="tx1"/>
                  </w14:solidFill>
                </w14:textFill>
              </w:rPr>
              <w:t>《广东省</w:t>
            </w:r>
            <w:r>
              <w:rPr>
                <w:b/>
                <w:bCs/>
                <w:color w:val="000000" w:themeColor="text1"/>
                <w:sz w:val="24"/>
                <w14:textFill>
                  <w14:solidFill>
                    <w14:schemeClr w14:val="tx1"/>
                  </w14:solidFill>
                </w14:textFill>
              </w:rPr>
              <w:t>人民政府关于印发</w:t>
            </w:r>
            <w:r>
              <w:rPr>
                <w:rFonts w:hint="eastAsia"/>
                <w:b/>
                <w:bCs/>
                <w:color w:val="000000" w:themeColor="text1"/>
                <w:sz w:val="24"/>
                <w14:textFill>
                  <w14:solidFill>
                    <w14:schemeClr w14:val="tx1"/>
                  </w14:solidFill>
                </w14:textFill>
              </w:rPr>
              <w:t>〈广东省</w:t>
            </w:r>
            <w:r>
              <w:rPr>
                <w:b/>
                <w:bCs/>
                <w:color w:val="000000" w:themeColor="text1"/>
                <w:sz w:val="24"/>
                <w14:textFill>
                  <w14:solidFill>
                    <w14:schemeClr w14:val="tx1"/>
                  </w14:solidFill>
                </w14:textFill>
              </w:rPr>
              <w:t>打赢蓝天保卫战实施方案（</w:t>
            </w:r>
            <w:r>
              <w:rPr>
                <w:rFonts w:hint="eastAsia"/>
                <w:b/>
                <w:bCs/>
                <w:color w:val="000000" w:themeColor="text1"/>
                <w:sz w:val="24"/>
                <w14:textFill>
                  <w14:solidFill>
                    <w14:schemeClr w14:val="tx1"/>
                  </w14:solidFill>
                </w14:textFill>
              </w:rPr>
              <w:t>2018-2020年</w:t>
            </w: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〉的</w:t>
            </w:r>
            <w:r>
              <w:rPr>
                <w:b/>
                <w:bCs/>
                <w:color w:val="000000" w:themeColor="text1"/>
                <w:sz w:val="24"/>
                <w14:textFill>
                  <w14:solidFill>
                    <w14:schemeClr w14:val="tx1"/>
                  </w14:solidFill>
                </w14:textFill>
              </w:rPr>
              <w:t>通知</w:t>
            </w:r>
            <w:r>
              <w:rPr>
                <w:rFonts w:hint="eastAsia"/>
                <w:b/>
                <w:bCs/>
                <w:color w:val="000000" w:themeColor="text1"/>
                <w:sz w:val="24"/>
                <w14:textFill>
                  <w14:solidFill>
                    <w14:schemeClr w14:val="tx1"/>
                  </w14:solidFill>
                </w14:textFill>
              </w:rPr>
              <w:t>》（粤府﹝2018〕128号）相符性</w:t>
            </w:r>
            <w:r>
              <w:rPr>
                <w:b/>
                <w:bCs/>
                <w:color w:val="000000" w:themeColor="text1"/>
                <w:sz w:val="24"/>
                <w14:textFill>
                  <w14:solidFill>
                    <w14:schemeClr w14:val="tx1"/>
                  </w14:solidFill>
                </w14:textFill>
              </w:rPr>
              <w:t>分析</w:t>
            </w:r>
          </w:p>
          <w:p>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根据</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广东省</w:t>
            </w:r>
            <w:r>
              <w:rPr>
                <w:bCs/>
                <w:color w:val="000000" w:themeColor="text1"/>
                <w:sz w:val="24"/>
                <w14:textFill>
                  <w14:solidFill>
                    <w14:schemeClr w14:val="tx1"/>
                  </w14:solidFill>
                </w14:textFill>
              </w:rPr>
              <w:t>打赢蓝天保卫战实施方案（</w:t>
            </w:r>
            <w:r>
              <w:rPr>
                <w:rFonts w:hint="eastAsia"/>
                <w:bCs/>
                <w:color w:val="000000" w:themeColor="text1"/>
                <w:sz w:val="24"/>
                <w14:textFill>
                  <w14:solidFill>
                    <w14:schemeClr w14:val="tx1"/>
                  </w14:solidFill>
                </w14:textFill>
              </w:rPr>
              <w:t>2018-2020年</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相关</w:t>
            </w:r>
            <w:r>
              <w:rPr>
                <w:bCs/>
                <w:color w:val="000000" w:themeColor="text1"/>
                <w:sz w:val="24"/>
                <w14:textFill>
                  <w14:solidFill>
                    <w14:schemeClr w14:val="tx1"/>
                  </w14:solidFill>
                </w14:textFill>
              </w:rPr>
              <w:t>要求</w:t>
            </w:r>
            <w:r>
              <w:rPr>
                <w:rFonts w:hint="eastAsia"/>
                <w:bCs/>
                <w:color w:val="000000" w:themeColor="text1"/>
                <w:sz w:val="24"/>
                <w14:textFill>
                  <w14:solidFill>
                    <w14:schemeClr w14:val="tx1"/>
                  </w14:solidFill>
                </w14:textFill>
              </w:rPr>
              <w:t>“珠三角</w:t>
            </w:r>
            <w:r>
              <w:rPr>
                <w:bCs/>
                <w:color w:val="000000" w:themeColor="text1"/>
                <w:sz w:val="24"/>
                <w14:textFill>
                  <w14:solidFill>
                    <w14:schemeClr w14:val="tx1"/>
                  </w14:solidFill>
                </w14:textFill>
              </w:rPr>
              <w:t>地区禁止新建生产和使用高VOCs含量溶剂型涂料、油墨、胶粘剂等项目（</w:t>
            </w:r>
            <w:r>
              <w:rPr>
                <w:rFonts w:hint="eastAsia"/>
                <w:bCs/>
                <w:color w:val="000000" w:themeColor="text1"/>
                <w:sz w:val="24"/>
                <w14:textFill>
                  <w14:solidFill>
                    <w14:schemeClr w14:val="tx1"/>
                  </w14:solidFill>
                </w14:textFill>
              </w:rPr>
              <w:t>共性工厂</w:t>
            </w:r>
            <w:r>
              <w:rPr>
                <w:bCs/>
                <w:color w:val="000000" w:themeColor="text1"/>
                <w:sz w:val="24"/>
                <w14:textFill>
                  <w14:solidFill>
                    <w14:schemeClr w14:val="tx1"/>
                  </w14:solidFill>
                </w14:textFill>
              </w:rPr>
              <w:t>除外）</w:t>
            </w:r>
            <w:r>
              <w:rPr>
                <w:rFonts w:hint="eastAsia"/>
                <w:bCs/>
                <w:color w:val="000000" w:themeColor="text1"/>
                <w:sz w:val="24"/>
                <w14:textFill>
                  <w14:solidFill>
                    <w14:schemeClr w14:val="tx1"/>
                  </w14:solidFill>
                </w14:textFill>
              </w:rPr>
              <w:t>。推广应用</w:t>
            </w:r>
            <w:r>
              <w:rPr>
                <w:bCs/>
                <w:color w:val="000000" w:themeColor="text1"/>
                <w:sz w:val="24"/>
                <w14:textFill>
                  <w14:solidFill>
                    <w14:schemeClr w14:val="tx1"/>
                  </w14:solidFill>
                </w14:textFill>
              </w:rPr>
              <w:t>低VOCs原辅材料。在</w:t>
            </w:r>
            <w:r>
              <w:rPr>
                <w:rFonts w:hint="eastAsia"/>
                <w:bCs/>
                <w:color w:val="000000" w:themeColor="text1"/>
                <w:sz w:val="24"/>
                <w14:textFill>
                  <w14:solidFill>
                    <w14:schemeClr w14:val="tx1"/>
                  </w14:solidFill>
                </w14:textFill>
              </w:rPr>
              <w:t>涂料</w:t>
            </w:r>
            <w:r>
              <w:rPr>
                <w:bCs/>
                <w:color w:val="000000" w:themeColor="text1"/>
                <w:sz w:val="24"/>
                <w14:textFill>
                  <w14:solidFill>
                    <w14:schemeClr w14:val="tx1"/>
                  </w14:solidFill>
                </w14:textFill>
              </w:rPr>
              <w:t>、胶粘剂、油墨等行业实施原料替代工程。重点</w:t>
            </w:r>
            <w:r>
              <w:rPr>
                <w:rFonts w:hint="eastAsia"/>
                <w:bCs/>
                <w:color w:val="000000" w:themeColor="text1"/>
                <w:sz w:val="24"/>
                <w14:textFill>
                  <w14:solidFill>
                    <w14:schemeClr w14:val="tx1"/>
                  </w14:solidFill>
                </w14:textFill>
              </w:rPr>
              <w:t>推广使用</w:t>
            </w:r>
            <w:r>
              <w:rPr>
                <w:bCs/>
                <w:color w:val="000000" w:themeColor="text1"/>
                <w:sz w:val="24"/>
                <w14:textFill>
                  <w14:solidFill>
                    <w14:schemeClr w14:val="tx1"/>
                  </w14:solidFill>
                </w14:textFill>
              </w:rPr>
              <w:t>低VOCs含量、低反应活性的原辅材料和产品，到</w:t>
            </w:r>
            <w:r>
              <w:rPr>
                <w:rFonts w:hint="eastAsia"/>
                <w:bCs/>
                <w:color w:val="000000" w:themeColor="text1"/>
                <w:sz w:val="24"/>
                <w14:textFill>
                  <w14:solidFill>
                    <w14:schemeClr w14:val="tx1"/>
                  </w14:solidFill>
                </w14:textFill>
              </w:rPr>
              <w:t>2020年</w:t>
            </w:r>
            <w:r>
              <w:rPr>
                <w:bCs/>
                <w:color w:val="000000" w:themeColor="text1"/>
                <w:sz w:val="24"/>
                <w14:textFill>
                  <w14:solidFill>
                    <w14:schemeClr w14:val="tx1"/>
                  </w14:solidFill>
                </w14:textFill>
              </w:rPr>
              <w:t>，印刷、家具制造、工业涂装重点工业企业的低毒、低（</w:t>
            </w:r>
            <w:r>
              <w:rPr>
                <w:rFonts w:hint="eastAsia"/>
                <w:bCs/>
                <w:color w:val="000000" w:themeColor="text1"/>
                <w:sz w:val="24"/>
                <w14:textFill>
                  <w14:solidFill>
                    <w14:schemeClr w14:val="tx1"/>
                  </w14:solidFill>
                </w14:textFill>
              </w:rPr>
              <w:t>无</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VOCs</w:t>
            </w:r>
            <w:r>
              <w:rPr>
                <w:bCs/>
                <w:color w:val="000000" w:themeColor="text1"/>
                <w:sz w:val="24"/>
                <w14:textFill>
                  <w14:solidFill>
                    <w14:schemeClr w14:val="tx1"/>
                  </w14:solidFill>
                </w14:textFill>
              </w:rPr>
              <w:t>含量、高固份原辅材料使用比例大幅提升。</w:t>
            </w:r>
            <w:r>
              <w:rPr>
                <w:rFonts w:hint="eastAsia"/>
                <w:bCs/>
                <w:color w:val="000000" w:themeColor="text1"/>
                <w:sz w:val="24"/>
                <w14:textFill>
                  <w14:solidFill>
                    <w14:schemeClr w14:val="tx1"/>
                  </w14:solidFill>
                </w14:textFill>
              </w:rPr>
              <w:t>”</w:t>
            </w:r>
          </w:p>
          <w:p>
            <w:pPr>
              <w:spacing w:line="360" w:lineRule="auto"/>
              <w:ind w:firstLine="480" w:firstLineChars="200"/>
            </w:pPr>
            <w:r>
              <w:rPr>
                <w:rFonts w:hint="eastAsia"/>
                <w:bCs/>
                <w:color w:val="000000" w:themeColor="text1"/>
                <w:sz w:val="24"/>
                <w14:textFill>
                  <w14:solidFill>
                    <w14:schemeClr w14:val="tx1"/>
                  </w14:solidFill>
                </w14:textFill>
              </w:rPr>
              <w:t>本项目主要为</w:t>
            </w:r>
            <w:r>
              <w:rPr>
                <w:rFonts w:hint="eastAsia"/>
                <w:color w:val="000000" w:themeColor="text1"/>
                <w:sz w:val="24"/>
                <w14:textFill>
                  <w14:solidFill>
                    <w14:schemeClr w14:val="tx1"/>
                  </w14:solidFill>
                </w14:textFill>
              </w:rPr>
              <w:t>木质品制造</w:t>
            </w:r>
            <w:r>
              <w:rPr>
                <w:bCs/>
                <w:color w:val="000000" w:themeColor="text1"/>
                <w:sz w:val="24"/>
                <w14:textFill>
                  <w14:solidFill>
                    <w14:schemeClr w14:val="tx1"/>
                  </w14:solidFill>
                </w14:textFill>
              </w:rPr>
              <w:t>，生产过程中</w:t>
            </w:r>
            <w:r>
              <w:rPr>
                <w:rFonts w:hint="eastAsia"/>
                <w:bCs/>
                <w:color w:val="000000" w:themeColor="text1"/>
                <w:sz w:val="24"/>
                <w14:textFill>
                  <w14:solidFill>
                    <w14:schemeClr w14:val="tx1"/>
                  </w14:solidFill>
                </w14:textFill>
              </w:rPr>
              <w:t>使用的水性涂料</w:t>
            </w:r>
            <w:r>
              <w:rPr>
                <w:bCs/>
                <w:color w:val="000000" w:themeColor="text1"/>
                <w:sz w:val="24"/>
                <w14:textFill>
                  <w14:solidFill>
                    <w14:schemeClr w14:val="tx1"/>
                  </w14:solidFill>
                </w14:textFill>
              </w:rPr>
              <w:t>VOCs含量约为</w:t>
            </w:r>
            <w:r>
              <w:rPr>
                <w:rFonts w:hint="eastAsia"/>
                <w:bCs/>
                <w:color w:val="000000" w:themeColor="text1"/>
                <w:sz w:val="24"/>
                <w14:textFill>
                  <w14:solidFill>
                    <w14:schemeClr w14:val="tx1"/>
                  </w14:solidFill>
                </w14:textFill>
              </w:rPr>
              <w:t>129</w:t>
            </w:r>
            <w:r>
              <w:rPr>
                <w:bCs/>
                <w:color w:val="000000" w:themeColor="text1"/>
                <w:sz w:val="24"/>
                <w14:textFill>
                  <w14:solidFill>
                    <w14:schemeClr w14:val="tx1"/>
                  </w14:solidFill>
                </w14:textFill>
              </w:rPr>
              <w:t>g/L</w:t>
            </w:r>
            <w:r>
              <w:rPr>
                <w:rFonts w:hint="eastAsia"/>
                <w:bCs/>
                <w:color w:val="000000" w:themeColor="text1"/>
                <w:sz w:val="24"/>
                <w14:textFill>
                  <w14:solidFill>
                    <w14:schemeClr w14:val="tx1"/>
                  </w14:solidFill>
                </w14:textFill>
              </w:rPr>
              <w:t>，根据</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低挥发性有机化合物含量涂料产品技术要求</w:t>
            </w:r>
            <w:r>
              <w:rPr>
                <w:color w:val="000000" w:themeColor="text1"/>
                <w:sz w:val="24"/>
                <w14:textFill>
                  <w14:solidFill>
                    <w14:schemeClr w14:val="tx1"/>
                  </w14:solidFill>
                </w14:textFill>
              </w:rPr>
              <w:t>》（GB</w:t>
            </w:r>
            <w:r>
              <w:rPr>
                <w:rFonts w:hint="eastAsia"/>
                <w:color w:val="000000" w:themeColor="text1"/>
                <w:sz w:val="24"/>
                <w14:textFill>
                  <w14:solidFill>
                    <w14:schemeClr w14:val="tx1"/>
                  </w14:solidFill>
                </w14:textFill>
              </w:rPr>
              <w:t>/T38597</w:t>
            </w:r>
            <w:r>
              <w:rPr>
                <w:color w:val="000000" w:themeColor="text1"/>
                <w:sz w:val="24"/>
                <w14:textFill>
                  <w14:solidFill>
                    <w14:schemeClr w14:val="tx1"/>
                  </w14:solidFill>
                </w14:textFill>
              </w:rPr>
              <w:t>-2020）</w:t>
            </w:r>
            <w:r>
              <w:rPr>
                <w:rFonts w:hint="eastAsia"/>
                <w:color w:val="000000" w:themeColor="text1"/>
                <w:sz w:val="24"/>
                <w14:textFill>
                  <w14:solidFill>
                    <w14:schemeClr w14:val="tx1"/>
                  </w14:solidFill>
                </w14:textFill>
              </w:rPr>
              <w:t>中表1玩具涂料</w:t>
            </w:r>
            <w:r>
              <w:rPr>
                <w:color w:val="000000" w:themeColor="text1"/>
                <w:sz w:val="24"/>
                <w14:textFill>
                  <w14:solidFill>
                    <w14:schemeClr w14:val="tx1"/>
                  </w14:solidFill>
                </w14:textFill>
              </w:rPr>
              <w:t>VOCs含量不高于</w:t>
            </w:r>
            <w:r>
              <w:rPr>
                <w:rFonts w:hint="eastAsia"/>
                <w:color w:val="000000" w:themeColor="text1"/>
                <w:sz w:val="24"/>
                <w14:textFill>
                  <w14:solidFill>
                    <w14:schemeClr w14:val="tx1"/>
                  </w14:solidFill>
                </w14:textFill>
              </w:rPr>
              <w:t>420</w:t>
            </w:r>
            <w:r>
              <w:rPr>
                <w:color w:val="000000" w:themeColor="text1"/>
                <w:sz w:val="24"/>
                <w14:textFill>
                  <w14:solidFill>
                    <w14:schemeClr w14:val="tx1"/>
                  </w14:solidFill>
                </w14:textFill>
              </w:rPr>
              <w:t>g/L，本项目</w:t>
            </w:r>
            <w:r>
              <w:rPr>
                <w:rFonts w:hint="eastAsia"/>
                <w:bCs/>
                <w:color w:val="000000" w:themeColor="text1"/>
                <w:sz w:val="24"/>
                <w14:textFill>
                  <w14:solidFill>
                    <w14:schemeClr w14:val="tx1"/>
                  </w14:solidFill>
                </w14:textFill>
              </w:rPr>
              <w:t>水性涂料</w:t>
            </w:r>
            <w:r>
              <w:rPr>
                <w:bCs/>
                <w:color w:val="000000" w:themeColor="text1"/>
                <w:sz w:val="24"/>
                <w14:textFill>
                  <w14:solidFill>
                    <w14:schemeClr w14:val="tx1"/>
                  </w14:solidFill>
                </w14:textFill>
              </w:rPr>
              <w:t>不属于高VOCs</w:t>
            </w:r>
            <w:r>
              <w:rPr>
                <w:rFonts w:hint="eastAsia"/>
                <w:bCs/>
                <w:color w:val="000000" w:themeColor="text1"/>
                <w:sz w:val="24"/>
                <w14:textFill>
                  <w14:solidFill>
                    <w14:schemeClr w14:val="tx1"/>
                  </w14:solidFill>
                </w14:textFill>
              </w:rPr>
              <w:t>含量</w:t>
            </w:r>
            <w:r>
              <w:rPr>
                <w:bCs/>
                <w:color w:val="000000" w:themeColor="text1"/>
                <w:sz w:val="24"/>
                <w14:textFill>
                  <w14:solidFill>
                    <w14:schemeClr w14:val="tx1"/>
                  </w14:solidFill>
                </w14:textFill>
              </w:rPr>
              <w:t>的</w:t>
            </w:r>
            <w:r>
              <w:rPr>
                <w:rFonts w:hint="eastAsia"/>
                <w:bCs/>
                <w:color w:val="000000" w:themeColor="text1"/>
                <w:sz w:val="24"/>
                <w14:textFill>
                  <w14:solidFill>
                    <w14:schemeClr w14:val="tx1"/>
                  </w14:solidFill>
                </w14:textFill>
              </w:rPr>
              <w:t>涂料。</w:t>
            </w:r>
            <w:r>
              <w:rPr>
                <w:bCs/>
                <w:color w:val="000000" w:themeColor="text1"/>
                <w:sz w:val="24"/>
                <w14:textFill>
                  <w14:solidFill>
                    <w14:schemeClr w14:val="tx1"/>
                  </w14:solidFill>
                </w14:textFill>
              </w:rPr>
              <w:t>因此</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本项目符合《</w:t>
            </w:r>
            <w:r>
              <w:rPr>
                <w:rFonts w:hint="eastAsia"/>
                <w:bCs/>
                <w:color w:val="000000" w:themeColor="text1"/>
                <w:sz w:val="24"/>
                <w14:textFill>
                  <w14:solidFill>
                    <w14:schemeClr w14:val="tx1"/>
                  </w14:solidFill>
                </w14:textFill>
              </w:rPr>
              <w:t>广东省</w:t>
            </w:r>
            <w:r>
              <w:rPr>
                <w:bCs/>
                <w:color w:val="000000" w:themeColor="text1"/>
                <w:sz w:val="24"/>
                <w14:textFill>
                  <w14:solidFill>
                    <w14:schemeClr w14:val="tx1"/>
                  </w14:solidFill>
                </w14:textFill>
              </w:rPr>
              <w:t>打赢蓝天保卫战实施方案（</w:t>
            </w:r>
            <w:r>
              <w:rPr>
                <w:rFonts w:hint="eastAsia"/>
                <w:bCs/>
                <w:color w:val="000000" w:themeColor="text1"/>
                <w:sz w:val="24"/>
                <w14:textFill>
                  <w14:solidFill>
                    <w14:schemeClr w14:val="tx1"/>
                  </w14:solidFill>
                </w14:textFill>
              </w:rPr>
              <w:t>2018-2020年</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相关</w:t>
            </w:r>
            <w:r>
              <w:rPr>
                <w:bCs/>
                <w:color w:val="000000" w:themeColor="text1"/>
                <w:sz w:val="24"/>
                <w14:textFill>
                  <w14:solidFill>
                    <w14:schemeClr w14:val="tx1"/>
                  </w14:solidFill>
                </w14:textFill>
              </w:rPr>
              <w:t>要求</w:t>
            </w:r>
            <w:r>
              <w:rPr>
                <w:rFonts w:hint="eastAsia"/>
                <w:bCs/>
                <w:color w:val="000000" w:themeColor="text1"/>
                <w:sz w:val="24"/>
                <w14:textFill>
                  <w14:solidFill>
                    <w14:schemeClr w14:val="tx1"/>
                  </w14:solidFill>
                </w14:textFill>
              </w:rPr>
              <w:t>。</w:t>
            </w:r>
          </w:p>
          <w:p>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6、</w:t>
            </w:r>
            <w:r>
              <w:rPr>
                <w:b/>
                <w:color w:val="000000" w:themeColor="text1"/>
                <w:sz w:val="24"/>
                <w14:textFill>
                  <w14:solidFill>
                    <w14:schemeClr w14:val="tx1"/>
                  </w14:solidFill>
                </w14:textFill>
              </w:rPr>
              <w:t>与《关于严格限制东江流域水污染项目建设进一步做好东江水质保护工作的通知》（粤府函〔2011〕339号）、《广东省人民政府关于严格限制东江流域水污染项目建设进一步做好东江水质保护工作的补充通知》（粤府函〔2013〕231号）</w:t>
            </w:r>
            <w:r>
              <w:rPr>
                <w:rFonts w:hint="eastAsia"/>
                <w:b/>
                <w:color w:val="000000" w:themeColor="text1"/>
                <w:sz w:val="24"/>
                <w14:textFill>
                  <w14:solidFill>
                    <w14:schemeClr w14:val="tx1"/>
                  </w14:solidFill>
                </w14:textFill>
              </w:rPr>
              <w:t>、《广东省水污染防治条例》（第五十条）</w:t>
            </w:r>
            <w:r>
              <w:rPr>
                <w:b/>
                <w:color w:val="000000" w:themeColor="text1"/>
                <w:sz w:val="24"/>
                <w14:textFill>
                  <w14:solidFill>
                    <w14:schemeClr w14:val="tx1"/>
                  </w14:solidFill>
                </w14:textFill>
              </w:rPr>
              <w:t>相符性分析</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（一）根据《关于限制东江流域水污染项目建设进一步做好东江水质保护工作的通知》（粤府函</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2011</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339号），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（二）《广东省人民政府关于严格限制东江流域水污染项目建设进一步做好东江水质保护工作的补充通知》（粤府函</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2013</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231号）</w:t>
            </w:r>
            <w:r>
              <w:rPr>
                <w:rFonts w:hint="eastAsia"/>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（1）增加东江一级支流沙河为流域严格控制污染项目建设的支流；</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（2）符合下列条件之一的建设项目，不列入禁止建设和暂停审批范围：</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①建设地点位于东江流域，但不排放废水或废水不排入东江及其支流，不会对东江水质和水环境安全构成影响的项目；</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②通过提高清洁生产和污染防治水平，能够做到增产不憎污、增产减污、技改减污的改（扩）建项目及同流域内迁建减污项目；</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③流域内拟迁入重污染行业统一规划、统一定点基地，且符合基地规划环评审查意见的建设项目。</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三</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《广东省水污染防治条例》（第五十条）：</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北江流域实行重金属污染物排放总量控制，严格控制新建涉重金属排放的项目，新建、改建、扩建的项目严格实行重金属等特征污染物排放减量置换。</w:t>
            </w:r>
          </w:p>
          <w:p>
            <w:pPr>
              <w:widowControl/>
              <w:adjustRightInd w:val="0"/>
              <w:snapToGrid w:val="0"/>
              <w:spacing w:line="360" w:lineRule="auto"/>
              <w:ind w:firstLine="480" w:firstLineChars="200"/>
              <w:jc w:val="left"/>
              <w:rPr>
                <w:b/>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惠州市艺冉艺术展览工程有限公司建设项目选址位广东省博罗县福田镇，属于东江流域范围。项目从木质品制造生产，项目无生产废水的排放。项目所在区域属于博罗县福田镇生活污水处理厂纳污范围，项目所在区域已完成与污水处理厂的管网接驳，项目的生活污水经隔油隔渣、三级化粪池预处理达到广东省地方标准《水污染物排放限值》（DB44/26-2001）第二时段三级标准后经市政污水管网排入博罗县福田镇生活污水处理厂，经处理后汇入福田河。本项目不属于以上禁批或限批行业，因此，项目选址符合流域限批政策要求。故本项目污水的排放符合《关于严格限制东江流域水污染项目建设进一步做好东江水质保护工作的通知》（粤府【2011】339号）及《广东省人民政府关于严格限制东江流域水污染项目建设进一步做好东江水质保护工作的补充通知》（粤府函〔2013〕231号）、《广东省水污染防治条例》（第五十条）的相关规定</w:t>
            </w:r>
            <w:r>
              <w:rPr>
                <w:color w:val="000000" w:themeColor="text1"/>
                <w:sz w:val="24"/>
                <w14:textFill>
                  <w14:solidFill>
                    <w14:schemeClr w14:val="tx1"/>
                  </w14:solidFill>
                </w14:textFill>
              </w:rPr>
              <w:t>。</w:t>
            </w:r>
          </w:p>
          <w:p>
            <w:pPr>
              <w:adjustRightInd w:val="0"/>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7、与《关于珠江三角洲地区严格控制工业企业挥发性有机物（VOCs）排放的意见》相符性分析</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该文要求：强化化学品/医药/化学纤维/橡胶/塑料制造业、涂料/油漆/油墨制造业等典型高VOCs排放企业的清洁生产和VOCs排放治理监管工作，采取切实有效方法保障工业有机溶剂原辅材料和产品的密闭储存以及排放总VOCs生产工序在固定车间内进行，监督有机废气排放企业安装有机废气回收净化设施。</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属于木质品制造，调漆、喷漆、晾干过程中产生的有机废气经收集后送至“水喷淋+过滤除雾器+二级活性炭吸附”装置处理达标后经15m高排气筒排放，处理效率达85%以上，基本不会对周围环境产生不利影响。符合《关于珠江三角洲地区严格控制工业企业挥发性有机物（VOCs）排放的意见》中的相关要求。</w:t>
            </w:r>
          </w:p>
          <w:p>
            <w:pPr>
              <w:adjustRightInd w:val="0"/>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8、与《“十三五”挥发性有机物污染防治工作方案》相符性分析</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本项目与《关于印发&lt;“十三五”挥发性有机物污染防治工作方案&gt;的通知》（环大气[2017]121号）的相符性分析详见下表1-2。</w:t>
            </w:r>
          </w:p>
          <w:p>
            <w:pPr>
              <w:widowControl/>
              <w:spacing w:line="360" w:lineRule="auto"/>
              <w:jc w:val="center"/>
              <w:rPr>
                <w:rStyle w:val="119"/>
                <w:rFonts w:hint="default" w:ascii="Times New Roman" w:hAnsi="Times New Roman"/>
                <w:b/>
                <w:color w:val="000000" w:themeColor="text1"/>
                <w:sz w:val="21"/>
                <w:szCs w:val="21"/>
                <w14:textFill>
                  <w14:solidFill>
                    <w14:schemeClr w14:val="tx1"/>
                  </w14:solidFill>
                </w14:textFill>
              </w:rPr>
            </w:pPr>
            <w:r>
              <w:rPr>
                <w:rStyle w:val="119"/>
                <w:rFonts w:hint="default" w:ascii="Times New Roman" w:hAnsi="Times New Roman"/>
                <w:b/>
                <w:color w:val="000000" w:themeColor="text1"/>
                <w:sz w:val="21"/>
                <w:szCs w:val="21"/>
                <w14:textFill>
                  <w14:solidFill>
                    <w14:schemeClr w14:val="tx1"/>
                  </w14:solidFill>
                </w14:textFill>
              </w:rPr>
              <w:t>表1-2 本项目与“（环大气[2017]121号）”的相符性分析</w:t>
            </w:r>
          </w:p>
          <w:tbl>
            <w:tblPr>
              <w:tblStyle w:val="39"/>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3978"/>
              <w:gridCol w:w="2755"/>
              <w:gridCol w:w="85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2620" w:type="pct"/>
                  <w:tcBorders>
                    <w:tl2br w:val="nil"/>
                    <w:tr2bl w:val="nil"/>
                  </w:tcBorders>
                  <w:vAlign w:val="center"/>
                </w:tcPr>
                <w:p>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相关要求</w:t>
                  </w:r>
                </w:p>
              </w:tc>
              <w:tc>
                <w:tcPr>
                  <w:tcW w:w="1814" w:type="pct"/>
                  <w:tcBorders>
                    <w:tl2br w:val="nil"/>
                    <w:tr2bl w:val="nil"/>
                  </w:tcBorders>
                  <w:vAlign w:val="center"/>
                </w:tcPr>
                <w:p>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本项目情况</w:t>
                  </w:r>
                </w:p>
              </w:tc>
              <w:tc>
                <w:tcPr>
                  <w:tcW w:w="565" w:type="pct"/>
                  <w:tcBorders>
                    <w:tl2br w:val="nil"/>
                    <w:tr2bl w:val="nil"/>
                  </w:tcBorders>
                  <w:vAlign w:val="center"/>
                </w:tcPr>
                <w:p>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相符性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2620" w:type="pct"/>
                  <w:tcBorders>
                    <w:tl2br w:val="nil"/>
                    <w:tr2bl w:val="nil"/>
                  </w:tcBorders>
                  <w:vAlign w:val="center"/>
                </w:tcPr>
                <w:p>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加快推进“散乱污”企业综合整治。各地要全面开展涉VOCs排放的“散乱污”企业排查工作，建立管理台账，实施分类处置。列入淘汰类的，依法依规予以取缔，做到“两断三清”，即断水、断电，清除原料、清除产品、清除设备；列入搬迁改造、升级改造类的，按照发展规模化、现代化产业的原则，制定改造提升方案，落实时间表和责任人；对“散乱污”企业集群，要制定总体整改方案，统一标准要求，并向社会公开，同步推进区域环境综合整治和企业升级改造。</w:t>
                  </w:r>
                </w:p>
              </w:tc>
              <w:tc>
                <w:tcPr>
                  <w:tcW w:w="1814" w:type="pct"/>
                  <w:tcBorders>
                    <w:tl2br w:val="nil"/>
                    <w:tr2bl w:val="nil"/>
                  </w:tcBorders>
                  <w:vAlign w:val="center"/>
                </w:tcPr>
                <w:p>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本项目符合产业政策要求，不属于淘汰类。</w:t>
                  </w:r>
                </w:p>
              </w:tc>
              <w:tc>
                <w:tcPr>
                  <w:tcW w:w="565" w:type="pct"/>
                  <w:tcBorders>
                    <w:tl2br w:val="nil"/>
                    <w:tr2bl w:val="nil"/>
                  </w:tcBorders>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符合</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69" w:hRule="atLeast"/>
                <w:jc w:val="center"/>
              </w:trPr>
              <w:tc>
                <w:tcPr>
                  <w:tcW w:w="2620" w:type="pct"/>
                  <w:tcBorders>
                    <w:tl2br w:val="nil"/>
                    <w:tr2bl w:val="nil"/>
                  </w:tcBorders>
                  <w:vAlign w:val="center"/>
                </w:tcPr>
                <w:p>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严格建设项目环境准入。提高VOCs 排放重点行业环保准入门槛，严格控制新增污染物排放量。重点地区要严格限制石化、化工、包装印刷、工业涂装等高VOCs 排放建设项目。新建涉VOCs 排放的工业企业要入园区。未纳入《石化产业规划布局方案》的新建炼化项目一律不得建设。严格涉VOCs 建设项目环境影响评价，实行区域内VOCs 排放等量或倍量削减替代，并将替代方案落实到企业排污许可证中，纳入环境执法管理。新、改、扩建涉VOCs 排放项目，应从源头加强控制，使用低（无）VOCs 含量的原辅材料，加强废气收集，安装高效治理设施。</w:t>
                  </w:r>
                </w:p>
              </w:tc>
              <w:tc>
                <w:tcPr>
                  <w:tcW w:w="1814" w:type="pct"/>
                  <w:tcBorders>
                    <w:tl2br w:val="nil"/>
                    <w:tr2bl w:val="nil"/>
                  </w:tcBorders>
                  <w:vAlign w:val="center"/>
                </w:tcPr>
                <w:p>
                  <w:pP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本项目所属行业为木质品制造。不属于该文重点行业，</w:t>
                  </w:r>
                  <w:r>
                    <w:rPr>
                      <w:rFonts w:hint="eastAsia"/>
                      <w:color w:val="000000" w:themeColor="text1"/>
                      <w:szCs w:val="21"/>
                      <w14:textFill>
                        <w14:solidFill>
                          <w14:schemeClr w14:val="tx1"/>
                        </w14:solidFill>
                      </w14:textFill>
                    </w:rPr>
                    <w:t>调漆、喷漆、晾干漆过程中产生的有机废气经收集后送至“水喷淋+过滤除雾器+二级活性炭吸附”装置处理达标后经15m高排气筒排放，处理效率达86%。且本</w:t>
                  </w:r>
                  <w:r>
                    <w:rPr>
                      <w:rFonts w:hint="eastAsia"/>
                      <w:bCs/>
                      <w:color w:val="000000" w:themeColor="text1"/>
                      <w:szCs w:val="21"/>
                      <w14:textFill>
                        <w14:solidFill>
                          <w14:schemeClr w14:val="tx1"/>
                        </w14:solidFill>
                      </w14:textFill>
                    </w:rPr>
                    <w:t>项目虽为新建项目，但所使用的原辅材料均为低VOCs含量的原辅材料。</w:t>
                  </w:r>
                </w:p>
              </w:tc>
              <w:tc>
                <w:tcPr>
                  <w:tcW w:w="565" w:type="pct"/>
                  <w:tcBorders>
                    <w:tl2br w:val="nil"/>
                    <w:tr2bl w:val="nil"/>
                  </w:tcBorders>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符合</w:t>
                  </w:r>
                </w:p>
              </w:tc>
            </w:tr>
          </w:tbl>
          <w:p>
            <w:pPr>
              <w:spacing w:line="360" w:lineRule="auto"/>
              <w:ind w:firstLine="482" w:firstLineChars="200"/>
              <w:rPr>
                <w:color w:val="000000" w:themeColor="text1"/>
                <w:kern w:val="0"/>
                <w:sz w:val="24"/>
                <w14:textFill>
                  <w14:solidFill>
                    <w14:schemeClr w14:val="tx1"/>
                  </w14:solidFill>
                </w14:textFill>
              </w:rPr>
            </w:pPr>
            <w:r>
              <w:rPr>
                <w:rFonts w:hint="eastAsia"/>
                <w:b/>
                <w:color w:val="000000" w:themeColor="text1"/>
                <w:sz w:val="24"/>
                <w14:textFill>
                  <w14:solidFill>
                    <w14:schemeClr w14:val="tx1"/>
                  </w14:solidFill>
                </w14:textFill>
              </w:rPr>
              <w:t>10、</w:t>
            </w:r>
            <w:r>
              <w:rPr>
                <w:rFonts w:hint="eastAsia"/>
                <w:b/>
                <w:bCs/>
                <w:color w:val="000000" w:themeColor="text1"/>
                <w:sz w:val="24"/>
                <w14:textFill>
                  <w14:solidFill>
                    <w14:schemeClr w14:val="tx1"/>
                  </w14:solidFill>
                </w14:textFill>
              </w:rPr>
              <w:t>与《关于印发&lt;重点行业挥发性有机物综合治理方案&gt; 的通知》（环大气</w:t>
            </w:r>
            <w:r>
              <w:rPr>
                <w:b/>
                <w:bCs/>
                <w:color w:val="000000" w:themeColor="text1"/>
                <w:sz w:val="24"/>
                <w14:textFill>
                  <w14:solidFill>
                    <w14:schemeClr w14:val="tx1"/>
                  </w14:solidFill>
                </w14:textFill>
              </w:rPr>
              <w:t>〔2019〕</w:t>
            </w:r>
            <w:r>
              <w:rPr>
                <w:rFonts w:hint="eastAsia"/>
                <w:b/>
                <w:bCs/>
                <w:color w:val="000000" w:themeColor="text1"/>
                <w:sz w:val="24"/>
                <w14:textFill>
                  <w14:solidFill>
                    <w14:schemeClr w14:val="tx1"/>
                  </w14:solidFill>
                </w14:textFill>
              </w:rPr>
              <w:t>5</w:t>
            </w:r>
            <w:r>
              <w:rPr>
                <w:b/>
                <w:bCs/>
                <w:color w:val="000000" w:themeColor="text1"/>
                <w:sz w:val="24"/>
                <w14:textFill>
                  <w14:solidFill>
                    <w14:schemeClr w14:val="tx1"/>
                  </w14:solidFill>
                </w14:textFill>
              </w:rPr>
              <w:t>3</w:t>
            </w:r>
            <w:r>
              <w:rPr>
                <w:rFonts w:hint="eastAsia"/>
                <w:b/>
                <w:bCs/>
                <w:color w:val="000000" w:themeColor="text1"/>
                <w:sz w:val="24"/>
                <w14:textFill>
                  <w14:solidFill>
                    <w14:schemeClr w14:val="tx1"/>
                  </w14:solidFill>
                </w14:textFill>
              </w:rPr>
              <w:t>号）相符性分析</w:t>
            </w:r>
          </w:p>
          <w:p>
            <w:pPr>
              <w:autoSpaceDE w:val="0"/>
              <w:autoSpaceDN w:val="0"/>
              <w:adjustRightInd w:val="0"/>
              <w:snapToGrid w:val="0"/>
              <w:spacing w:line="360" w:lineRule="auto"/>
              <w:ind w:firstLine="480" w:firstLineChars="200"/>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根据政策中的相关要求：</w:t>
            </w:r>
          </w:p>
          <w:p>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“化工行业要推广使用低（无）VOCs含量、低反应活性的原辅材料，加快对芳香烃、含卤素有机化合物的绿色替代”；</w:t>
            </w:r>
          </w:p>
          <w:p>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“使用的原辅材料VOCs含量（质量比）低 10%的工序，可不要求采取无组织排放收集措施。”；</w:t>
            </w:r>
          </w:p>
          <w:p>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“含VOCs物料应储存于半密闭容器、包装袋，高效密封储罐，封闭式储库、料仓等。含VOCs 物料转移和输送，应采用半密闭管道或半密闭容器、罐车等。”</w:t>
            </w:r>
          </w:p>
          <w:p>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“车间或生产设施收集排放的废气，VOCs初始排放速率大于等于3千克/小时、重点区域大于等于2千克/小时的，应加大控制力度，除确保排放浓度稳定达标外，还应实行去除效率控制，去除效率不低于80%”</w:t>
            </w:r>
            <w:r>
              <w:rPr>
                <w:rFonts w:hint="eastAsia"/>
                <w:color w:val="000000" w:themeColor="text1"/>
                <w:kern w:val="0"/>
                <w:sz w:val="24"/>
                <w14:textFill>
                  <w14:solidFill>
                    <w14:schemeClr w14:val="tx1"/>
                  </w14:solidFill>
                </w14:textFill>
              </w:rPr>
              <w:t>。</w:t>
            </w:r>
          </w:p>
          <w:p>
            <w:pPr>
              <w:autoSpaceDE w:val="0"/>
              <w:autoSpaceDN w:val="0"/>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kern w:val="0"/>
                <w:sz w:val="24"/>
                <w14:textFill>
                  <w14:solidFill>
                    <w14:schemeClr w14:val="tx1"/>
                  </w14:solidFill>
                </w14:textFill>
              </w:rPr>
              <w:t>本项目使用低VOCs含量</w:t>
            </w:r>
            <w:r>
              <w:rPr>
                <w:rFonts w:hint="eastAsia"/>
                <w:color w:val="000000" w:themeColor="text1"/>
                <w:kern w:val="0"/>
                <w:sz w:val="24"/>
                <w14:textFill>
                  <w14:solidFill>
                    <w14:schemeClr w14:val="tx1"/>
                  </w14:solidFill>
                </w14:textFill>
              </w:rPr>
              <w:t>水性涂料</w:t>
            </w:r>
            <w:r>
              <w:rPr>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调漆、喷漆、晾干</w:t>
            </w:r>
            <w:r>
              <w:rPr>
                <w:color w:val="000000" w:themeColor="text1"/>
                <w:kern w:val="0"/>
                <w:sz w:val="24"/>
                <w14:textFill>
                  <w14:solidFill>
                    <w14:schemeClr w14:val="tx1"/>
                  </w14:solidFill>
                </w14:textFill>
              </w:rPr>
              <w:t>过程</w:t>
            </w:r>
            <w:r>
              <w:rPr>
                <w:rFonts w:hint="eastAsia"/>
                <w:color w:val="000000" w:themeColor="text1"/>
                <w:kern w:val="0"/>
                <w:sz w:val="24"/>
                <w14:textFill>
                  <w14:solidFill>
                    <w14:schemeClr w14:val="tx1"/>
                  </w14:solidFill>
                </w14:textFill>
              </w:rPr>
              <w:t>中产生的</w:t>
            </w:r>
            <w:r>
              <w:rPr>
                <w:color w:val="000000" w:themeColor="text1"/>
                <w:kern w:val="0"/>
                <w:sz w:val="24"/>
                <w14:textFill>
                  <w14:solidFill>
                    <w14:schemeClr w14:val="tx1"/>
                  </w14:solidFill>
                </w14:textFill>
              </w:rPr>
              <w:t>VOCs挥发</w:t>
            </w:r>
            <w:r>
              <w:rPr>
                <w:rFonts w:hint="eastAsia"/>
                <w:color w:val="000000" w:themeColor="text1"/>
                <w:kern w:val="0"/>
                <w:sz w:val="24"/>
                <w14:textFill>
                  <w14:solidFill>
                    <w14:schemeClr w14:val="tx1"/>
                  </w14:solidFill>
                </w14:textFill>
              </w:rPr>
              <w:t>有机废气</w:t>
            </w:r>
            <w:r>
              <w:rPr>
                <w:color w:val="000000" w:themeColor="text1"/>
                <w:kern w:val="0"/>
                <w:sz w:val="24"/>
                <w14:textFill>
                  <w14:solidFill>
                    <w14:schemeClr w14:val="tx1"/>
                  </w14:solidFill>
                </w14:textFill>
              </w:rPr>
              <w:t>采取</w:t>
            </w:r>
            <w:r>
              <w:rPr>
                <w:rFonts w:hint="eastAsia"/>
                <w:color w:val="000000" w:themeColor="text1"/>
                <w:kern w:val="0"/>
                <w:sz w:val="24"/>
                <w14:textFill>
                  <w14:solidFill>
                    <w14:schemeClr w14:val="tx1"/>
                  </w14:solidFill>
                </w14:textFill>
              </w:rPr>
              <w:t>水帘柜与</w:t>
            </w:r>
            <w:r>
              <w:rPr>
                <w:color w:val="000000" w:themeColor="text1"/>
                <w:kern w:val="0"/>
                <w:sz w:val="24"/>
                <w14:textFill>
                  <w14:solidFill>
                    <w14:schemeClr w14:val="tx1"/>
                  </w14:solidFill>
                </w14:textFill>
              </w:rPr>
              <w:t>负压环境下对VOCs进行收集，收集效率约有</w:t>
            </w:r>
            <w:r>
              <w:rPr>
                <w:rFonts w:hint="eastAsia"/>
                <w:color w:val="000000" w:themeColor="text1"/>
                <w:kern w:val="0"/>
                <w:sz w:val="24"/>
                <w14:textFill>
                  <w14:solidFill>
                    <w14:schemeClr w14:val="tx1"/>
                  </w14:solidFill>
                </w14:textFill>
              </w:rPr>
              <w:t>90</w:t>
            </w:r>
            <w:r>
              <w:rPr>
                <w:color w:val="000000" w:themeColor="text1"/>
                <w:kern w:val="0"/>
                <w:sz w:val="24"/>
                <w14:textFill>
                  <w14:solidFill>
                    <w14:schemeClr w14:val="tx1"/>
                  </w14:solidFill>
                </w14:textFill>
              </w:rPr>
              <w:t>%，处理效率</w:t>
            </w:r>
            <w:r>
              <w:rPr>
                <w:rFonts w:hint="eastAsia"/>
                <w:color w:val="000000" w:themeColor="text1"/>
                <w:kern w:val="0"/>
                <w:sz w:val="24"/>
                <w14:textFill>
                  <w14:solidFill>
                    <w14:schemeClr w14:val="tx1"/>
                  </w14:solidFill>
                </w14:textFill>
              </w:rPr>
              <w:t>为86</w:t>
            </w:r>
            <w:r>
              <w:rPr>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经</w:t>
            </w:r>
            <w:r>
              <w:rPr>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水喷淋+过滤除雾器+二级活性炭吸附</w:t>
            </w:r>
            <w:r>
              <w:rPr>
                <w:color w:val="000000" w:themeColor="text1"/>
                <w:kern w:val="0"/>
                <w:sz w:val="24"/>
                <w14:textFill>
                  <w14:solidFill>
                    <w14:schemeClr w14:val="tx1"/>
                  </w14:solidFill>
                </w14:textFill>
              </w:rPr>
              <w:t>”处理达标后通过15m排气筒高空排放，项目所使用的水性</w:t>
            </w:r>
            <w:r>
              <w:rPr>
                <w:rFonts w:hint="eastAsia"/>
                <w:color w:val="000000" w:themeColor="text1"/>
                <w:kern w:val="0"/>
                <w:sz w:val="24"/>
                <w14:textFill>
                  <w14:solidFill>
                    <w14:schemeClr w14:val="tx1"/>
                  </w14:solidFill>
                </w14:textFill>
              </w:rPr>
              <w:t>涂料</w:t>
            </w:r>
            <w:r>
              <w:rPr>
                <w:color w:val="000000" w:themeColor="text1"/>
                <w:kern w:val="0"/>
                <w:sz w:val="24"/>
                <w14:textFill>
                  <w14:solidFill>
                    <w14:schemeClr w14:val="tx1"/>
                  </w14:solidFill>
                </w14:textFill>
              </w:rPr>
              <w:t>均是密闭</w:t>
            </w:r>
            <w:r>
              <w:rPr>
                <w:rFonts w:hint="eastAsia"/>
                <w:color w:val="000000" w:themeColor="text1"/>
                <w:kern w:val="0"/>
                <w:sz w:val="24"/>
                <w14:textFill>
                  <w14:solidFill>
                    <w14:schemeClr w14:val="tx1"/>
                  </w14:solidFill>
                </w14:textFill>
              </w:rPr>
              <w:t>桶</w:t>
            </w:r>
            <w:r>
              <w:rPr>
                <w:color w:val="000000" w:themeColor="text1"/>
                <w:kern w:val="0"/>
                <w:sz w:val="24"/>
                <w14:textFill>
                  <w14:solidFill>
                    <w14:schemeClr w14:val="tx1"/>
                  </w14:solidFill>
                </w14:textFill>
              </w:rPr>
              <w:t>装，存放于室内仓库中。符合政策要求</w:t>
            </w:r>
            <w:r>
              <w:rPr>
                <w:rFonts w:hint="eastAsia"/>
                <w:color w:val="000000" w:themeColor="text1"/>
                <w:sz w:val="24"/>
                <w14:textFill>
                  <w14:solidFill>
                    <w14:schemeClr w14:val="tx1"/>
                  </w14:solidFill>
                </w14:textFill>
              </w:rPr>
              <w:t>。</w:t>
            </w: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11</w:t>
            </w:r>
            <w:r>
              <w:rPr>
                <w:b/>
                <w:bCs/>
                <w:color w:val="000000" w:themeColor="text1"/>
                <w:sz w:val="24"/>
                <w14:textFill>
                  <w14:solidFill>
                    <w14:schemeClr w14:val="tx1"/>
                  </w14:solidFill>
                </w14:textFill>
              </w:rPr>
              <w:t>、与《挥发性有机物无组织排放控制标准》（GB 37822-2019）相符性分析</w:t>
            </w:r>
          </w:p>
          <w:p>
            <w:pPr>
              <w:autoSpaceDE w:val="0"/>
              <w:autoSpaceDN w:val="0"/>
              <w:adjustRightInd w:val="0"/>
              <w:snapToGrid w:val="0"/>
              <w:spacing w:line="360" w:lineRule="auto"/>
              <w:ind w:firstLine="482" w:firstLineChars="200"/>
              <w:rPr>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该文要求</w:t>
            </w:r>
            <w:r>
              <w:rPr>
                <w:b/>
                <w:bCs/>
                <w:color w:val="000000" w:themeColor="text1"/>
                <w:kern w:val="0"/>
                <w:sz w:val="24"/>
                <w14:textFill>
                  <w14:solidFill>
                    <w14:schemeClr w14:val="tx1"/>
                  </w14:solidFill>
                </w14:textFill>
              </w:rPr>
              <w:t>含VOCs产品的使用过程</w:t>
            </w:r>
            <w:r>
              <w:rPr>
                <w:rFonts w:hint="eastAsia"/>
                <w:b/>
                <w:bCs/>
                <w:color w:val="000000" w:themeColor="text1"/>
                <w:kern w:val="0"/>
                <w:sz w:val="24"/>
                <w14:textFill>
                  <w14:solidFill>
                    <w14:schemeClr w14:val="tx1"/>
                  </w14:solidFill>
                </w14:textFill>
              </w:rPr>
              <w:t>中</w:t>
            </w:r>
            <w:r>
              <w:rPr>
                <w:rFonts w:hint="eastAsia"/>
                <w:color w:val="000000" w:themeColor="text1"/>
                <w:kern w:val="0"/>
                <w:sz w:val="24"/>
                <w14:textFill>
                  <w14:solidFill>
                    <w14:schemeClr w14:val="tx1"/>
                  </w14:solidFill>
                </w14:textFill>
              </w:rPr>
              <w:t>：</w:t>
            </w:r>
          </w:p>
          <w:p>
            <w:pPr>
              <w:numPr>
                <w:ilvl w:val="0"/>
                <w:numId w:val="2"/>
              </w:num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VOCs质量占比大于等于10%的含VOCs产品，其使用过程应采用密闭设备或在密闭空间内操作，废气应排至VOCs废气收集处理系统：无法密闭的，应采取局部气体收集措施，废气应排至VOCs废气收集处理系统。</w:t>
            </w:r>
          </w:p>
          <w:p>
            <w:pPr>
              <w:numPr>
                <w:ilvl w:val="0"/>
                <w:numId w:val="2"/>
              </w:num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有机聚合物产品用于制品生产的过程，在混合混炼、塑炼塑化/熔化、加工成型（挤出、注射压制、压延、发泡、纺丝等）等作业中应采用密闭设备或在密闭空间内操作，废气应排至VOCs废气收集处理系统；无法密闭的，应采取局部气体收集措施，废气应排至VOCs废气收集处理系统。</w:t>
            </w:r>
          </w:p>
          <w:p>
            <w:pPr>
              <w:numPr>
                <w:ilvl w:val="0"/>
                <w:numId w:val="2"/>
              </w:num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企业应建立台账，记录含VOCs原辅材料和含VOCs产品的名称、使用量、回收量、废弃量、去向以及VOCs含量等信息。台账保存期限不少于3年。</w:t>
            </w:r>
          </w:p>
          <w:p>
            <w:pPr>
              <w:autoSpaceDE w:val="0"/>
              <w:autoSpaceDN w:val="0"/>
              <w:adjustRightInd w:val="0"/>
              <w:snapToGrid w:val="0"/>
              <w:spacing w:line="360" w:lineRule="auto"/>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VOCs无组织排放废气收集处理系统要求</w:t>
            </w:r>
            <w:r>
              <w:rPr>
                <w:b/>
                <w:bCs/>
                <w:color w:val="000000" w:themeColor="text1"/>
                <w:kern w:val="0"/>
                <w:sz w:val="24"/>
                <w14:textFill>
                  <w14:solidFill>
                    <w14:schemeClr w14:val="tx1"/>
                  </w14:solidFill>
                </w14:textFill>
              </w:rPr>
              <w:t>：</w:t>
            </w:r>
          </w:p>
          <w:p>
            <w:pPr>
              <w:numPr>
                <w:ilvl w:val="0"/>
                <w:numId w:val="3"/>
              </w:num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VOCs废气收集处理系统应与生产工艺设备同步运行。VOCs废气收集处理系统发生故障或检修时，对应的生产工艺设备应停止运行，待检修完毕后同步投入使用：生产工艺设备不能停止运行或不能及时停止运行的，应设置废气应急处理设施或采取其他替代措施。</w:t>
            </w:r>
          </w:p>
          <w:p>
            <w:pPr>
              <w:numPr>
                <w:ilvl w:val="0"/>
                <w:numId w:val="3"/>
              </w:num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废气收集系统要求：企业应考虑生产工艺、操作方式、废气性质、处理方法等因素，对VOCs废气进行分类收集。废气收集系统排风罩（集气罩）的设置应符合GBT16758的规定。采用外部风罩的，应按GBT16758、AQT42742016规定的方法测量控制风速，测量点应选取在距排风罩开口面最远处的VOCs无组织排放位置，控制风速不应低于0.3m/s（行业相关规范有具体规定的，按相关规定执行）。废气收集系统的输送管道应密闭。</w:t>
            </w:r>
          </w:p>
          <w:p>
            <w:pPr>
              <w:autoSpaceDE w:val="0"/>
              <w:autoSpaceDN w:val="0"/>
              <w:adjustRightInd w:val="0"/>
              <w:snapToGrid w:val="0"/>
              <w:spacing w:line="360" w:lineRule="auto"/>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记录要求</w:t>
            </w:r>
            <w:r>
              <w:rPr>
                <w:b/>
                <w:bCs/>
                <w:color w:val="000000" w:themeColor="text1"/>
                <w:kern w:val="0"/>
                <w:sz w:val="24"/>
                <w14:textFill>
                  <w14:solidFill>
                    <w14:schemeClr w14:val="tx1"/>
                  </w14:solidFill>
                </w14:textFill>
              </w:rPr>
              <w:t>：</w:t>
            </w:r>
          </w:p>
          <w:p>
            <w:pPr>
              <w:autoSpaceDE w:val="0"/>
              <w:autoSpaceDN w:val="0"/>
              <w:adjustRightInd w:val="0"/>
              <w:snapToGrid w:val="0"/>
              <w:spacing w:line="360" w:lineRule="auto"/>
              <w:ind w:firstLine="480" w:firstLineChars="200"/>
              <w:rPr>
                <w:color w:val="000000" w:themeColor="text1"/>
                <w14:textFill>
                  <w14:solidFill>
                    <w14:schemeClr w14:val="tx1"/>
                  </w14:solidFill>
                </w14:textFill>
              </w:rPr>
            </w:pPr>
            <w:r>
              <w:rPr>
                <w:rFonts w:hint="eastAsia"/>
                <w:color w:val="000000" w:themeColor="text1"/>
                <w:kern w:val="0"/>
                <w:sz w:val="24"/>
                <w14:textFill>
                  <w14:solidFill>
                    <w14:schemeClr w14:val="tx1"/>
                  </w14:solidFill>
                </w14:textFill>
              </w:rPr>
              <w:t>企业应建立台账，记录废气收集系统、VOCs处理设施的主要运行和维护信息，如运行时间、废气处理量、操作温度、停留时间、吸附剂再生/更换周期和更换量、催化剂更换周期和更换量、吸收液pH值等关键运行参数。台账保存期限不少于3年。</w:t>
            </w:r>
          </w:p>
          <w:p>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本项目针对生产过程产生的有机废气拟采用“</w:t>
            </w:r>
            <w:r>
              <w:rPr>
                <w:rFonts w:hint="eastAsia"/>
                <w:color w:val="000000" w:themeColor="text1"/>
                <w:kern w:val="0"/>
                <w:sz w:val="24"/>
                <w14:textFill>
                  <w14:solidFill>
                    <w14:schemeClr w14:val="tx1"/>
                  </w14:solidFill>
                </w14:textFill>
              </w:rPr>
              <w:t>水喷淋+过滤除雾器+二级活性炭吸附</w:t>
            </w:r>
            <w:r>
              <w:rPr>
                <w:color w:val="000000" w:themeColor="text1"/>
                <w:kern w:val="0"/>
                <w:sz w:val="24"/>
                <w14:textFill>
                  <w14:solidFill>
                    <w14:schemeClr w14:val="tx1"/>
                  </w14:solidFill>
                </w14:textFill>
              </w:rPr>
              <w:t>”废气处理设施处理，处理后高空排放；企业投产后按照（GB37822-2019）要求建立涉VOCs的台账，做好含有VOCs等危险废物的转移工作及台账记录符合（GB37822-2019）要求</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企业应严格按照环保要求，VOCs废气收集处理系统与生产工艺设备同步运行，</w:t>
            </w:r>
            <w:r>
              <w:rPr>
                <w:rFonts w:hint="eastAsia"/>
                <w:color w:val="000000" w:themeColor="text1"/>
                <w:kern w:val="0"/>
                <w:sz w:val="24"/>
                <w14:textFill>
                  <w14:solidFill>
                    <w14:schemeClr w14:val="tx1"/>
                  </w14:solidFill>
                </w14:textFill>
              </w:rPr>
              <w:t>项目废气收集系统的输送管道为密闭管道</w:t>
            </w:r>
            <w:r>
              <w:rPr>
                <w:color w:val="000000" w:themeColor="text1"/>
                <w:kern w:val="0"/>
                <w:sz w:val="24"/>
                <w14:textFill>
                  <w14:solidFill>
                    <w14:schemeClr w14:val="tx1"/>
                  </w14:solidFill>
                </w14:textFill>
              </w:rPr>
              <w:t>，收集的VOCs采用“</w:t>
            </w:r>
            <w:r>
              <w:rPr>
                <w:rFonts w:hint="eastAsia"/>
                <w:color w:val="000000" w:themeColor="text1"/>
                <w:kern w:val="0"/>
                <w:sz w:val="24"/>
                <w14:textFill>
                  <w14:solidFill>
                    <w14:schemeClr w14:val="tx1"/>
                  </w14:solidFill>
                </w14:textFill>
              </w:rPr>
              <w:t>水喷淋+过滤除雾器+二级活性炭吸附</w:t>
            </w:r>
            <w:r>
              <w:rPr>
                <w:color w:val="000000" w:themeColor="text1"/>
                <w:kern w:val="0"/>
                <w:sz w:val="24"/>
                <w14:textFill>
                  <w14:solidFill>
                    <w14:schemeClr w14:val="tx1"/>
                  </w14:solidFill>
                </w14:textFill>
              </w:rPr>
              <w:t>”处理后高空排放。</w:t>
            </w:r>
            <w:r>
              <w:rPr>
                <w:rFonts w:hint="eastAsia"/>
                <w:color w:val="000000" w:themeColor="text1"/>
                <w:kern w:val="0"/>
                <w:sz w:val="24"/>
                <w14:textFill>
                  <w14:solidFill>
                    <w14:schemeClr w14:val="tx1"/>
                  </w14:solidFill>
                </w14:textFill>
              </w:rPr>
              <w:t>本项目符合《挥发性有机物无组织排放控制标准》（GB 37822-2019）的</w:t>
            </w:r>
            <w:r>
              <w:rPr>
                <w:rFonts w:hint="eastAsia"/>
                <w:color w:val="000000" w:themeColor="text1"/>
                <w:sz w:val="24"/>
                <w14:textFill>
                  <w14:solidFill>
                    <w14:schemeClr w14:val="tx1"/>
                  </w14:solidFill>
                </w14:textFill>
              </w:rPr>
              <w:t>相关要求。</w:t>
            </w:r>
          </w:p>
          <w:p>
            <w:pPr>
              <w:autoSpaceDE w:val="0"/>
              <w:autoSpaceDN w:val="0"/>
              <w:adjustRightInd w:val="0"/>
              <w:snapToGrid w:val="0"/>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12、与《挥发性有机物（VOCs）污染防治技术政策》（公告 2013年 第31号）相符性</w:t>
            </w:r>
            <w:r>
              <w:rPr>
                <w:b/>
                <w:color w:val="000000" w:themeColor="text1"/>
                <w:sz w:val="24"/>
                <w14:textFill>
                  <w14:solidFill>
                    <w14:schemeClr w14:val="tx1"/>
                  </w14:solidFill>
                </w14:textFill>
              </w:rPr>
              <w:t>分析</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挥发性有机物（VOCs）污染防治技术政策</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中</w:t>
            </w:r>
            <w:r>
              <w:rPr>
                <w:color w:val="000000" w:themeColor="text1"/>
                <w:sz w:val="24"/>
                <w14:textFill>
                  <w14:solidFill>
                    <w14:schemeClr w14:val="tx1"/>
                  </w14:solidFill>
                </w14:textFill>
              </w:rPr>
              <w:t>提出的：</w:t>
            </w:r>
            <w:r>
              <w:rPr>
                <w:rFonts w:hint="eastAsia"/>
                <w:color w:val="000000" w:themeColor="text1"/>
                <w:sz w:val="24"/>
                <w14:textFill>
                  <w14:solidFill>
                    <w14:schemeClr w14:val="tx1"/>
                  </w14:solidFill>
                </w14:textFill>
              </w:rPr>
              <w:t>（十）在涂装、印刷、粘合、工业清洗等含VOCs产品的使用过程中的VOCs污染防治技术措施包括：鼓励使用通过环境标志产品认证的环保型涂料、油墨、胶粘剂和清洗剂；鼓励在人造板、制鞋、皮革制品、包装材料等粘合过程中使用水基型、热熔型等环保型胶粘剂，在复合膜的生产中推广无溶剂复合及共挤出复合技术；含VOCs产品的使用过程中，应采取废气收集措施，提高废气收集效率，减少废气的无组织排放与逸散，并对收集后的废气进行回收或处理后达标排放。</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本项目属于木质品制造</w:t>
            </w:r>
            <w:r>
              <w:rPr>
                <w:color w:val="000000" w:themeColor="text1"/>
                <w:sz w:val="24"/>
                <w14:textFill>
                  <w14:solidFill>
                    <w14:schemeClr w14:val="tx1"/>
                  </w14:solidFill>
                </w14:textFill>
              </w:rPr>
              <w:t>，</w:t>
            </w:r>
            <w:r>
              <w:rPr>
                <w:bCs/>
                <w:color w:val="000000" w:themeColor="text1"/>
                <w:sz w:val="24"/>
                <w14:textFill>
                  <w14:solidFill>
                    <w14:schemeClr w14:val="tx1"/>
                  </w14:solidFill>
                </w14:textFill>
              </w:rPr>
              <w:t>生产过程中</w:t>
            </w:r>
            <w:r>
              <w:rPr>
                <w:rFonts w:hint="eastAsia"/>
                <w:bCs/>
                <w:color w:val="000000" w:themeColor="text1"/>
                <w:sz w:val="24"/>
                <w14:textFill>
                  <w14:solidFill>
                    <w14:schemeClr w14:val="tx1"/>
                  </w14:solidFill>
                </w14:textFill>
              </w:rPr>
              <w:t>使用的水性涂料，</w:t>
            </w:r>
            <w:r>
              <w:rPr>
                <w:color w:val="000000" w:themeColor="text1"/>
                <w:sz w:val="24"/>
                <w14:textFill>
                  <w14:solidFill>
                    <w14:schemeClr w14:val="tx1"/>
                  </w14:solidFill>
                </w14:textFill>
              </w:rPr>
              <w:t>VOCs含量较低</w:t>
            </w:r>
            <w:r>
              <w:rPr>
                <w:rFonts w:hint="eastAsia"/>
                <w:bCs/>
                <w:color w:val="000000" w:themeColor="text1"/>
                <w:sz w:val="24"/>
                <w14:textFill>
                  <w14:solidFill>
                    <w14:schemeClr w14:val="tx1"/>
                  </w14:solidFill>
                </w14:textFill>
              </w:rPr>
              <w:t>，符合</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低挥发性有机化合物含量涂料产品技术要求</w:t>
            </w:r>
            <w:r>
              <w:rPr>
                <w:color w:val="000000" w:themeColor="text1"/>
                <w:sz w:val="24"/>
                <w14:textFill>
                  <w14:solidFill>
                    <w14:schemeClr w14:val="tx1"/>
                  </w14:solidFill>
                </w14:textFill>
              </w:rPr>
              <w:t>》（GB</w:t>
            </w:r>
            <w:r>
              <w:rPr>
                <w:rFonts w:hint="eastAsia"/>
                <w:color w:val="000000" w:themeColor="text1"/>
                <w:sz w:val="24"/>
                <w14:textFill>
                  <w14:solidFill>
                    <w14:schemeClr w14:val="tx1"/>
                  </w14:solidFill>
                </w14:textFill>
              </w:rPr>
              <w:t>/T38597</w:t>
            </w:r>
            <w:r>
              <w:rPr>
                <w:color w:val="000000" w:themeColor="text1"/>
                <w:sz w:val="24"/>
                <w14:textFill>
                  <w14:solidFill>
                    <w14:schemeClr w14:val="tx1"/>
                  </w14:solidFill>
                </w14:textFill>
              </w:rPr>
              <w:t>-2020）</w:t>
            </w:r>
            <w:r>
              <w:rPr>
                <w:rFonts w:hint="eastAsia"/>
                <w:color w:val="000000" w:themeColor="text1"/>
                <w:sz w:val="24"/>
                <w14:textFill>
                  <w14:solidFill>
                    <w14:schemeClr w14:val="tx1"/>
                  </w14:solidFill>
                </w14:textFill>
              </w:rPr>
              <w:t>中表1玩具涂料</w:t>
            </w:r>
            <w:r>
              <w:rPr>
                <w:color w:val="000000" w:themeColor="text1"/>
                <w:sz w:val="24"/>
                <w14:textFill>
                  <w14:solidFill>
                    <w14:schemeClr w14:val="tx1"/>
                  </w14:solidFill>
                </w14:textFill>
              </w:rPr>
              <w:t>VOCs含量</w:t>
            </w:r>
            <w:r>
              <w:rPr>
                <w:rFonts w:hint="eastAsia"/>
                <w:color w:val="000000" w:themeColor="text1"/>
                <w:sz w:val="24"/>
                <w14:textFill>
                  <w14:solidFill>
                    <w14:schemeClr w14:val="tx1"/>
                  </w14:solidFill>
                </w14:textFill>
              </w:rPr>
              <w:t>限值要求</w:t>
            </w:r>
            <w:r>
              <w:rPr>
                <w:color w:val="000000" w:themeColor="text1"/>
                <w:sz w:val="24"/>
                <w14:textFill>
                  <w14:solidFill>
                    <w14:schemeClr w14:val="tx1"/>
                  </w14:solidFill>
                </w14:textFill>
              </w:rPr>
              <w:t>，本项目</w:t>
            </w:r>
            <w:r>
              <w:rPr>
                <w:rFonts w:hint="eastAsia"/>
                <w:bCs/>
                <w:color w:val="000000" w:themeColor="text1"/>
                <w:sz w:val="24"/>
                <w14:textFill>
                  <w14:solidFill>
                    <w14:schemeClr w14:val="tx1"/>
                  </w14:solidFill>
                </w14:textFill>
              </w:rPr>
              <w:t>水性涂料</w:t>
            </w:r>
            <w:r>
              <w:rPr>
                <w:bCs/>
                <w:color w:val="000000" w:themeColor="text1"/>
                <w:sz w:val="24"/>
                <w14:textFill>
                  <w14:solidFill>
                    <w14:schemeClr w14:val="tx1"/>
                  </w14:solidFill>
                </w14:textFill>
              </w:rPr>
              <w:t>不属于高VOCs</w:t>
            </w:r>
            <w:r>
              <w:rPr>
                <w:rFonts w:hint="eastAsia"/>
                <w:bCs/>
                <w:color w:val="000000" w:themeColor="text1"/>
                <w:sz w:val="24"/>
                <w14:textFill>
                  <w14:solidFill>
                    <w14:schemeClr w14:val="tx1"/>
                  </w14:solidFill>
                </w14:textFill>
              </w:rPr>
              <w:t>含量</w:t>
            </w:r>
            <w:r>
              <w:rPr>
                <w:bCs/>
                <w:color w:val="000000" w:themeColor="text1"/>
                <w:sz w:val="24"/>
                <w14:textFill>
                  <w14:solidFill>
                    <w14:schemeClr w14:val="tx1"/>
                  </w14:solidFill>
                </w14:textFill>
              </w:rPr>
              <w:t>的</w:t>
            </w:r>
            <w:r>
              <w:rPr>
                <w:rFonts w:hint="eastAsia"/>
                <w:bCs/>
                <w:color w:val="000000" w:themeColor="text1"/>
                <w:sz w:val="24"/>
                <w14:textFill>
                  <w14:solidFill>
                    <w14:schemeClr w14:val="tx1"/>
                  </w14:solidFill>
                </w14:textFill>
              </w:rPr>
              <w:t>涂料。</w:t>
            </w:r>
            <w:r>
              <w:rPr>
                <w:rFonts w:hint="eastAsia"/>
                <w:color w:val="000000" w:themeColor="text1"/>
                <w:sz w:val="24"/>
                <w14:textFill>
                  <w14:solidFill>
                    <w14:schemeClr w14:val="tx1"/>
                  </w14:solidFill>
                </w14:textFill>
              </w:rPr>
              <w:t>生产过程中</w:t>
            </w:r>
            <w:r>
              <w:rPr>
                <w:color w:val="000000" w:themeColor="text1"/>
                <w:sz w:val="24"/>
                <w14:textFill>
                  <w14:solidFill>
                    <w14:schemeClr w14:val="tx1"/>
                  </w14:solidFill>
                </w14:textFill>
              </w:rPr>
              <w:t>产生的VOCs经收集后</w:t>
            </w:r>
            <w:r>
              <w:rPr>
                <w:rFonts w:hint="eastAsia"/>
                <w:color w:val="000000" w:themeColor="text1"/>
                <w:sz w:val="24"/>
                <w14:textFill>
                  <w14:solidFill>
                    <w14:schemeClr w14:val="tx1"/>
                  </w14:solidFill>
                </w14:textFill>
              </w:rPr>
              <w:t>送至“</w:t>
            </w:r>
            <w:r>
              <w:rPr>
                <w:rFonts w:hint="eastAsia"/>
                <w:color w:val="000000" w:themeColor="text1"/>
                <w:kern w:val="0"/>
                <w:sz w:val="24"/>
                <w14:textFill>
                  <w14:solidFill>
                    <w14:schemeClr w14:val="tx1"/>
                  </w14:solidFill>
                </w14:textFill>
              </w:rPr>
              <w:t>水喷淋+过滤除雾器+</w:t>
            </w:r>
            <w:r>
              <w:rPr>
                <w:color w:val="000000" w:themeColor="text1"/>
                <w:sz w:val="24"/>
                <w14:textFill>
                  <w14:solidFill>
                    <w14:schemeClr w14:val="tx1"/>
                  </w14:solidFill>
                </w14:textFill>
              </w:rPr>
              <w:t>二级活性炭吸附</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装置进行处理后达标排放，因此</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本项目符合《</w:t>
            </w:r>
            <w:r>
              <w:rPr>
                <w:rFonts w:hint="eastAsia"/>
                <w:color w:val="000000" w:themeColor="text1"/>
                <w:sz w:val="24"/>
                <w14:textFill>
                  <w14:solidFill>
                    <w14:schemeClr w14:val="tx1"/>
                  </w14:solidFill>
                </w14:textFill>
              </w:rPr>
              <w:t>挥发性有机物（VOCs）污染防治技术政策</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相关要求</w:t>
            </w:r>
            <w:r>
              <w:rPr>
                <w:color w:val="000000" w:themeColor="text1"/>
                <w:sz w:val="24"/>
                <w14:textFill>
                  <w14:solidFill>
                    <w14:schemeClr w14:val="tx1"/>
                  </w14:solidFill>
                </w14:textFill>
              </w:rPr>
              <w:t>。</w:t>
            </w:r>
          </w:p>
          <w:p>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13、与《关于印发广东省2021年大气、水、土壤污染防治工作方案的通知》（粤办函[2021]58号）相符性</w:t>
            </w:r>
            <w:r>
              <w:rPr>
                <w:b/>
                <w:color w:val="000000" w:themeColor="text1"/>
                <w:sz w:val="24"/>
                <w14:textFill>
                  <w14:solidFill>
                    <w14:schemeClr w14:val="tx1"/>
                  </w14:solidFill>
                </w14:textFill>
              </w:rPr>
              <w:t>分析</w:t>
            </w:r>
          </w:p>
          <w:p>
            <w:pPr>
              <w:autoSpaceDE w:val="0"/>
              <w:autoSpaceDN w:val="0"/>
              <w:adjustRightInd w:val="0"/>
              <w:snapToGrid w:val="0"/>
              <w:spacing w:line="360" w:lineRule="auto"/>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《广东省2021年大气、水、土壤污染防治工作方案》中提出：</w:t>
            </w:r>
          </w:p>
          <w:p>
            <w:pPr>
              <w:numPr>
                <w:ilvl w:val="0"/>
                <w:numId w:val="4"/>
              </w:num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大气：全面深化涉VOCs排放企业深度治理。研究将《挥发性有机物无组织排放控制标准（GB37822-2019）》无组织排放要求作为强制性标准实施。制定省涉VOCs重点行业治理指引，督促指导涉VOCs重点企业对照治理指引编制VOCs深度治理手册并开展治理，年底前各地级以上市要完成治理任务量的10%。督促企业开展含VOCs物料(包括含VOCs原辅材料、含VOCs产品、含VOCs废料以及有机聚合物材料等)储存、转移和输送、设备与管线组件泄漏、敞开液面逸散以及工艺过程等无组织排放环节排查。指导企业使用适宜高效的治理技术，涉VOCs重点行业新建、改建和扩建项目不推荐使用光氧化、光催化、低温等离子等低效治理设施，已建项目逐步淘汰光氧化、光催化、低温等离子治理设施。指导采用一次性活性炭吸附治理技术的企业，明确活性炭装载量和更换频次，记录更换时间和使用量。推行活性炭厂内脱附和专用移动车上门脱附，指导企业做好废活性炭的密封贮存和转移，引导建设活性炭集中处理中心、溶剂回收中心，推动家具、干洗、汽车配件生产等典型行业建设共性工厂。推进汽车维修业建设共享喷涂车间，实施喷涂废气处理，使用水性、高固体份涂料替代溶剂型涂料。</w:t>
            </w:r>
          </w:p>
          <w:p>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本项目生产过程中使用的水性涂料，VOCs含量较低，符合《低挥发性有机化合物含量涂料产品技术要求》（GB/T38597-2020）中表1玩具涂料VOCs含量限值要求，本项目水性涂料不属于高VOCs含量的涂料；调漆、喷漆、晾干产生的废气经“水喷淋+过滤除雾器+二级活性炭吸附”处理达标后排放。</w:t>
            </w:r>
          </w:p>
          <w:p>
            <w:pPr>
              <w:numPr>
                <w:ilvl w:val="0"/>
                <w:numId w:val="4"/>
              </w:num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水：巩固提升水环境水生态协同管理水平。落实好国家“十四五”水生态环境保护目标要求，制订省水生态环境保护“十四五”规划，推动各地级以上市印发实施水生态环境保护“十四五”规划。以“美丽河湖”创建为统领，加快推进重点流域水生态环境状况调查评估，探索在练江、石马河、潼湖、淡水河等实施一批水生态修复重点示范工程，评选公布一批省级“美丽河湖”建设优秀案例。研究制定新丰江水库水生态环境保护总体方案，加快研究适用于粤港澳大湾区的河口水生态环境标准，制订沙河、岐江河等流域水污染物排放地方标准。健全水(环境)功能区管理制度，各地级以上市要开展市级水功能区与水环境功能区整合工作，全面构建我省水生态环境空间管控体系。高标准推进入河排污口排查整治，完善入河排污口管理清单，对超标违规排污口制定“一口一策”整改方案，倒逼区域加快控源截污，实现岸上水里“一体化”整治。</w:t>
            </w:r>
          </w:p>
          <w:p>
            <w:p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本项目产生废水不外排，生产过程中仅有生活污水</w:t>
            </w:r>
            <w:r>
              <w:rPr>
                <w:rFonts w:hint="eastAsia"/>
                <w:color w:val="000000" w:themeColor="text1"/>
                <w:sz w:val="24"/>
                <w14:textFill>
                  <w14:solidFill>
                    <w14:schemeClr w14:val="tx1"/>
                  </w14:solidFill>
                </w14:textFill>
              </w:rPr>
              <w:t>排放</w:t>
            </w:r>
            <w:r>
              <w:rPr>
                <w:color w:val="000000" w:themeColor="text1"/>
                <w:sz w:val="24"/>
                <w14:textFill>
                  <w14:solidFill>
                    <w14:schemeClr w14:val="tx1"/>
                  </w14:solidFill>
                </w14:textFill>
              </w:rPr>
              <w:t>，且生活污水经预处理后可排入市政污水管网进入福田镇生活污水处理厂集中处理</w:t>
            </w:r>
            <w:r>
              <w:rPr>
                <w:rFonts w:hint="eastAsia"/>
                <w:color w:val="000000" w:themeColor="text1"/>
                <w:sz w:val="24"/>
                <w14:textFill>
                  <w14:solidFill>
                    <w14:schemeClr w14:val="tx1"/>
                  </w14:solidFill>
                </w14:textFill>
              </w:rPr>
              <w:t>；</w:t>
            </w:r>
            <w:r>
              <w:rPr>
                <w:rFonts w:hint="eastAsia"/>
                <w:color w:val="000000" w:themeColor="text1"/>
                <w:kern w:val="0"/>
                <w:sz w:val="24"/>
                <w14:textFill>
                  <w14:solidFill>
                    <w14:schemeClr w14:val="tx1"/>
                  </w14:solidFill>
                </w14:textFill>
              </w:rPr>
              <w:t>。</w:t>
            </w:r>
          </w:p>
          <w:p>
            <w:pPr>
              <w:numPr>
                <w:ilvl w:val="0"/>
                <w:numId w:val="4"/>
              </w:numPr>
              <w:autoSpaceDE w:val="0"/>
              <w:autoSpaceDN w:val="0"/>
              <w:adjustRightInd w:val="0"/>
              <w:snapToGrid w:val="0"/>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加强工业污淀风险防控。严格执行重金属污染物排放标准，持续落实相关总量控制指标。补充涉等重金属重点行业企业重点排查区域，更新污染源整治清单，督促责任主体制定并落实整治方案。加强工业废物处理处置，各地级以上市组织开展工业固体废物堆存场所的现场检查，重点检查防扬散、防流失、防漏等设施建设运行情况，发现问题要督促责任主体立即整改。</w:t>
            </w:r>
          </w:p>
          <w:p>
            <w:pPr>
              <w:spacing w:line="360" w:lineRule="auto"/>
              <w:ind w:firstLine="480" w:firstLineChars="200"/>
              <w:rPr>
                <w:color w:val="000000" w:themeColor="text1"/>
                <w14:textFill>
                  <w14:solidFill>
                    <w14:schemeClr w14:val="tx1"/>
                  </w14:solidFill>
                </w14:textFill>
              </w:rPr>
            </w:pPr>
            <w:r>
              <w:rPr>
                <w:rFonts w:hint="eastAsia"/>
                <w:color w:val="000000" w:themeColor="text1"/>
                <w:kern w:val="0"/>
                <w:sz w:val="24"/>
                <w14:textFill>
                  <w14:solidFill>
                    <w14:schemeClr w14:val="tx1"/>
                  </w14:solidFill>
                </w14:textFill>
              </w:rPr>
              <w:t>项目不涉重金属物质，厂区地面硬化，危废暂存间按“防腐、防渗、防漏”要求进行建设，产生的工业废物较少，且经分类收集后均分别交由相应的单位处理处置，不自行排放。因此，本项目符合《广东省2021年大气、水、土壤污染防治工作方案》相关要求。</w:t>
            </w:r>
          </w:p>
          <w:p>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14、与《广东省生态环境厅关于实施厂区内挥发性有机物无组织排放监控要求的通告》粤环发〔2021〕4号相符性</w:t>
            </w:r>
            <w:r>
              <w:rPr>
                <w:b/>
                <w:color w:val="000000" w:themeColor="text1"/>
                <w:sz w:val="24"/>
                <w14:textFill>
                  <w14:solidFill>
                    <w14:schemeClr w14:val="tx1"/>
                  </w14:solidFill>
                </w14:textFill>
              </w:rPr>
              <w:t>分析</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广东省生态环境厅关于实施厂区内挥发性有机物无组织排放监控要求的通告</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，全面执行《挥发性有机物无组织排放控制标准》附录A“厂区内VOCs无组织排放监控要求”。</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建设做好各项环保措施，</w:t>
            </w:r>
            <w:r>
              <w:rPr>
                <w:color w:val="000000" w:themeColor="text1"/>
                <w:sz w:val="24"/>
                <w14:textFill>
                  <w14:solidFill>
                    <w14:schemeClr w14:val="tx1"/>
                  </w14:solidFill>
                </w14:textFill>
              </w:rPr>
              <w:t>厂界内VOCs</w:t>
            </w:r>
            <w:r>
              <w:rPr>
                <w:rFonts w:hint="eastAsia"/>
                <w:color w:val="000000" w:themeColor="text1"/>
                <w:sz w:val="24"/>
                <w14:textFill>
                  <w14:solidFill>
                    <w14:schemeClr w14:val="tx1"/>
                  </w14:solidFill>
                </w14:textFill>
              </w:rPr>
              <w:t>浓度</w:t>
            </w:r>
            <w:r>
              <w:rPr>
                <w:color w:val="000000" w:themeColor="text1"/>
                <w:sz w:val="24"/>
                <w14:textFill>
                  <w14:solidFill>
                    <w14:schemeClr w14:val="tx1"/>
                  </w14:solidFill>
                </w14:textFill>
              </w:rPr>
              <w:t>可满足</w:t>
            </w:r>
            <w:r>
              <w:rPr>
                <w:rFonts w:hint="eastAsia"/>
                <w:color w:val="000000" w:themeColor="text1"/>
                <w:sz w:val="24"/>
                <w14:textFill>
                  <w14:solidFill>
                    <w14:schemeClr w14:val="tx1"/>
                  </w14:solidFill>
                </w14:textFill>
              </w:rPr>
              <w:t>《挥发性有机物无组织排放控制标准》附录A“厂区内VOCs无组织排放监控要求”。</w:t>
            </w:r>
            <w:r>
              <w:rPr>
                <w:color w:val="000000" w:themeColor="text1"/>
                <w:sz w:val="24"/>
                <w14:textFill>
                  <w14:solidFill>
                    <w14:schemeClr w14:val="tx1"/>
                  </w14:solidFill>
                </w14:textFill>
              </w:rPr>
              <w:t>因此，本项目符合《</w:t>
            </w:r>
            <w:r>
              <w:rPr>
                <w:rFonts w:hint="eastAsia"/>
                <w:color w:val="000000" w:themeColor="text1"/>
                <w:sz w:val="24"/>
                <w14:textFill>
                  <w14:solidFill>
                    <w14:schemeClr w14:val="tx1"/>
                  </w14:solidFill>
                </w14:textFill>
              </w:rPr>
              <w:t>广东省生态环境厅关于实施厂区内挥发性有机物无组织排放监控要求的通告》相关</w:t>
            </w:r>
            <w:r>
              <w:rPr>
                <w:color w:val="000000" w:themeColor="text1"/>
                <w:sz w:val="24"/>
                <w14:textFill>
                  <w14:solidFill>
                    <w14:schemeClr w14:val="tx1"/>
                  </w14:solidFill>
                </w14:textFill>
              </w:rPr>
              <w:t>要求</w:t>
            </w:r>
            <w:r>
              <w:rPr>
                <w:rFonts w:hint="eastAsia"/>
                <w:color w:val="000000" w:themeColor="text1"/>
                <w:sz w:val="24"/>
                <w14:textFill>
                  <w14:solidFill>
                    <w14:schemeClr w14:val="tx1"/>
                  </w14:solidFill>
                </w14:textFill>
              </w:rPr>
              <w:t>。</w:t>
            </w:r>
          </w:p>
          <w:p>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15、</w:t>
            </w:r>
            <w:r>
              <w:rPr>
                <w:b/>
                <w:color w:val="000000" w:themeColor="text1"/>
                <w:sz w:val="24"/>
                <w14:textFill>
                  <w14:solidFill>
                    <w14:schemeClr w14:val="tx1"/>
                  </w14:solidFill>
                </w14:textFill>
              </w:rPr>
              <w:t>与《</w:t>
            </w:r>
            <w:r>
              <w:rPr>
                <w:rFonts w:hint="eastAsia"/>
                <w:b/>
                <w:color w:val="000000" w:themeColor="text1"/>
                <w:sz w:val="24"/>
                <w14:textFill>
                  <w14:solidFill>
                    <w14:schemeClr w14:val="tx1"/>
                  </w14:solidFill>
                </w14:textFill>
              </w:rPr>
              <w:t>惠州市2021年</w:t>
            </w:r>
            <w:r>
              <w:rPr>
                <w:b/>
                <w:color w:val="000000" w:themeColor="text1"/>
                <w:sz w:val="24"/>
                <w14:textFill>
                  <w14:solidFill>
                    <w14:schemeClr w14:val="tx1"/>
                  </w14:solidFill>
                </w14:textFill>
              </w:rPr>
              <w:t>大气污染防治工作方案》</w:t>
            </w:r>
            <w:r>
              <w:rPr>
                <w:rFonts w:hint="eastAsia"/>
                <w:b/>
                <w:color w:val="000000" w:themeColor="text1"/>
                <w:sz w:val="24"/>
                <w14:textFill>
                  <w14:solidFill>
                    <w14:schemeClr w14:val="tx1"/>
                  </w14:solidFill>
                </w14:textFill>
              </w:rPr>
              <w:t>、《博罗县2021年大气污染防治工作方案》相符性</w:t>
            </w:r>
            <w:r>
              <w:rPr>
                <w:b/>
                <w:color w:val="000000" w:themeColor="text1"/>
                <w:sz w:val="24"/>
                <w14:textFill>
                  <w14:solidFill>
                    <w14:schemeClr w14:val="tx1"/>
                  </w14:solidFill>
                </w14:textFill>
              </w:rPr>
              <w:t>分析</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惠州市2021年大气污染防治工作方案</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博罗县2021年大气污染防治工作方案</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中提出：严格落实国家产品VOCs含量限值标准要求，除现阶段确无法实施替代的工序外，禁止新建生产和使用高VOCs原辅材料的项目。鼓励在生产和流通环节推广使用低VOCs含量原辅材料。落实国家、省低VOCs含量原辅材料企业相关的正面清单和政府绿色采购清单。制定低VOCs含量原辅材料替代计划，根据涉VOCs重点行业及物种排放特征，选取若干重点行业，通过明确企业数量和原辅材料替代比例，推进企业实施低VOCs原辅材料替代。</w:t>
            </w:r>
            <w:r>
              <w:rPr>
                <w:color w:val="000000" w:themeColor="text1"/>
                <w:sz w:val="24"/>
                <w14:textFill>
                  <w14:solidFill>
                    <w14:schemeClr w14:val="tx1"/>
                  </w14:solidFill>
                </w14:textFill>
              </w:rPr>
              <w:t>督促企业开展含VOCs物料（包括含VOCs原辅材料、含VOCs产品、含VOCs废料以及有机聚合物材料等）储存、转移和输送、设备与管线组件泄漏、敞开液面逸散以及工艺过程等无组织排放环节排查。</w:t>
            </w:r>
            <w:r>
              <w:rPr>
                <w:rFonts w:hint="eastAsia"/>
                <w:color w:val="000000" w:themeColor="text1"/>
                <w:sz w:val="24"/>
                <w14:textFill>
                  <w14:solidFill>
                    <w14:schemeClr w14:val="tx1"/>
                  </w14:solidFill>
                </w14:textFill>
              </w:rPr>
              <w:t>指导采用一次性活性炭吸附治理技术的企业，明确活性炭装载量和更换频次，记录更换时间和使用量。</w:t>
            </w:r>
          </w:p>
          <w:p>
            <w:pPr>
              <w:spacing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本项目</w:t>
            </w:r>
            <w:r>
              <w:rPr>
                <w:bCs/>
                <w:color w:val="000000" w:themeColor="text1"/>
                <w:sz w:val="24"/>
                <w14:textFill>
                  <w14:solidFill>
                    <w14:schemeClr w14:val="tx1"/>
                  </w14:solidFill>
                </w14:textFill>
              </w:rPr>
              <w:t>生产过程中</w:t>
            </w:r>
            <w:r>
              <w:rPr>
                <w:rFonts w:hint="eastAsia"/>
                <w:bCs/>
                <w:color w:val="000000" w:themeColor="text1"/>
                <w:sz w:val="24"/>
                <w14:textFill>
                  <w14:solidFill>
                    <w14:schemeClr w14:val="tx1"/>
                  </w14:solidFill>
                </w14:textFill>
              </w:rPr>
              <w:t>使用的水性涂料，</w:t>
            </w:r>
            <w:r>
              <w:rPr>
                <w:color w:val="000000" w:themeColor="text1"/>
                <w:sz w:val="24"/>
                <w14:textFill>
                  <w14:solidFill>
                    <w14:schemeClr w14:val="tx1"/>
                  </w14:solidFill>
                </w14:textFill>
              </w:rPr>
              <w:t>VOCs含量较低</w:t>
            </w:r>
            <w:r>
              <w:rPr>
                <w:rFonts w:hint="eastAsia"/>
                <w:bCs/>
                <w:color w:val="000000" w:themeColor="text1"/>
                <w:sz w:val="24"/>
                <w14:textFill>
                  <w14:solidFill>
                    <w14:schemeClr w14:val="tx1"/>
                  </w14:solidFill>
                </w14:textFill>
              </w:rPr>
              <w:t>，符合</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低挥发性有机化合物含量涂料产品技术要求</w:t>
            </w:r>
            <w:r>
              <w:rPr>
                <w:color w:val="000000" w:themeColor="text1"/>
                <w:sz w:val="24"/>
                <w14:textFill>
                  <w14:solidFill>
                    <w14:schemeClr w14:val="tx1"/>
                  </w14:solidFill>
                </w14:textFill>
              </w:rPr>
              <w:t>》（GB</w:t>
            </w:r>
            <w:r>
              <w:rPr>
                <w:rFonts w:hint="eastAsia"/>
                <w:color w:val="000000" w:themeColor="text1"/>
                <w:sz w:val="24"/>
                <w14:textFill>
                  <w14:solidFill>
                    <w14:schemeClr w14:val="tx1"/>
                  </w14:solidFill>
                </w14:textFill>
              </w:rPr>
              <w:t>/T38597</w:t>
            </w:r>
            <w:r>
              <w:rPr>
                <w:color w:val="000000" w:themeColor="text1"/>
                <w:sz w:val="24"/>
                <w14:textFill>
                  <w14:solidFill>
                    <w14:schemeClr w14:val="tx1"/>
                  </w14:solidFill>
                </w14:textFill>
              </w:rPr>
              <w:t>-2020）</w:t>
            </w:r>
            <w:r>
              <w:rPr>
                <w:rFonts w:hint="eastAsia"/>
                <w:color w:val="000000" w:themeColor="text1"/>
                <w:sz w:val="24"/>
                <w14:textFill>
                  <w14:solidFill>
                    <w14:schemeClr w14:val="tx1"/>
                  </w14:solidFill>
                </w14:textFill>
              </w:rPr>
              <w:t>中表1玩具涂料</w:t>
            </w:r>
            <w:r>
              <w:rPr>
                <w:color w:val="000000" w:themeColor="text1"/>
                <w:sz w:val="24"/>
                <w14:textFill>
                  <w14:solidFill>
                    <w14:schemeClr w14:val="tx1"/>
                  </w14:solidFill>
                </w14:textFill>
              </w:rPr>
              <w:t>VOCs含量</w:t>
            </w:r>
            <w:r>
              <w:rPr>
                <w:rFonts w:hint="eastAsia"/>
                <w:color w:val="000000" w:themeColor="text1"/>
                <w:sz w:val="24"/>
                <w14:textFill>
                  <w14:solidFill>
                    <w14:schemeClr w14:val="tx1"/>
                  </w14:solidFill>
                </w14:textFill>
              </w:rPr>
              <w:t>限值要求</w:t>
            </w:r>
            <w:r>
              <w:rPr>
                <w:color w:val="000000" w:themeColor="text1"/>
                <w:sz w:val="24"/>
                <w14:textFill>
                  <w14:solidFill>
                    <w14:schemeClr w14:val="tx1"/>
                  </w14:solidFill>
                </w14:textFill>
              </w:rPr>
              <w:t>，本项目</w:t>
            </w:r>
            <w:r>
              <w:rPr>
                <w:rFonts w:hint="eastAsia"/>
                <w:bCs/>
                <w:color w:val="000000" w:themeColor="text1"/>
                <w:sz w:val="24"/>
                <w14:textFill>
                  <w14:solidFill>
                    <w14:schemeClr w14:val="tx1"/>
                  </w14:solidFill>
                </w14:textFill>
              </w:rPr>
              <w:t>水性涂料</w:t>
            </w:r>
            <w:r>
              <w:rPr>
                <w:bCs/>
                <w:color w:val="000000" w:themeColor="text1"/>
                <w:sz w:val="24"/>
                <w14:textFill>
                  <w14:solidFill>
                    <w14:schemeClr w14:val="tx1"/>
                  </w14:solidFill>
                </w14:textFill>
              </w:rPr>
              <w:t>不属于高VOCs</w:t>
            </w:r>
            <w:r>
              <w:rPr>
                <w:rFonts w:hint="eastAsia"/>
                <w:bCs/>
                <w:color w:val="000000" w:themeColor="text1"/>
                <w:sz w:val="24"/>
                <w14:textFill>
                  <w14:solidFill>
                    <w14:schemeClr w14:val="tx1"/>
                  </w14:solidFill>
                </w14:textFill>
              </w:rPr>
              <w:t>含量</w:t>
            </w:r>
            <w:r>
              <w:rPr>
                <w:bCs/>
                <w:color w:val="000000" w:themeColor="text1"/>
                <w:sz w:val="24"/>
                <w14:textFill>
                  <w14:solidFill>
                    <w14:schemeClr w14:val="tx1"/>
                  </w14:solidFill>
                </w14:textFill>
              </w:rPr>
              <w:t>的</w:t>
            </w:r>
            <w:r>
              <w:rPr>
                <w:rFonts w:hint="eastAsia"/>
                <w:bCs/>
                <w:color w:val="000000" w:themeColor="text1"/>
                <w:sz w:val="24"/>
                <w14:textFill>
                  <w14:solidFill>
                    <w14:schemeClr w14:val="tx1"/>
                  </w14:solidFill>
                </w14:textFill>
              </w:rPr>
              <w:t>涂料</w:t>
            </w:r>
            <w:r>
              <w:rPr>
                <w:rFonts w:hint="eastAsia"/>
                <w:color w:val="000000" w:themeColor="text1"/>
                <w:sz w:val="24"/>
                <w14:textFill>
                  <w14:solidFill>
                    <w14:schemeClr w14:val="tx1"/>
                  </w14:solidFill>
                </w14:textFill>
              </w:rPr>
              <w:t>；水性涂料为桶</w:t>
            </w:r>
            <w:r>
              <w:rPr>
                <w:color w:val="000000" w:themeColor="text1"/>
                <w:sz w:val="24"/>
                <w14:textFill>
                  <w14:solidFill>
                    <w14:schemeClr w14:val="tx1"/>
                  </w14:solidFill>
                </w14:textFill>
              </w:rPr>
              <w:t>装，</w:t>
            </w:r>
            <w:r>
              <w:rPr>
                <w:rFonts w:hint="eastAsia"/>
                <w:color w:val="000000" w:themeColor="text1"/>
                <w:sz w:val="24"/>
                <w14:textFill>
                  <w14:solidFill>
                    <w14:schemeClr w14:val="tx1"/>
                  </w14:solidFill>
                </w14:textFill>
              </w:rPr>
              <w:t>非取用时保持密封</w:t>
            </w:r>
            <w:r>
              <w:rPr>
                <w:color w:val="000000" w:themeColor="text1"/>
                <w:sz w:val="24"/>
                <w14:textFill>
                  <w14:solidFill>
                    <w14:schemeClr w14:val="tx1"/>
                  </w14:solidFill>
                </w14:textFill>
              </w:rPr>
              <w:t>状态</w:t>
            </w:r>
            <w:r>
              <w:rPr>
                <w:rFonts w:hint="eastAsia"/>
                <w:color w:val="000000" w:themeColor="text1"/>
                <w:sz w:val="24"/>
                <w14:textFill>
                  <w14:solidFill>
                    <w14:schemeClr w14:val="tx1"/>
                  </w14:solidFill>
                </w14:textFill>
              </w:rPr>
              <w:t>，生产过程中</w:t>
            </w:r>
            <w:r>
              <w:rPr>
                <w:color w:val="000000" w:themeColor="text1"/>
                <w:sz w:val="24"/>
                <w14:textFill>
                  <w14:solidFill>
                    <w14:schemeClr w14:val="tx1"/>
                  </w14:solidFill>
                </w14:textFill>
              </w:rPr>
              <w:t>产生的VOCs经收集后</w:t>
            </w:r>
            <w:r>
              <w:rPr>
                <w:rFonts w:hint="eastAsia"/>
                <w:color w:val="000000" w:themeColor="text1"/>
                <w:sz w:val="24"/>
                <w14:textFill>
                  <w14:solidFill>
                    <w14:schemeClr w14:val="tx1"/>
                  </w14:solidFill>
                </w14:textFill>
              </w:rPr>
              <w:t>送至</w:t>
            </w:r>
            <w:r>
              <w:rPr>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水喷淋+过滤除雾器+二级活性炭吸附</w:t>
            </w:r>
            <w:r>
              <w:rPr>
                <w:color w:val="000000" w:themeColor="text1"/>
                <w:kern w:val="0"/>
                <w:sz w:val="24"/>
                <w14:textFill>
                  <w14:solidFill>
                    <w14:schemeClr w14:val="tx1"/>
                  </w14:solidFill>
                </w14:textFill>
              </w:rPr>
              <w:t>”</w:t>
            </w:r>
            <w:r>
              <w:rPr>
                <w:color w:val="000000" w:themeColor="text1"/>
                <w:sz w:val="24"/>
                <w14:textFill>
                  <w14:solidFill>
                    <w14:schemeClr w14:val="tx1"/>
                  </w14:solidFill>
                </w14:textFill>
              </w:rPr>
              <w:t>装置进行处理后达标排放</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活性炭</w:t>
            </w:r>
            <w:r>
              <w:rPr>
                <w:rFonts w:hint="eastAsia"/>
                <w:color w:val="000000" w:themeColor="text1"/>
                <w:sz w:val="24"/>
                <w14:textFill>
                  <w14:solidFill>
                    <w14:schemeClr w14:val="tx1"/>
                  </w14:solidFill>
                </w14:textFill>
              </w:rPr>
              <w:t>装载量为</w:t>
            </w:r>
            <w:r>
              <w:rPr>
                <w:color w:val="000000" w:themeColor="text1"/>
                <w:sz w:val="24"/>
                <w14:textFill>
                  <w14:solidFill>
                    <w14:schemeClr w14:val="tx1"/>
                  </w14:solidFill>
                </w14:textFill>
              </w:rPr>
              <w:t>1.62t，</w:t>
            </w:r>
            <w:r>
              <w:rPr>
                <w:rFonts w:hint="eastAsia"/>
                <w:color w:val="000000" w:themeColor="text1"/>
                <w:sz w:val="24"/>
                <w14:textFill>
                  <w14:solidFill>
                    <w14:schemeClr w14:val="tx1"/>
                  </w14:solidFill>
                </w14:textFill>
              </w:rPr>
              <w:t>每</w:t>
            </w:r>
            <w:r>
              <w:rPr>
                <w:color w:val="000000" w:themeColor="text1"/>
                <w:sz w:val="24"/>
                <w14:textFill>
                  <w14:solidFill>
                    <w14:schemeClr w14:val="tx1"/>
                  </w14:solidFill>
                </w14:textFill>
              </w:rPr>
              <w:t>三个月更换一次</w:t>
            </w:r>
            <w:r>
              <w:rPr>
                <w:rFonts w:hint="eastAsia"/>
                <w:color w:val="000000" w:themeColor="text1"/>
                <w:sz w:val="24"/>
                <w14:textFill>
                  <w14:solidFill>
                    <w14:schemeClr w14:val="tx1"/>
                  </w14:solidFill>
                </w14:textFill>
              </w:rPr>
              <w:t>。因此，</w:t>
            </w:r>
            <w:r>
              <w:rPr>
                <w:color w:val="000000" w:themeColor="text1"/>
                <w:sz w:val="24"/>
                <w14:textFill>
                  <w14:solidFill>
                    <w14:schemeClr w14:val="tx1"/>
                  </w14:solidFill>
                </w14:textFill>
              </w:rPr>
              <w:t>本项目满足《</w:t>
            </w:r>
            <w:r>
              <w:rPr>
                <w:rFonts w:hint="eastAsia"/>
                <w:color w:val="000000" w:themeColor="text1"/>
                <w:sz w:val="24"/>
                <w14:textFill>
                  <w14:solidFill>
                    <w14:schemeClr w14:val="tx1"/>
                  </w14:solidFill>
                </w14:textFill>
              </w:rPr>
              <w:t>惠州市2021年大气污染防治工作方案</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及</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博罗县2021年大气污染防治工作方案</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相关</w:t>
            </w:r>
            <w:r>
              <w:rPr>
                <w:color w:val="000000" w:themeColor="text1"/>
                <w:sz w:val="24"/>
                <w14:textFill>
                  <w14:solidFill>
                    <w14:schemeClr w14:val="tx1"/>
                  </w14:solidFill>
                </w14:textFill>
              </w:rPr>
              <w:t>要求。</w:t>
            </w:r>
          </w:p>
          <w:p>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16、与《广东省涉挥发性有机物（VOCs）重点行业治理指引》（环办〔2021〕43号）相符性分析</w:t>
            </w:r>
          </w:p>
          <w:p>
            <w:pPr>
              <w:ind w:firstLine="422" w:firstLineChars="200"/>
              <w:jc w:val="center"/>
              <w:rPr>
                <w:color w:val="000000" w:themeColor="text1"/>
                <w:szCs w:val="21"/>
                <w14:textFill>
                  <w14:solidFill>
                    <w14:schemeClr w14:val="tx1"/>
                  </w14:solidFill>
                </w14:textFill>
              </w:rPr>
            </w:pPr>
            <w:r>
              <w:rPr>
                <w:b/>
                <w:color w:val="000000" w:themeColor="text1"/>
                <w:szCs w:val="21"/>
                <w14:textFill>
                  <w14:solidFill>
                    <w14:schemeClr w14:val="tx1"/>
                  </w14:solidFill>
                </w14:textFill>
              </w:rPr>
              <w:t>表1-3  与《广东省涉挥发性有机物（VOCs）重点行业治理指引》（环办〔2021〕43号）相符性分析对照</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3237"/>
              <w:gridCol w:w="453"/>
              <w:gridCol w:w="3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 w:hRule="atLeast"/>
              </w:trPr>
              <w:tc>
                <w:tcPr>
                  <w:tcW w:w="0" w:type="auto"/>
                  <w:vAlign w:val="center"/>
                </w:tcPr>
                <w:p>
                  <w:pPr>
                    <w:jc w:val="center"/>
                    <w:rPr>
                      <w:b/>
                      <w:bCs/>
                      <w:color w:val="000000" w:themeColor="text1"/>
                      <w:szCs w:val="21"/>
                      <w14:textFill>
                        <w14:solidFill>
                          <w14:schemeClr w14:val="tx1"/>
                        </w14:solidFill>
                      </w14:textFill>
                    </w:rPr>
                  </w:pPr>
                  <w:r>
                    <w:rPr>
                      <w:b/>
                      <w:bCs/>
                      <w:color w:val="000000" w:themeColor="text1"/>
                      <w:spacing w:val="-5"/>
                      <w:szCs w:val="21"/>
                      <w14:textFill>
                        <w14:solidFill>
                          <w14:schemeClr w14:val="tx1"/>
                        </w14:solidFill>
                      </w14:textFill>
                    </w:rPr>
                    <w:t>序号</w:t>
                  </w:r>
                </w:p>
              </w:tc>
              <w:tc>
                <w:tcPr>
                  <w:tcW w:w="0" w:type="auto"/>
                  <w:vAlign w:val="center"/>
                </w:tcPr>
                <w:p>
                  <w:pPr>
                    <w:jc w:val="center"/>
                    <w:rPr>
                      <w:b/>
                      <w:bCs/>
                      <w:color w:val="000000" w:themeColor="text1"/>
                      <w:szCs w:val="21"/>
                      <w14:textFill>
                        <w14:solidFill>
                          <w14:schemeClr w14:val="tx1"/>
                        </w14:solidFill>
                      </w14:textFill>
                    </w:rPr>
                  </w:pPr>
                  <w:r>
                    <w:rPr>
                      <w:b/>
                      <w:bCs/>
                      <w:color w:val="000000" w:themeColor="text1"/>
                      <w:spacing w:val="-5"/>
                      <w:szCs w:val="21"/>
                      <w14:textFill>
                        <w14:solidFill>
                          <w14:schemeClr w14:val="tx1"/>
                        </w14:solidFill>
                      </w14:textFill>
                    </w:rPr>
                    <w:t>环节</w:t>
                  </w:r>
                </w:p>
              </w:tc>
              <w:tc>
                <w:tcPr>
                  <w:tcW w:w="0" w:type="auto"/>
                  <w:vAlign w:val="center"/>
                </w:tcPr>
                <w:p>
                  <w:pPr>
                    <w:ind w:left="-105" w:leftChars="-50" w:right="-105" w:rightChars="-5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控制要求</w:t>
                  </w:r>
                </w:p>
              </w:tc>
              <w:tc>
                <w:tcPr>
                  <w:tcW w:w="0" w:type="auto"/>
                  <w:vAlign w:val="center"/>
                </w:tcPr>
                <w:p>
                  <w:pPr>
                    <w:jc w:val="center"/>
                    <w:rPr>
                      <w:b/>
                      <w:bCs/>
                      <w:color w:val="000000" w:themeColor="text1"/>
                      <w:szCs w:val="21"/>
                      <w14:textFill>
                        <w14:solidFill>
                          <w14:schemeClr w14:val="tx1"/>
                        </w14:solidFill>
                      </w14:textFill>
                    </w:rPr>
                  </w:pPr>
                  <w:r>
                    <w:rPr>
                      <w:b/>
                      <w:bCs/>
                      <w:color w:val="000000" w:themeColor="text1"/>
                      <w:spacing w:val="-3"/>
                      <w:szCs w:val="21"/>
                      <w14:textFill>
                        <w14:solidFill>
                          <w14:schemeClr w14:val="tx1"/>
                        </w14:solidFill>
                      </w14:textFill>
                    </w:rPr>
                    <w:t>符合性分析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4"/>
                  <w:vAlign w:val="center"/>
                </w:tcPr>
                <w:p>
                  <w:pPr>
                    <w:jc w:val="center"/>
                    <w:rPr>
                      <w:color w:val="000000" w:themeColor="text1"/>
                      <w:szCs w:val="21"/>
                      <w14:textFill>
                        <w14:solidFill>
                          <w14:schemeClr w14:val="tx1"/>
                        </w14:solidFill>
                      </w14:textFill>
                    </w:rPr>
                  </w:pPr>
                  <w:r>
                    <w:rPr>
                      <w:color w:val="000000" w:themeColor="text1"/>
                      <w:spacing w:val="-3"/>
                      <w:szCs w:val="21"/>
                      <w14:textFill>
                        <w14:solidFill>
                          <w14:schemeClr w14:val="tx1"/>
                        </w14:solidFill>
                      </w14:textFill>
                    </w:rPr>
                    <w:t>源头削减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trPr>
              <w:tc>
                <w:tcPr>
                  <w:tcW w:w="0" w:type="auto"/>
                  <w:vAlign w:val="center"/>
                </w:tcPr>
                <w:p>
                  <w:pPr>
                    <w:jc w:val="center"/>
                    <w:rPr>
                      <w:color w:val="000000" w:themeColor="text1"/>
                      <w:szCs w:val="21"/>
                      <w14:textFill>
                        <w14:solidFill>
                          <w14:schemeClr w14:val="tx1"/>
                        </w14:solidFill>
                      </w14:textFill>
                    </w:rPr>
                  </w:pPr>
                  <w:r>
                    <w:rPr>
                      <w:color w:val="000000" w:themeColor="text1"/>
                      <w:spacing w:val="-11"/>
                      <w:szCs w:val="21"/>
                      <w14:textFill>
                        <w14:solidFill>
                          <w14:schemeClr w14:val="tx1"/>
                        </w14:solidFill>
                      </w14:textFill>
                    </w:rPr>
                    <w:t>水性</w:t>
                  </w:r>
                  <w:r>
                    <w:rPr>
                      <w:color w:val="000000" w:themeColor="text1"/>
                      <w:szCs w:val="21"/>
                      <w14:textFill>
                        <w14:solidFill>
                          <w14:schemeClr w14:val="tx1"/>
                        </w14:solidFill>
                      </w14:textFill>
                    </w:rPr>
                    <w:t xml:space="preserve"> </w:t>
                  </w:r>
                  <w:r>
                    <w:rPr>
                      <w:color w:val="000000" w:themeColor="text1"/>
                      <w:spacing w:val="-7"/>
                      <w:szCs w:val="21"/>
                      <w14:textFill>
                        <w14:solidFill>
                          <w14:schemeClr w14:val="tx1"/>
                        </w14:solidFill>
                      </w14:textFill>
                    </w:rPr>
                    <w:t>油漆</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最严 VOCs 含量≤200g/L；</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根据企业提供的检测报告，水性</w:t>
                  </w:r>
                  <w:r>
                    <w:rPr>
                      <w:rFonts w:hint="eastAsia"/>
                      <w:color w:val="000000" w:themeColor="text1"/>
                      <w:spacing w:val="3"/>
                      <w:szCs w:val="21"/>
                      <w14:textFill>
                        <w14:solidFill>
                          <w14:schemeClr w14:val="tx1"/>
                        </w14:solidFill>
                      </w14:textFill>
                    </w:rPr>
                    <w:t>涂料</w:t>
                  </w:r>
                  <w:r>
                    <w:rPr>
                      <w:color w:val="000000" w:themeColor="text1"/>
                      <w:spacing w:val="3"/>
                      <w:szCs w:val="21"/>
                      <w14:textFill>
                        <w14:solidFill>
                          <w14:schemeClr w14:val="tx1"/>
                        </w14:solidFill>
                      </w14:textFill>
                    </w:rPr>
                    <w:t>挥发性有机物含量为</w:t>
                  </w:r>
                  <w:r>
                    <w:rPr>
                      <w:rFonts w:hint="eastAsia"/>
                      <w:color w:val="000000" w:themeColor="text1"/>
                      <w:spacing w:val="3"/>
                      <w:szCs w:val="21"/>
                      <w14:textFill>
                        <w14:solidFill>
                          <w14:schemeClr w14:val="tx1"/>
                        </w14:solidFill>
                      </w14:textFill>
                    </w:rPr>
                    <w:t>129</w:t>
                  </w:r>
                  <w:r>
                    <w:rPr>
                      <w:color w:val="000000" w:themeColor="text1"/>
                      <w:spacing w:val="3"/>
                      <w:szCs w:val="21"/>
                      <w14:textFill>
                        <w14:solidFill>
                          <w14:schemeClr w14:val="tx1"/>
                        </w14:solidFill>
                      </w14:textFill>
                    </w:rPr>
                    <w:t>g/L，符合控制要求。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4"/>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0" w:type="auto"/>
                  <w:vMerge w:val="restart"/>
                  <w:vAlign w:val="center"/>
                </w:tcPr>
                <w:p>
                  <w:pPr>
                    <w:jc w:val="center"/>
                    <w:rPr>
                      <w:color w:val="000000" w:themeColor="text1"/>
                      <w:spacing w:val="-11"/>
                      <w:szCs w:val="21"/>
                      <w14:textFill>
                        <w14:solidFill>
                          <w14:schemeClr w14:val="tx1"/>
                        </w14:solidFill>
                      </w14:textFill>
                    </w:rPr>
                  </w:pPr>
                  <w:r>
                    <w:rPr>
                      <w:color w:val="000000" w:themeColor="text1"/>
                      <w:spacing w:val="-2"/>
                      <w:szCs w:val="21"/>
                      <w14:textFill>
                        <w14:solidFill>
                          <w14:schemeClr w14:val="tx1"/>
                        </w14:solidFill>
                      </w14:textFill>
                    </w:rPr>
                    <w:t>VOCs</w:t>
                  </w:r>
                  <w:r>
                    <w:rPr>
                      <w:color w:val="000000" w:themeColor="text1"/>
                      <w:spacing w:val="1"/>
                      <w:w w:val="103"/>
                      <w:szCs w:val="21"/>
                      <w14:textFill>
                        <w14:solidFill>
                          <w14:schemeClr w14:val="tx1"/>
                        </w14:solidFill>
                      </w14:textFill>
                    </w:rPr>
                    <w:t xml:space="preserve">  </w:t>
                  </w:r>
                  <w:r>
                    <w:rPr>
                      <w:color w:val="000000" w:themeColor="text1"/>
                      <w:spacing w:val="-9"/>
                      <w:szCs w:val="21"/>
                      <w14:textFill>
                        <w14:solidFill>
                          <w14:schemeClr w14:val="tx1"/>
                        </w14:solidFill>
                      </w14:textFill>
                    </w:rPr>
                    <w:t>物料</w:t>
                  </w:r>
                  <w:r>
                    <w:rPr>
                      <w:color w:val="000000" w:themeColor="text1"/>
                      <w:szCs w:val="21"/>
                      <w14:textFill>
                        <w14:solidFill>
                          <w14:schemeClr w14:val="tx1"/>
                        </w14:solidFill>
                      </w14:textFill>
                    </w:rPr>
                    <w:t xml:space="preserve"> </w:t>
                  </w:r>
                  <w:r>
                    <w:rPr>
                      <w:color w:val="000000" w:themeColor="text1"/>
                      <w:spacing w:val="-5"/>
                      <w:szCs w:val="21"/>
                      <w14:textFill>
                        <w14:solidFill>
                          <w14:schemeClr w14:val="tx1"/>
                        </w14:solidFill>
                      </w14:textFill>
                    </w:rPr>
                    <w:t>储存</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油漆、稀释剂、清洗剂VOCs物料应储存于密闭的容器、包装袋、储罐、储库、料仓中</w:t>
                  </w:r>
                </w:p>
              </w:tc>
              <w:tc>
                <w:tcPr>
                  <w:tcW w:w="0" w:type="auto"/>
                  <w:vMerge w:val="restart"/>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本项目水性</w:t>
                  </w:r>
                  <w:r>
                    <w:rPr>
                      <w:rFonts w:hint="eastAsia"/>
                      <w:color w:val="000000" w:themeColor="text1"/>
                      <w:spacing w:val="3"/>
                      <w:szCs w:val="21"/>
                      <w14:textFill>
                        <w14:solidFill>
                          <w14:schemeClr w14:val="tx1"/>
                        </w14:solidFill>
                      </w14:textFill>
                    </w:rPr>
                    <w:t>涂料</w:t>
                  </w:r>
                  <w:r>
                    <w:rPr>
                      <w:color w:val="000000" w:themeColor="text1"/>
                      <w:spacing w:val="3"/>
                      <w:szCs w:val="21"/>
                      <w14:textFill>
                        <w14:solidFill>
                          <w14:schemeClr w14:val="tx1"/>
                        </w14:solidFill>
                      </w14:textFill>
                    </w:rPr>
                    <w:t>为</w:t>
                  </w:r>
                  <w:r>
                    <w:rPr>
                      <w:rFonts w:hint="eastAsia"/>
                      <w:color w:val="000000" w:themeColor="text1"/>
                      <w:spacing w:val="3"/>
                      <w:szCs w:val="21"/>
                      <w14:textFill>
                        <w14:solidFill>
                          <w14:schemeClr w14:val="tx1"/>
                        </w14:solidFill>
                      </w14:textFill>
                    </w:rPr>
                    <w:t>50kg</w:t>
                  </w:r>
                  <w:r>
                    <w:rPr>
                      <w:color w:val="000000" w:themeColor="text1"/>
                      <w:spacing w:val="3"/>
                      <w:szCs w:val="21"/>
                      <w14:textFill>
                        <w14:solidFill>
                          <w14:schemeClr w14:val="tx1"/>
                        </w14:solidFill>
                      </w14:textFill>
                    </w:rPr>
                    <w:t>桶装，存储期间为密闭状态物料仓库独立设置，符合控制要求。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0" w:type="auto"/>
                  <w:vMerge w:val="continue"/>
                  <w:vAlign w:val="center"/>
                </w:tcPr>
                <w:p>
                  <w:pPr>
                    <w:jc w:val="center"/>
                    <w:rPr>
                      <w:color w:val="000000" w:themeColor="text1"/>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油漆、稀释剂、清洗剂等盛装 VOCs 物料的容器存放于室内，或存放于设置有雨棚、遮阳和防渗设施的专用场地。盛装 VOCs物料的容器在非取用状态时应加盖、封口，保持密闭。</w:t>
                  </w:r>
                </w:p>
              </w:tc>
              <w:tc>
                <w:tcPr>
                  <w:tcW w:w="0" w:type="auto"/>
                  <w:vMerge w:val="continue"/>
                  <w:vAlign w:val="center"/>
                </w:tcPr>
                <w:p>
                  <w:pPr>
                    <w:jc w:val="center"/>
                    <w:rPr>
                      <w:color w:val="000000" w:themeColor="text1"/>
                      <w:spacing w:val="3"/>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水性油漆所在的物料仓库独立设置，在非取用状态时应加盖、封口，保持密闭，符合控制要求。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000000" w:themeColor="text1"/>
                      <w:spacing w:val="-2"/>
                      <w:szCs w:val="21"/>
                      <w14:textFill>
                        <w14:solidFill>
                          <w14:schemeClr w14:val="tx1"/>
                        </w14:solidFill>
                      </w14:textFill>
                    </w:rPr>
                  </w:pPr>
                  <w:r>
                    <w:rPr>
                      <w:color w:val="000000" w:themeColor="text1"/>
                      <w:spacing w:val="-2"/>
                      <w:szCs w:val="21"/>
                      <w14:textFill>
                        <w14:solidFill>
                          <w14:schemeClr w14:val="tx1"/>
                        </w14:solidFill>
                      </w14:textFill>
                    </w:rPr>
                    <w:t>VOCs</w:t>
                  </w:r>
                  <w:r>
                    <w:rPr>
                      <w:color w:val="000000" w:themeColor="text1"/>
                      <w:spacing w:val="1"/>
                      <w:w w:val="103"/>
                      <w:szCs w:val="21"/>
                      <w14:textFill>
                        <w14:solidFill>
                          <w14:schemeClr w14:val="tx1"/>
                        </w14:solidFill>
                      </w14:textFill>
                    </w:rPr>
                    <w:t xml:space="preserve">  </w:t>
                  </w:r>
                  <w:r>
                    <w:rPr>
                      <w:color w:val="000000" w:themeColor="text1"/>
                      <w:spacing w:val="-9"/>
                      <w:szCs w:val="21"/>
                      <w14:textFill>
                        <w14:solidFill>
                          <w14:schemeClr w14:val="tx1"/>
                        </w14:solidFill>
                      </w14:textFill>
                    </w:rPr>
                    <w:t>物</w:t>
                  </w:r>
                  <w:r>
                    <w:rPr>
                      <w:color w:val="000000" w:themeColor="text1"/>
                      <w:spacing w:val="91"/>
                      <w:szCs w:val="21"/>
                      <w14:textFill>
                        <w14:solidFill>
                          <w14:schemeClr w14:val="tx1"/>
                        </w14:solidFill>
                      </w14:textFill>
                    </w:rPr>
                    <w:t xml:space="preserve"> </w:t>
                  </w:r>
                  <w:r>
                    <w:rPr>
                      <w:color w:val="000000" w:themeColor="text1"/>
                      <w:spacing w:val="-9"/>
                      <w:szCs w:val="21"/>
                      <w14:textFill>
                        <w14:solidFill>
                          <w14:schemeClr w14:val="tx1"/>
                        </w14:solidFill>
                      </w14:textFill>
                    </w:rPr>
                    <w:t>料</w:t>
                  </w:r>
                  <w:r>
                    <w:rPr>
                      <w:color w:val="000000" w:themeColor="text1"/>
                      <w:szCs w:val="21"/>
                      <w14:textFill>
                        <w14:solidFill>
                          <w14:schemeClr w14:val="tx1"/>
                        </w14:solidFill>
                      </w14:textFill>
                    </w:rPr>
                    <w:t xml:space="preserve"> </w:t>
                  </w:r>
                  <w:r>
                    <w:rPr>
                      <w:color w:val="000000" w:themeColor="text1"/>
                      <w:spacing w:val="-9"/>
                      <w:szCs w:val="21"/>
                      <w14:textFill>
                        <w14:solidFill>
                          <w14:schemeClr w14:val="tx1"/>
                        </w14:solidFill>
                      </w14:textFill>
                    </w:rPr>
                    <w:t>转移</w:t>
                  </w:r>
                  <w:r>
                    <w:rPr>
                      <w:color w:val="000000" w:themeColor="text1"/>
                      <w:szCs w:val="21"/>
                      <w14:textFill>
                        <w14:solidFill>
                          <w14:schemeClr w14:val="tx1"/>
                        </w14:solidFill>
                      </w14:textFill>
                    </w:rPr>
                    <w:t xml:space="preserve"> </w:t>
                  </w:r>
                  <w:r>
                    <w:rPr>
                      <w:color w:val="000000" w:themeColor="text1"/>
                      <w:spacing w:val="-8"/>
                      <w:szCs w:val="21"/>
                      <w14:textFill>
                        <w14:solidFill>
                          <w14:schemeClr w14:val="tx1"/>
                        </w14:solidFill>
                      </w14:textFill>
                    </w:rPr>
                    <w:t>和输</w:t>
                  </w:r>
                  <w:r>
                    <w:rPr>
                      <w:color w:val="000000" w:themeColor="text1"/>
                      <w:szCs w:val="21"/>
                      <w14:textFill>
                        <w14:solidFill>
                          <w14:schemeClr w14:val="tx1"/>
                        </w14:solidFill>
                      </w14:textFill>
                    </w:rPr>
                    <w:t xml:space="preserve"> 送</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油漆、稀释剂、清洗剂等液体 VOCs 物料应采用管道密闭输送。采用非管道输送方式转移液态 VOCs 物料 时，应采用密闭容器或罐车。</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本项目水性油漆为非管道输送方式，应采用密闭容器，符合控制要求。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000000" w:themeColor="text1"/>
                      <w:spacing w:val="-2"/>
                      <w:szCs w:val="21"/>
                      <w14:textFill>
                        <w14:solidFill>
                          <w14:schemeClr w14:val="tx1"/>
                        </w14:solidFill>
                      </w14:textFill>
                    </w:rPr>
                  </w:pPr>
                  <w:r>
                    <w:rPr>
                      <w:color w:val="000000" w:themeColor="text1"/>
                      <w:spacing w:val="-11"/>
                      <w:szCs w:val="21"/>
                      <w14:textFill>
                        <w14:solidFill>
                          <w14:schemeClr w14:val="tx1"/>
                        </w14:solidFill>
                      </w14:textFill>
                    </w:rPr>
                    <w:t>涂装</w:t>
                  </w:r>
                  <w:r>
                    <w:rPr>
                      <w:color w:val="000000" w:themeColor="text1"/>
                      <w:spacing w:val="-6"/>
                      <w:szCs w:val="21"/>
                      <w14:textFill>
                        <w14:solidFill>
                          <w14:schemeClr w14:val="tx1"/>
                        </w14:solidFill>
                      </w14:textFill>
                    </w:rPr>
                    <w:t>工艺</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工程机械制造要提高室内涂装比例，鼓励采用自动喷涂、静电喷涂 等技术</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推荐</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w:t>
                  </w:r>
                  <w:r>
                    <w:rPr>
                      <w:rFonts w:hint="eastAsia"/>
                      <w:color w:val="000000" w:themeColor="text1"/>
                      <w:spacing w:val="3"/>
                      <w:szCs w:val="21"/>
                      <w14:textFill>
                        <w14:solidFill>
                          <w14:schemeClr w14:val="tx1"/>
                        </w14:solidFill>
                      </w14:textFill>
                    </w:rPr>
                    <w:t>喷涂</w:t>
                  </w:r>
                  <w:r>
                    <w:rPr>
                      <w:color w:val="000000" w:themeColor="text1"/>
                      <w:spacing w:val="3"/>
                      <w:szCs w:val="21"/>
                      <w14:textFill>
                        <w14:solidFill>
                          <w14:schemeClr w14:val="tx1"/>
                        </w14:solidFill>
                      </w14:textFill>
                    </w:rPr>
                    <w:t>在室内进行，符合控制要求。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000000" w:themeColor="text1"/>
                      <w:spacing w:val="-11"/>
                      <w:szCs w:val="21"/>
                      <w14:textFill>
                        <w14:solidFill>
                          <w14:schemeClr w14:val="tx1"/>
                        </w14:solidFill>
                      </w14:textFill>
                    </w:rPr>
                  </w:pPr>
                  <w:r>
                    <w:rPr>
                      <w:color w:val="000000" w:themeColor="text1"/>
                      <w:spacing w:val="-13"/>
                      <w:szCs w:val="21"/>
                      <w14:textFill>
                        <w14:solidFill>
                          <w14:schemeClr w14:val="tx1"/>
                        </w14:solidFill>
                      </w14:textFill>
                    </w:rPr>
                    <w:t>工艺</w:t>
                  </w:r>
                  <w:r>
                    <w:rPr>
                      <w:color w:val="000000" w:themeColor="text1"/>
                      <w:spacing w:val="-5"/>
                      <w:szCs w:val="21"/>
                      <w14:textFill>
                        <w14:solidFill>
                          <w14:schemeClr w14:val="tx1"/>
                        </w14:solidFill>
                      </w14:textFill>
                    </w:rPr>
                    <w:t>过程</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调配、电泳、电泳烘干、喷涂（低、中、面、清）、喷涂烘干、修补漆、修补漆烘干等使用VOCs质量占比</w:t>
                  </w:r>
                </w:p>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大于等于10%物料的工艺过程应采用密闭设备或在密闭空间内操作，废气应排至VOCs废气收集处理系统；无法密闭的</w:t>
                  </w:r>
                  <w:r>
                    <w:rPr>
                      <w:rFonts w:hint="eastAsia"/>
                      <w:color w:val="000000" w:themeColor="text1"/>
                      <w:spacing w:val="3"/>
                      <w:szCs w:val="21"/>
                      <w14:textFill>
                        <w14:solidFill>
                          <w14:schemeClr w14:val="tx1"/>
                        </w14:solidFill>
                      </w14:textFill>
                    </w:rPr>
                    <w:t>，</w:t>
                  </w:r>
                  <w:r>
                    <w:rPr>
                      <w:color w:val="000000" w:themeColor="text1"/>
                      <w:spacing w:val="3"/>
                      <w:szCs w:val="21"/>
                      <w14:textFill>
                        <w14:solidFill>
                          <w14:schemeClr w14:val="tx1"/>
                        </w14:solidFill>
                      </w14:textFill>
                    </w:rPr>
                    <w:t>应采取局部气体收集措施，废气排至VOCs废气收集处理系统。</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w:t>
                  </w:r>
                  <w:r>
                    <w:rPr>
                      <w:rFonts w:hint="eastAsia"/>
                      <w:color w:val="000000" w:themeColor="text1"/>
                      <w:spacing w:val="3"/>
                      <w:szCs w:val="21"/>
                      <w14:textFill>
                        <w14:solidFill>
                          <w14:schemeClr w14:val="tx1"/>
                        </w14:solidFill>
                      </w14:textFill>
                    </w:rPr>
                    <w:t>喷涂</w:t>
                  </w:r>
                  <w:r>
                    <w:rPr>
                      <w:color w:val="000000" w:themeColor="text1"/>
                      <w:spacing w:val="3"/>
                      <w:szCs w:val="21"/>
                      <w14:textFill>
                        <w14:solidFill>
                          <w14:schemeClr w14:val="tx1"/>
                        </w14:solidFill>
                      </w14:textFill>
                    </w:rPr>
                    <w:t>在室内进行，</w:t>
                  </w:r>
                  <w:r>
                    <w:rPr>
                      <w:rFonts w:hint="eastAsia"/>
                      <w:color w:val="000000" w:themeColor="text1"/>
                      <w:spacing w:val="3"/>
                      <w:szCs w:val="21"/>
                      <w14:textFill>
                        <w14:solidFill>
                          <w14:schemeClr w14:val="tx1"/>
                        </w14:solidFill>
                      </w14:textFill>
                    </w:rPr>
                    <w:t>喷涂</w:t>
                  </w:r>
                  <w:r>
                    <w:rPr>
                      <w:color w:val="000000" w:themeColor="text1"/>
                      <w:spacing w:val="3"/>
                      <w:szCs w:val="21"/>
                      <w14:textFill>
                        <w14:solidFill>
                          <w14:schemeClr w14:val="tx1"/>
                        </w14:solidFill>
                      </w14:textFill>
                    </w:rPr>
                    <w:t>车间密闭操作，</w:t>
                  </w:r>
                  <w:r>
                    <w:rPr>
                      <w:rFonts w:hint="eastAsia"/>
                      <w:color w:val="000000" w:themeColor="text1"/>
                      <w:spacing w:val="3"/>
                      <w:szCs w:val="21"/>
                      <w14:textFill>
                        <w14:solidFill>
                          <w14:schemeClr w14:val="tx1"/>
                        </w14:solidFill>
                      </w14:textFill>
                    </w:rPr>
                    <w:t>废</w:t>
                  </w:r>
                  <w:r>
                    <w:rPr>
                      <w:color w:val="000000" w:themeColor="text1"/>
                      <w:spacing w:val="3"/>
                      <w:szCs w:val="21"/>
                      <w14:textFill>
                        <w14:solidFill>
                          <w14:schemeClr w14:val="tx1"/>
                        </w14:solidFill>
                      </w14:textFill>
                    </w:rPr>
                    <w:t>气应排至 VOCs废气收集处理系统，符合控制要求。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0" w:type="auto"/>
                  <w:vAlign w:val="center"/>
                </w:tcPr>
                <w:p>
                  <w:pPr>
                    <w:jc w:val="center"/>
                    <w:rPr>
                      <w:color w:val="000000" w:themeColor="text1"/>
                      <w:spacing w:val="-13"/>
                      <w:szCs w:val="21"/>
                      <w14:textFill>
                        <w14:solidFill>
                          <w14:schemeClr w14:val="tx1"/>
                        </w14:solidFill>
                      </w14:textFill>
                    </w:rPr>
                  </w:pPr>
                  <w:r>
                    <w:rPr>
                      <w:color w:val="000000" w:themeColor="text1"/>
                      <w:spacing w:val="-14"/>
                      <w:szCs w:val="21"/>
                      <w14:textFill>
                        <w14:solidFill>
                          <w14:schemeClr w14:val="tx1"/>
                        </w14:solidFill>
                      </w14:textFill>
                    </w:rPr>
                    <w:t>喷漆</w:t>
                  </w:r>
                  <w:r>
                    <w:rPr>
                      <w:color w:val="000000" w:themeColor="text1"/>
                      <w:szCs w:val="21"/>
                      <w14:textFill>
                        <w14:solidFill>
                          <w14:schemeClr w14:val="tx1"/>
                        </w14:solidFill>
                      </w14:textFill>
                    </w:rPr>
                    <w:t>房</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自动化喷漆室使用部分回风利用的通风系统</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推荐</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000000" w:themeColor="text1"/>
                      <w:spacing w:val="-13"/>
                      <w:szCs w:val="21"/>
                      <w14:textFill>
                        <w14:solidFill>
                          <w14:schemeClr w14:val="tx1"/>
                        </w14:solidFill>
                      </w14:textFill>
                    </w:rPr>
                  </w:pPr>
                  <w:r>
                    <w:rPr>
                      <w:color w:val="000000" w:themeColor="text1"/>
                      <w:spacing w:val="-11"/>
                      <w:szCs w:val="21"/>
                      <w14:textFill>
                        <w14:solidFill>
                          <w14:schemeClr w14:val="tx1"/>
                        </w14:solidFill>
                      </w14:textFill>
                    </w:rPr>
                    <w:t>溶剂</w:t>
                  </w:r>
                  <w:r>
                    <w:rPr>
                      <w:color w:val="000000" w:themeColor="text1"/>
                      <w:spacing w:val="-15"/>
                      <w:szCs w:val="21"/>
                      <w14:textFill>
                        <w14:solidFill>
                          <w14:schemeClr w14:val="tx1"/>
                        </w14:solidFill>
                      </w14:textFill>
                    </w:rPr>
                    <w:t>回收</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人工操作工位和机器人零点位置设置废溶剂回收设备</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推荐</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本项目人工操作位置旁放置收集桶，收集后暂存在危废暂存间，符合控制要求。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0" w:type="auto"/>
                  <w:vMerge w:val="restart"/>
                  <w:vAlign w:val="center"/>
                </w:tcPr>
                <w:p>
                  <w:pPr>
                    <w:jc w:val="center"/>
                    <w:rPr>
                      <w:color w:val="000000" w:themeColor="text1"/>
                      <w:spacing w:val="-13"/>
                      <w:szCs w:val="21"/>
                      <w14:textFill>
                        <w14:solidFill>
                          <w14:schemeClr w14:val="tx1"/>
                        </w14:solidFill>
                      </w14:textFill>
                    </w:rPr>
                  </w:pPr>
                  <w:r>
                    <w:rPr>
                      <w:color w:val="000000" w:themeColor="text1"/>
                      <w:spacing w:val="-10"/>
                      <w:szCs w:val="21"/>
                      <w14:textFill>
                        <w14:solidFill>
                          <w14:schemeClr w14:val="tx1"/>
                        </w14:solidFill>
                      </w14:textFill>
                    </w:rPr>
                    <w:t>废气</w:t>
                  </w:r>
                  <w:r>
                    <w:rPr>
                      <w:color w:val="000000" w:themeColor="text1"/>
                      <w:spacing w:val="-9"/>
                      <w:szCs w:val="21"/>
                      <w14:textFill>
                        <w14:solidFill>
                          <w14:schemeClr w14:val="tx1"/>
                        </w14:solidFill>
                      </w14:textFill>
                    </w:rPr>
                    <w:t>收集</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废气收集系统的输送管道应密闭。 废气收集系统应在负压下运行，若处于正压状态，应对管道组件的密封点进行泄漏检测，泄漏检测值不应超过 500μmol/mol ，亦不应有感官可察觉泄漏。</w:t>
                  </w:r>
                </w:p>
              </w:tc>
              <w:tc>
                <w:tcPr>
                  <w:tcW w:w="0" w:type="auto"/>
                  <w:vMerge w:val="restart"/>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w:t>
                  </w:r>
                  <w:r>
                    <w:rPr>
                      <w:rFonts w:hint="eastAsia"/>
                      <w:color w:val="000000" w:themeColor="text1"/>
                      <w:spacing w:val="3"/>
                      <w:szCs w:val="21"/>
                      <w14:textFill>
                        <w14:solidFill>
                          <w14:schemeClr w14:val="tx1"/>
                        </w14:solidFill>
                      </w14:textFill>
                    </w:rPr>
                    <w:t>调漆、喷涂</w:t>
                  </w:r>
                  <w:r>
                    <w:rPr>
                      <w:color w:val="000000" w:themeColor="text1"/>
                      <w:spacing w:val="3"/>
                      <w:szCs w:val="21"/>
                      <w14:textFill>
                        <w14:solidFill>
                          <w14:schemeClr w14:val="tx1"/>
                        </w14:solidFill>
                      </w14:textFill>
                    </w:rPr>
                    <w:t>、</w:t>
                  </w:r>
                  <w:r>
                    <w:rPr>
                      <w:rFonts w:hint="eastAsia"/>
                      <w:color w:val="000000" w:themeColor="text1"/>
                      <w:spacing w:val="3"/>
                      <w:szCs w:val="21"/>
                      <w14:textFill>
                        <w14:solidFill>
                          <w14:schemeClr w14:val="tx1"/>
                        </w14:solidFill>
                      </w14:textFill>
                    </w:rPr>
                    <w:t>晾干</w:t>
                  </w:r>
                  <w:r>
                    <w:rPr>
                      <w:color w:val="000000" w:themeColor="text1"/>
                      <w:spacing w:val="3"/>
                      <w:szCs w:val="21"/>
                      <w14:textFill>
                        <w14:solidFill>
                          <w14:schemeClr w14:val="tx1"/>
                        </w14:solidFill>
                      </w14:textFill>
                    </w:rPr>
                    <w:t>废气负压密闭收集，废气收集系统与生产工艺设备同步运行，废气处理系统发生故障或检修时，对应的生产工艺设备停止运行，待检修完毕后同步投入使用，符合控制要求。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0" w:type="auto"/>
                  <w:vMerge w:val="continue"/>
                  <w:vAlign w:val="center"/>
                </w:tcPr>
                <w:p>
                  <w:pPr>
                    <w:jc w:val="center"/>
                    <w:rPr>
                      <w:color w:val="000000" w:themeColor="text1"/>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采用外部集气罩的，距集气罩开口面最远处的 VOCs无组织排放位置，控制风速不低于 0.3m/s，有行业要求的按相关规定执行。</w:t>
                  </w:r>
                </w:p>
              </w:tc>
              <w:tc>
                <w:tcPr>
                  <w:tcW w:w="0" w:type="auto"/>
                  <w:vMerge w:val="continue"/>
                  <w:vAlign w:val="center"/>
                </w:tcPr>
                <w:p>
                  <w:pPr>
                    <w:jc w:val="center"/>
                    <w:rPr>
                      <w:color w:val="000000" w:themeColor="text1"/>
                      <w:spacing w:val="3"/>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0" w:type="auto"/>
                  <w:vMerge w:val="continue"/>
                  <w:vAlign w:val="center"/>
                </w:tcPr>
                <w:p>
                  <w:pPr>
                    <w:jc w:val="center"/>
                    <w:rPr>
                      <w:color w:val="000000" w:themeColor="text1"/>
                      <w:spacing w:val="1"/>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废气收集系统应与生产工艺设备同步运行。废气处理系统发生故障或检修时，对应的生产工艺设备应停止运行，待检修完毕后同步投入使用；生产工艺设备不能停止运行或不能及时停止运行的，应设置废气 应急处理设施或采取其他代替措 施。</w:t>
                  </w:r>
                </w:p>
              </w:tc>
              <w:tc>
                <w:tcPr>
                  <w:tcW w:w="0" w:type="auto"/>
                  <w:vMerge w:val="continue"/>
                  <w:vAlign w:val="center"/>
                </w:tcPr>
                <w:p>
                  <w:pPr>
                    <w:jc w:val="center"/>
                    <w:rPr>
                      <w:color w:val="000000" w:themeColor="text1"/>
                      <w:spacing w:val="3"/>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本项目废气收集系统应与生产工艺设备同步运行。废气处理系统发生故障或检修时，对应的生产工艺设备应停止运行，待检修完毕后同步投入使用。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000000" w:themeColor="text1"/>
                      <w:spacing w:val="-13"/>
                      <w:szCs w:val="21"/>
                      <w14:textFill>
                        <w14:solidFill>
                          <w14:schemeClr w14:val="tx1"/>
                        </w14:solidFill>
                      </w14:textFill>
                    </w:rPr>
                  </w:pPr>
                  <w:r>
                    <w:rPr>
                      <w:color w:val="000000" w:themeColor="text1"/>
                      <w:spacing w:val="-13"/>
                      <w:szCs w:val="21"/>
                      <w14:textFill>
                        <w14:solidFill>
                          <w14:schemeClr w14:val="tx1"/>
                        </w14:solidFill>
                      </w14:textFill>
                    </w:rPr>
                    <w:t>非正常排放</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载有 VOCs 物料的设备及其管道在 开停工（车）、检维修和清洗时，应在退料阶段将残存物料退净，并用密闭容器盛装，退料过程废气应排至 VOCs废气收集处理系统；清洗及吹扫过程排气应排至 VOCs 废气收集处理系统。</w:t>
                  </w:r>
                </w:p>
              </w:tc>
              <w:tc>
                <w:tcPr>
                  <w:tcW w:w="0" w:type="auto"/>
                  <w:vAlign w:val="center"/>
                </w:tcPr>
                <w:p>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本项目残存物料用密闭容器盛装，符合控制要求。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4"/>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000000" w:themeColor="text1"/>
                      <w:spacing w:val="-13"/>
                      <w:szCs w:val="21"/>
                      <w14:textFill>
                        <w14:solidFill>
                          <w14:schemeClr w14:val="tx1"/>
                        </w14:solidFill>
                      </w14:textFill>
                    </w:rPr>
                  </w:pPr>
                  <w:r>
                    <w:rPr>
                      <w:color w:val="000000" w:themeColor="text1"/>
                      <w:spacing w:val="-10"/>
                      <w:szCs w:val="21"/>
                      <w14:textFill>
                        <w14:solidFill>
                          <w14:schemeClr w14:val="tx1"/>
                        </w14:solidFill>
                      </w14:textFill>
                    </w:rPr>
                    <w:t>排放</w:t>
                  </w:r>
                  <w:r>
                    <w:rPr>
                      <w:color w:val="000000" w:themeColor="text1"/>
                      <w:spacing w:val="-6"/>
                      <w:szCs w:val="21"/>
                      <w14:textFill>
                        <w14:solidFill>
                          <w14:schemeClr w14:val="tx1"/>
                        </w14:solidFill>
                      </w14:textFill>
                    </w:rPr>
                    <w:t>水平</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其他表面涂装行业：a ）2002 年1月1日前的建设项目排放的工艺有机废气排放浓度执行《大气污染物 排放限值》（DB4427-2001）第一时段限值；2002年1月1日起的建 设项目排放的有机废气排放浓度执行《大气污染物排放限 值》（DB4427-2001）第二时段限值；车间或生产设施排气中NMHC初始排放速率≥3kg/h 时，建设VOCs处理设施且处理效率≥80%；b）厂区内无组织排放监控点 NMHC的小时平均浓度值不超过6mg/m</w:t>
                  </w:r>
                  <w:r>
                    <w:rPr>
                      <w:color w:val="000000" w:themeColor="text1"/>
                      <w:spacing w:val="3"/>
                      <w:szCs w:val="21"/>
                      <w:vertAlign w:val="superscript"/>
                      <w14:textFill>
                        <w14:solidFill>
                          <w14:schemeClr w14:val="tx1"/>
                        </w14:solidFill>
                      </w14:textFill>
                    </w:rPr>
                    <w:t>3</w:t>
                  </w:r>
                  <w:r>
                    <w:rPr>
                      <w:color w:val="000000" w:themeColor="text1"/>
                      <w:spacing w:val="3"/>
                      <w:szCs w:val="21"/>
                      <w14:textFill>
                        <w14:solidFill>
                          <w14:schemeClr w14:val="tx1"/>
                        </w14:solidFill>
                      </w14:textFill>
                    </w:rPr>
                    <w:t>，</w:t>
                  </w:r>
                  <w:r>
                    <w:rPr>
                      <w:rFonts w:hint="eastAsia"/>
                      <w:color w:val="000000" w:themeColor="text1"/>
                      <w:spacing w:val="3"/>
                      <w:szCs w:val="21"/>
                      <w14:textFill>
                        <w14:solidFill>
                          <w14:schemeClr w14:val="tx1"/>
                        </w14:solidFill>
                      </w14:textFill>
                    </w:rPr>
                    <w:t>任</w:t>
                  </w:r>
                  <w:r>
                    <w:rPr>
                      <w:color w:val="000000" w:themeColor="text1"/>
                      <w:spacing w:val="3"/>
                      <w:szCs w:val="21"/>
                      <w14:textFill>
                        <w14:solidFill>
                          <w14:schemeClr w14:val="tx1"/>
                        </w14:solidFill>
                      </w14:textFill>
                    </w:rPr>
                    <w:t>意一次浓度值不超20mg/m</w:t>
                  </w:r>
                  <w:r>
                    <w:rPr>
                      <w:color w:val="000000" w:themeColor="text1"/>
                      <w:spacing w:val="3"/>
                      <w:szCs w:val="21"/>
                      <w:vertAlign w:val="superscript"/>
                      <w14:textFill>
                        <w14:solidFill>
                          <w14:schemeClr w14:val="tx1"/>
                        </w14:solidFill>
                      </w14:textFill>
                    </w:rPr>
                    <w:t>3</w:t>
                  </w:r>
                  <w:r>
                    <w:rPr>
                      <w:color w:val="000000" w:themeColor="text1"/>
                      <w:spacing w:val="3"/>
                      <w:szCs w:val="21"/>
                      <w14:textFill>
                        <w14:solidFill>
                          <w14:schemeClr w14:val="tx1"/>
                        </w14:solidFill>
                      </w14:textFill>
                    </w:rPr>
                    <w:t>。</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rFonts w:hint="eastAsia"/>
                      <w:color w:val="000000" w:themeColor="text1"/>
                      <w:spacing w:val="3"/>
                      <w:szCs w:val="21"/>
                      <w14:textFill>
                        <w14:solidFill>
                          <w14:schemeClr w14:val="tx1"/>
                        </w14:solidFill>
                      </w14:textFill>
                    </w:rPr>
                    <w:t>项目调漆、喷漆、晾干工序产生有机</w:t>
                  </w:r>
                  <w:r>
                    <w:rPr>
                      <w:color w:val="000000" w:themeColor="text1"/>
                      <w:spacing w:val="3"/>
                      <w:szCs w:val="21"/>
                      <w14:textFill>
                        <w14:solidFill>
                          <w14:schemeClr w14:val="tx1"/>
                        </w14:solidFill>
                      </w14:textFill>
                    </w:rPr>
                    <w:t>废气</w:t>
                  </w:r>
                  <w:r>
                    <w:rPr>
                      <w:rFonts w:hint="eastAsia"/>
                      <w:color w:val="000000" w:themeColor="text1"/>
                      <w:spacing w:val="3"/>
                      <w:szCs w:val="21"/>
                      <w14:textFill>
                        <w14:solidFill>
                          <w14:schemeClr w14:val="tx1"/>
                        </w14:solidFill>
                      </w14:textFill>
                    </w:rPr>
                    <w:t>排放</w:t>
                  </w:r>
                  <w:r>
                    <w:rPr>
                      <w:color w:val="000000" w:themeColor="text1"/>
                      <w:spacing w:val="3"/>
                      <w:szCs w:val="21"/>
                      <w14:textFill>
                        <w14:solidFill>
                          <w14:schemeClr w14:val="tx1"/>
                        </w14:solidFill>
                      </w14:textFill>
                    </w:rPr>
                    <w:t>执行《固定污染源挥发性有机物综合排放标准》（DB44/2367-2022）</w:t>
                  </w:r>
                  <w:r>
                    <w:rPr>
                      <w:rFonts w:hint="eastAsia"/>
                      <w:color w:val="000000" w:themeColor="text1"/>
                      <w:spacing w:val="3"/>
                      <w:szCs w:val="21"/>
                      <w14:textFill>
                        <w14:solidFill>
                          <w14:schemeClr w14:val="tx1"/>
                        </w14:solidFill>
                      </w14:textFill>
                    </w:rPr>
                    <w:t>表1挥发性有机物排放限值</w:t>
                  </w:r>
                  <w:r>
                    <w:rPr>
                      <w:color w:val="000000" w:themeColor="text1"/>
                      <w:spacing w:val="3"/>
                      <w:szCs w:val="21"/>
                      <w14:textFill>
                        <w14:solidFill>
                          <w14:schemeClr w14:val="tx1"/>
                        </w14:solidFill>
                      </w14:textFill>
                    </w:rPr>
                    <w:t>和</w:t>
                  </w:r>
                  <w:r>
                    <w:rPr>
                      <w:rFonts w:hint="eastAsia"/>
                      <w:color w:val="000000" w:themeColor="text1"/>
                      <w:spacing w:val="3"/>
                      <w:szCs w:val="21"/>
                      <w14:textFill>
                        <w14:solidFill>
                          <w14:schemeClr w14:val="tx1"/>
                        </w14:solidFill>
                      </w14:textFill>
                    </w:rPr>
                    <w:t>《家具制造行业挥发性有机化合物排放标准》（DB44/814-2010）无组织排放监控点浓度限值标准的要求</w:t>
                  </w:r>
                  <w:r>
                    <w:rPr>
                      <w:color w:val="000000" w:themeColor="text1"/>
                      <w:spacing w:val="3"/>
                      <w:szCs w:val="21"/>
                      <w14:textFill>
                        <w14:solidFill>
                          <w14:schemeClr w14:val="tx1"/>
                        </w14:solidFill>
                      </w14:textFill>
                    </w:rPr>
                    <w:t>，颗粒物执行广东省《大气污染物排放限值》（DB44/27-2001）第二时段二级标准及无组织排放监控浓度限值</w:t>
                  </w:r>
                  <w:r>
                    <w:rPr>
                      <w:rFonts w:hint="eastAsia"/>
                      <w:color w:val="000000" w:themeColor="text1"/>
                      <w:spacing w:val="3"/>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jc w:val="center"/>
                    <w:rPr>
                      <w:color w:val="000000" w:themeColor="text1"/>
                      <w:spacing w:val="-13"/>
                      <w:szCs w:val="21"/>
                      <w14:textFill>
                        <w14:solidFill>
                          <w14:schemeClr w14:val="tx1"/>
                        </w14:solidFill>
                      </w14:textFill>
                    </w:rPr>
                  </w:pPr>
                  <w:r>
                    <w:rPr>
                      <w:color w:val="000000" w:themeColor="text1"/>
                      <w:spacing w:val="-13"/>
                      <w:szCs w:val="21"/>
                      <w14:textFill>
                        <w14:solidFill>
                          <w14:schemeClr w14:val="tx1"/>
                        </w14:solidFill>
                      </w14:textFill>
                    </w:rPr>
                    <w:t>治理</w:t>
                  </w:r>
                  <w:r>
                    <w:rPr>
                      <w:color w:val="000000" w:themeColor="text1"/>
                      <w:spacing w:val="-5"/>
                      <w:szCs w:val="21"/>
                      <w14:textFill>
                        <w14:solidFill>
                          <w14:schemeClr w14:val="tx1"/>
                        </w14:solidFill>
                      </w14:textFill>
                    </w:rPr>
                    <w:t>技术</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喷涂废气应设置有效的漆雾预处理装置，如采用干式过滤等高效除漆 雾技术，涂密封胶、密封胶烘干、电泳平流、调配、喷涂和</w:t>
                  </w:r>
                  <w:r>
                    <w:rPr>
                      <w:rFonts w:hint="eastAsia"/>
                      <w:color w:val="000000" w:themeColor="text1"/>
                      <w:spacing w:val="3"/>
                      <w:szCs w:val="21"/>
                      <w14:textFill>
                        <w14:solidFill>
                          <w14:schemeClr w14:val="tx1"/>
                        </w14:solidFill>
                      </w14:textFill>
                    </w:rPr>
                    <w:t>烘干固化工序</w:t>
                  </w:r>
                  <w:r>
                    <w:rPr>
                      <w:color w:val="000000" w:themeColor="text1"/>
                      <w:spacing w:val="3"/>
                      <w:szCs w:val="21"/>
                      <w14:textFill>
                        <w14:solidFill>
                          <w14:schemeClr w14:val="tx1"/>
                        </w14:solidFill>
                      </w14:textFill>
                    </w:rPr>
                    <w:t>废气宜采用吸附浓缩+燃烧等工艺进行处理。</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推荐</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w:t>
                  </w:r>
                  <w:r>
                    <w:rPr>
                      <w:rFonts w:hint="eastAsia"/>
                      <w:color w:val="000000" w:themeColor="text1"/>
                      <w:spacing w:val="3"/>
                      <w:szCs w:val="21"/>
                      <w14:textFill>
                        <w14:solidFill>
                          <w14:schemeClr w14:val="tx1"/>
                        </w14:solidFill>
                      </w14:textFill>
                    </w:rPr>
                    <w:t>调漆、喷漆、晾干</w:t>
                  </w:r>
                  <w:r>
                    <w:rPr>
                      <w:color w:val="000000" w:themeColor="text1"/>
                      <w:spacing w:val="3"/>
                      <w:szCs w:val="21"/>
                      <w14:textFill>
                        <w14:solidFill>
                          <w14:schemeClr w14:val="tx1"/>
                        </w14:solidFill>
                      </w14:textFill>
                    </w:rPr>
                    <w:t>废气产生量</w:t>
                  </w:r>
                  <w:r>
                    <w:rPr>
                      <w:rFonts w:hint="eastAsia"/>
                      <w:color w:val="000000" w:themeColor="text1"/>
                      <w:spacing w:val="3"/>
                      <w:szCs w:val="21"/>
                      <w14:textFill>
                        <w14:solidFill>
                          <w14:schemeClr w14:val="tx1"/>
                        </w14:solidFill>
                      </w14:textFill>
                    </w:rPr>
                    <w:t>较</w:t>
                  </w:r>
                  <w:r>
                    <w:rPr>
                      <w:color w:val="000000" w:themeColor="text1"/>
                      <w:spacing w:val="3"/>
                      <w:szCs w:val="21"/>
                      <w14:textFill>
                        <w14:solidFill>
                          <w14:schemeClr w14:val="tx1"/>
                        </w14:solidFill>
                      </w14:textFill>
                    </w:rPr>
                    <w:t>少，产生浓度较低，通过</w:t>
                  </w:r>
                  <w:r>
                    <w:rPr>
                      <w:rFonts w:hint="eastAsia"/>
                      <w:color w:val="000000" w:themeColor="text1"/>
                      <w:spacing w:val="3"/>
                      <w:szCs w:val="21"/>
                      <w14:textFill>
                        <w14:solidFill>
                          <w14:schemeClr w14:val="tx1"/>
                        </w14:solidFill>
                      </w14:textFill>
                    </w:rPr>
                    <w:t>“水喷淋+过滤除雾器+二级活性炭吸附”</w:t>
                  </w:r>
                  <w:r>
                    <w:rPr>
                      <w:color w:val="000000" w:themeColor="text1"/>
                      <w:spacing w:val="3"/>
                      <w:szCs w:val="21"/>
                      <w14:textFill>
                        <w14:solidFill>
                          <w14:schemeClr w14:val="tx1"/>
                        </w14:solidFill>
                      </w14:textFill>
                    </w:rPr>
                    <w:t>处理达标后高空排放，漆雾通过水帘柜处理；符合治理技术控制要求。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0" w:type="auto"/>
                  <w:vMerge w:val="restart"/>
                  <w:vAlign w:val="center"/>
                </w:tcPr>
                <w:p>
                  <w:pPr>
                    <w:jc w:val="center"/>
                    <w:rPr>
                      <w:color w:val="000000" w:themeColor="text1"/>
                      <w:spacing w:val="-13"/>
                      <w:szCs w:val="21"/>
                      <w14:textFill>
                        <w14:solidFill>
                          <w14:schemeClr w14:val="tx1"/>
                        </w14:solidFill>
                      </w14:textFill>
                    </w:rPr>
                  </w:pPr>
                  <w:r>
                    <w:rPr>
                      <w:color w:val="000000" w:themeColor="text1"/>
                      <w:spacing w:val="-13"/>
                      <w:szCs w:val="21"/>
                      <w14:textFill>
                        <w14:solidFill>
                          <w14:schemeClr w14:val="tx1"/>
                        </w14:solidFill>
                      </w14:textFill>
                    </w:rPr>
                    <w:t>治理设施设计运行管理</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吸附床（含活性炭吸附法）：a）预处理设备应根据废气的成分、性质和影响吸附过程的物质性质及含量进行选择；</w:t>
                  </w:r>
                </w:p>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b）吸附床层的吸附剂用量应根据废气处理量、污染物浓度 和吸附剂的动态吸附量确定； c）吸附剂应及时更换或有效再生。</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推荐</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w:t>
                  </w:r>
                  <w:r>
                    <w:rPr>
                      <w:rFonts w:hint="eastAsia"/>
                      <w:color w:val="000000" w:themeColor="text1"/>
                      <w:spacing w:val="3"/>
                      <w:szCs w:val="21"/>
                      <w14:textFill>
                        <w14:solidFill>
                          <w14:schemeClr w14:val="tx1"/>
                        </w14:solidFill>
                      </w14:textFill>
                    </w:rPr>
                    <w:t>调漆、喷漆、晾干</w:t>
                  </w:r>
                  <w:r>
                    <w:rPr>
                      <w:color w:val="000000" w:themeColor="text1"/>
                      <w:spacing w:val="3"/>
                      <w:szCs w:val="21"/>
                      <w14:textFill>
                        <w14:solidFill>
                          <w14:schemeClr w14:val="tx1"/>
                        </w14:solidFill>
                      </w14:textFill>
                    </w:rPr>
                    <w:t>废气通过</w:t>
                  </w:r>
                  <w:r>
                    <w:rPr>
                      <w:rFonts w:hint="eastAsia"/>
                      <w:color w:val="000000" w:themeColor="text1"/>
                      <w:spacing w:val="3"/>
                      <w:szCs w:val="21"/>
                      <w14:textFill>
                        <w14:solidFill>
                          <w14:schemeClr w14:val="tx1"/>
                        </w14:solidFill>
                      </w14:textFill>
                    </w:rPr>
                    <w:t>“水喷淋+过滤除雾器+二级活性炭吸附法”</w:t>
                  </w:r>
                  <w:r>
                    <w:rPr>
                      <w:color w:val="000000" w:themeColor="text1"/>
                      <w:spacing w:val="3"/>
                      <w:szCs w:val="21"/>
                      <w14:textFill>
                        <w14:solidFill>
                          <w14:schemeClr w14:val="tx1"/>
                        </w14:solidFill>
                      </w14:textFill>
                    </w:rPr>
                    <w:t>处理达标后高空排放，活性炭吸附装床内的活性炭定期更换。符合治理设施设计与运行管理要求。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0" w:type="auto"/>
                  <w:vMerge w:val="continue"/>
                  <w:vAlign w:val="center"/>
                </w:tcPr>
                <w:p>
                  <w:pPr>
                    <w:jc w:val="center"/>
                    <w:rPr>
                      <w:color w:val="000000" w:themeColor="text1"/>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VOCs治理设施应与生产工艺设备同步运行，VOCs治理设施发生故障或检修时，对应的生产工艺设备应停止运行，待检修完毕后同步投入使用； 生产工艺设备不能停止运行或不能及时停止运行的，应设置废气应急处理设施或采取其他替代 措施。</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VOCs 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符合治理设施设计与运行管理要求</w:t>
                  </w:r>
                  <w:r>
                    <w:rPr>
                      <w:rFonts w:hint="eastAsia"/>
                      <w:color w:val="000000" w:themeColor="text1"/>
                      <w:spacing w:val="3"/>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2" w:hRule="atLeast"/>
              </w:trPr>
              <w:tc>
                <w:tcPr>
                  <w:tcW w:w="0" w:type="auto"/>
                  <w:vMerge w:val="continue"/>
                  <w:vAlign w:val="center"/>
                </w:tcPr>
                <w:p>
                  <w:pPr>
                    <w:jc w:val="center"/>
                    <w:rPr>
                      <w:color w:val="000000" w:themeColor="text1"/>
                      <w:spacing w:val="-2"/>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污染治理设施编号可为排污单位内部编号，若无内部编号，则根据《排污单位编码规则》（HJ608）进行编</w:t>
                  </w:r>
                </w:p>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号。有组织排放口编号应填写地方 环境保护主管部门现有编号，或根据《排污单位编码规则》（HJ608）进行编号。</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本项目废气排放口按《排污单位编码规则》（HJ608）进行编号。符合治理设施设计与运行管理要求。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pPr>
                    <w:jc w:val="center"/>
                    <w:rPr>
                      <w:color w:val="000000" w:themeColor="text1"/>
                      <w:spacing w:val="-2"/>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设置规范的处理前后采样位置，采 样位置应避开对测试人员操作有危 险的场所，优先选择在垂直管段， 避开烟道弯头和断面急剧变化的部 位，应设置在距弯头、阀门、变径 管下游方向不小于 6 倍直径，和距 上述部件上游方向不小于 3 倍直径 处。</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按照监测要求设置采样位置。符合治理设施设计与运行管理要求。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trPr>
              <w:tc>
                <w:tcPr>
                  <w:tcW w:w="0" w:type="auto"/>
                  <w:vMerge w:val="continue"/>
                  <w:vAlign w:val="center"/>
                </w:tcPr>
                <w:p>
                  <w:pPr>
                    <w:jc w:val="center"/>
                    <w:rPr>
                      <w:color w:val="000000" w:themeColor="text1"/>
                      <w:spacing w:val="-2"/>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废气排气筒应按照《广东省污染源排污口规范化设置导则》(粤环〔2008〕42号)相关规定，设置与排污口相应的环境保护图形标志牌。</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按照《广东省污染源排污口规范化设置导则》(粤环〔2008〕42号)设置废气排气筒。符合治理设施设计与运行管理要求。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gridSpan w:val="4"/>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环境管理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trPr>
              <w:tc>
                <w:tcPr>
                  <w:tcW w:w="0" w:type="auto"/>
                  <w:vMerge w:val="restart"/>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管理 台账</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建立含VOCs原辅材料台账，记录含VOCs 原辅材料的名称及其VOCs含量、采购量、使用量、库存量、含 VOCs 原辅材料回收方式及回收量。</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建立含VOCs原辅材料台账，符合管理台账要求。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trPr>
              <w:tc>
                <w:tcPr>
                  <w:tcW w:w="0" w:type="auto"/>
                  <w:vMerge w:val="continue"/>
                  <w:vAlign w:val="center"/>
                </w:tcPr>
                <w:p>
                  <w:pPr>
                    <w:jc w:val="center"/>
                    <w:rPr>
                      <w:color w:val="000000" w:themeColor="text1"/>
                      <w:spacing w:val="3"/>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建立废气收集处理设施台账，记录废气处理设施进出口的监测数据（废气量、浓度、温度、含氧量等）、废气收集与处理设施关键参数、废气处理设施相关耗材（吸收剂、吸 附剂、催化剂等）购买和处理记录。</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建立废气收集处理设施台账，符合管理台账要求。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trPr>
              <w:tc>
                <w:tcPr>
                  <w:tcW w:w="0" w:type="auto"/>
                  <w:vMerge w:val="continue"/>
                  <w:vAlign w:val="center"/>
                </w:tcPr>
                <w:p>
                  <w:pPr>
                    <w:jc w:val="center"/>
                    <w:rPr>
                      <w:color w:val="000000" w:themeColor="text1"/>
                      <w:spacing w:val="3"/>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建立危废台账，整理危废处置合同、转移联单及危废处理方资质佐证材料</w:t>
                  </w:r>
                  <w:r>
                    <w:rPr>
                      <w:rFonts w:hint="eastAsia"/>
                      <w:color w:val="000000" w:themeColor="text1"/>
                      <w:spacing w:val="3"/>
                      <w:szCs w:val="21"/>
                      <w14:textFill>
                        <w14:solidFill>
                          <w14:schemeClr w14:val="tx1"/>
                        </w14:solidFill>
                      </w14:textFill>
                    </w:rPr>
                    <w:t>。</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建立危废台账，符合管理台账要求。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trPr>
              <w:tc>
                <w:tcPr>
                  <w:tcW w:w="0" w:type="auto"/>
                  <w:vMerge w:val="continue"/>
                  <w:vAlign w:val="center"/>
                </w:tcPr>
                <w:p>
                  <w:pPr>
                    <w:jc w:val="center"/>
                    <w:rPr>
                      <w:color w:val="000000" w:themeColor="text1"/>
                      <w:spacing w:val="3"/>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台账保存期限不少于3年</w:t>
                  </w:r>
                  <w:r>
                    <w:rPr>
                      <w:rFonts w:hint="eastAsia"/>
                      <w:color w:val="000000" w:themeColor="text1"/>
                      <w:spacing w:val="3"/>
                      <w:szCs w:val="21"/>
                      <w14:textFill>
                        <w14:solidFill>
                          <w14:schemeClr w14:val="tx1"/>
                        </w14:solidFill>
                      </w14:textFill>
                    </w:rPr>
                    <w:t>。</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台账保存期限不少于3年，符合管理台账要求。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0" w:type="auto"/>
                  <w:vMerge w:val="restart"/>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自行 监测</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水性油漆涂覆、水性油漆（含胶）固化成膜设施废气重点排污单位主要排放口至少每季度监测一次挥发性有机物及特征污染物，一般排放口至少每半年监测一次挥发性有机物及特征污染物，非重点排污单位 至少每年监测一次挥发性有机物及 特征污染物。</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restart"/>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本项目为非重点排污单位，按照《排污单位自行监测技术指南总则》（HJ819-2017）进行检测，符合自行监测要求。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0" w:type="auto"/>
                  <w:vMerge w:val="continue"/>
                  <w:vAlign w:val="center"/>
                </w:tcPr>
                <w:p>
                  <w:pPr>
                    <w:jc w:val="center"/>
                    <w:rPr>
                      <w:color w:val="000000" w:themeColor="text1"/>
                      <w:spacing w:val="3"/>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点补、调漆等生产设施废气，以及树脂纤维、塑料加工等有机废气重排污单位主要排放口至少每季度监测一次挥发性有机物，一般排放口至少每半年监测一次挥发性有机物，非重点排污单位至少每年监测一次挥发性有机物。</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continue"/>
                  <w:vAlign w:val="center"/>
                </w:tcPr>
                <w:p>
                  <w:pPr>
                    <w:jc w:val="center"/>
                    <w:rPr>
                      <w:color w:val="000000" w:themeColor="text1"/>
                      <w:spacing w:val="3"/>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0" w:type="auto"/>
                  <w:vMerge w:val="continue"/>
                  <w:vAlign w:val="center"/>
                </w:tcPr>
                <w:p>
                  <w:pPr>
                    <w:jc w:val="center"/>
                    <w:rPr>
                      <w:color w:val="000000" w:themeColor="text1"/>
                      <w:spacing w:val="3"/>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厂界无组织废气至少每半年监测一 次挥发性有机物。</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continue"/>
                  <w:vAlign w:val="center"/>
                </w:tcPr>
                <w:p>
                  <w:pPr>
                    <w:jc w:val="center"/>
                    <w:rPr>
                      <w:color w:val="000000" w:themeColor="text1"/>
                      <w:spacing w:val="3"/>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0" w:type="auto"/>
                  <w:vMerge w:val="continue"/>
                  <w:vAlign w:val="center"/>
                </w:tcPr>
                <w:p>
                  <w:pPr>
                    <w:jc w:val="center"/>
                    <w:rPr>
                      <w:color w:val="000000" w:themeColor="text1"/>
                      <w:spacing w:val="3"/>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涂装工段旁无组织废气至少每季度监测一次挥发性有机物。</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continue"/>
                  <w:vAlign w:val="center"/>
                </w:tcPr>
                <w:p>
                  <w:pPr>
                    <w:jc w:val="center"/>
                    <w:rPr>
                      <w:color w:val="000000" w:themeColor="text1"/>
                      <w:spacing w:val="3"/>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trPr>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危废 管理</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工艺过程产生的含VOCs废料（渣、液）应按照相关要求进行储存、转移和输送。盛装过VOCs物料的废包装容器应加盖密闭。</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本项目设置危废暂存间，满足《危险废物贮存污染控制标准》（GB18597-2001）及2013年修改单相关要求，盛装过VOCs物料的废包装容器加盖密闭，符合危废管理要求。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0" w:type="auto"/>
                  <w:vMerge w:val="restart"/>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建设 项目 VOCs  总量 管理</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新、改、扩建项目应执行总量替代制度，明确VOCs总量指标来源</w:t>
                  </w:r>
                  <w:r>
                    <w:rPr>
                      <w:rFonts w:hint="eastAsia"/>
                      <w:color w:val="000000" w:themeColor="text1"/>
                      <w:spacing w:val="3"/>
                      <w:szCs w:val="21"/>
                      <w14:textFill>
                        <w14:solidFill>
                          <w14:schemeClr w14:val="tx1"/>
                        </w14:solidFill>
                      </w14:textFill>
                    </w:rPr>
                    <w:t>。</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restart"/>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VOCs总量指标由惠州市生态环境局博罗分局统一分配。符合建设项目VOCs总量管理要求。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0" w:type="auto"/>
                  <w:vMerge w:val="continue"/>
                  <w:vAlign w:val="center"/>
                </w:tcPr>
                <w:p>
                  <w:pPr>
                    <w:jc w:val="center"/>
                    <w:rPr>
                      <w:color w:val="000000" w:themeColor="text1"/>
                      <w:spacing w:val="3"/>
                      <w:szCs w:val="21"/>
                      <w14:textFill>
                        <w14:solidFill>
                          <w14:schemeClr w14:val="tx1"/>
                        </w14:solidFill>
                      </w14:textFill>
                    </w:rPr>
                  </w:pP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新、改、扩建项目和现有企业 VOCs基准排放量计算参考《广东省重点行业挥发性有机物排放量计算方法核算》 进行核算，若国家和我省出台适用于该行业的VOCs排放量计 算方法，则参照其相关规定执行。</w:t>
                  </w:r>
                </w:p>
              </w:tc>
              <w:tc>
                <w:tcPr>
                  <w:tcW w:w="0" w:type="auto"/>
                  <w:vAlign w:val="center"/>
                </w:tcPr>
                <w:p>
                  <w:pPr>
                    <w:jc w:val="center"/>
                    <w:rPr>
                      <w:color w:val="000000" w:themeColor="text1"/>
                      <w:spacing w:val="3"/>
                      <w:szCs w:val="21"/>
                      <w14:textFill>
                        <w14:solidFill>
                          <w14:schemeClr w14:val="tx1"/>
                        </w14:solidFill>
                      </w14:textFill>
                    </w:rPr>
                  </w:pPr>
                  <w:r>
                    <w:rPr>
                      <w:color w:val="000000" w:themeColor="text1"/>
                      <w:spacing w:val="3"/>
                      <w:szCs w:val="21"/>
                      <w14:textFill>
                        <w14:solidFill>
                          <w14:schemeClr w14:val="tx1"/>
                        </w14:solidFill>
                      </w14:textFill>
                    </w:rPr>
                    <w:t>要求</w:t>
                  </w:r>
                </w:p>
              </w:tc>
              <w:tc>
                <w:tcPr>
                  <w:tcW w:w="0" w:type="auto"/>
                  <w:vMerge w:val="continue"/>
                  <w:vAlign w:val="center"/>
                </w:tcPr>
                <w:p>
                  <w:pPr>
                    <w:jc w:val="center"/>
                    <w:rPr>
                      <w:color w:val="000000" w:themeColor="text1"/>
                      <w:spacing w:val="3"/>
                      <w:szCs w:val="21"/>
                      <w14:textFill>
                        <w14:solidFill>
                          <w14:schemeClr w14:val="tx1"/>
                        </w14:solidFill>
                      </w14:textFill>
                    </w:rPr>
                  </w:pPr>
                </w:p>
              </w:tc>
            </w:tr>
          </w:tbl>
          <w:p>
            <w:pPr>
              <w:spacing w:before="156" w:beforeLines="50"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17、与</w:t>
            </w:r>
            <w:r>
              <w:rPr>
                <w:b/>
                <w:color w:val="000000" w:themeColor="text1"/>
                <w:sz w:val="24"/>
                <w14:textFill>
                  <w14:solidFill>
                    <w14:schemeClr w14:val="tx1"/>
                  </w14:solidFill>
                </w14:textFill>
              </w:rPr>
              <w:t>《</w:t>
            </w:r>
            <w:r>
              <w:rPr>
                <w:rFonts w:hint="eastAsia"/>
                <w:b/>
                <w:color w:val="000000" w:themeColor="text1"/>
                <w:sz w:val="24"/>
                <w14:textFill>
                  <w14:solidFill>
                    <w14:schemeClr w14:val="tx1"/>
                  </w14:solidFill>
                </w14:textFill>
              </w:rPr>
              <w:t>广东大气污染防治条例</w:t>
            </w:r>
            <w:r>
              <w:rPr>
                <w:b/>
                <w:color w:val="000000" w:themeColor="text1"/>
                <w:sz w:val="24"/>
                <w14:textFill>
                  <w14:solidFill>
                    <w14:schemeClr w14:val="tx1"/>
                  </w14:solidFill>
                </w14:textFill>
              </w:rPr>
              <w:t>》</w:t>
            </w:r>
            <w:r>
              <w:rPr>
                <w:rFonts w:hint="eastAsia"/>
                <w:b/>
                <w:color w:val="000000" w:themeColor="text1"/>
                <w:sz w:val="24"/>
                <w14:textFill>
                  <w14:solidFill>
                    <w14:schemeClr w14:val="tx1"/>
                  </w14:solidFill>
                </w14:textFill>
              </w:rPr>
              <w:t>的相符性分析</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根据《广东大气污染防治条例》第二十六条 ：新建、改建、扩建排放挥发性有机物的建设项目，应当使用污染防治先进可行技术。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pPr>
              <w:pStyle w:val="47"/>
              <w:numPr>
                <w:ilvl w:val="0"/>
                <w:numId w:val="5"/>
              </w:numPr>
              <w:ind w:firstLine="480" w:firstLineChars="20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石油、化工、煤炭加工与转化等含挥发性有机物原料的生产；</w:t>
            </w:r>
          </w:p>
          <w:p>
            <w:pPr>
              <w:pStyle w:val="47"/>
              <w:numPr>
                <w:ilvl w:val="0"/>
                <w:numId w:val="5"/>
              </w:numPr>
              <w:ind w:firstLine="480" w:firstLineChars="20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燃油、溶剂的储存、运输和销售；</w:t>
            </w:r>
          </w:p>
          <w:p>
            <w:pPr>
              <w:rPr>
                <w:color w:val="000000" w:themeColor="text1"/>
                <w14:textFill>
                  <w14:solidFill>
                    <w14:schemeClr w14:val="tx1"/>
                  </w14:solidFill>
                </w14:textFill>
              </w:rPr>
            </w:pPr>
          </w:p>
          <w:p>
            <w:pPr>
              <w:pStyle w:val="47"/>
              <w:numPr>
                <w:ilvl w:val="0"/>
                <w:numId w:val="5"/>
              </w:numPr>
              <w:ind w:firstLine="480" w:firstLineChars="20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涂料、油墨、胶粘剂、农药等以挥发性有机物为原料的生产；</w:t>
            </w:r>
          </w:p>
          <w:p>
            <w:pPr>
              <w:pStyle w:val="47"/>
              <w:numPr>
                <w:ilvl w:val="0"/>
                <w:numId w:val="5"/>
              </w:numPr>
              <w:ind w:firstLine="480" w:firstLineChars="20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涂装、印刷、粘合、工业清洗等使用含挥发性有机物产品的生产活动；</w:t>
            </w:r>
          </w:p>
          <w:p>
            <w:pPr>
              <w:pStyle w:val="47"/>
              <w:numPr>
                <w:ilvl w:val="0"/>
                <w:numId w:val="5"/>
              </w:numPr>
              <w:ind w:firstLine="480" w:firstLineChars="200"/>
              <w:rPr>
                <w:rFonts w:ascii="Times New Roman"/>
                <w:color w:val="000000" w:themeColor="text1"/>
                <w14:textFill>
                  <w14:solidFill>
                    <w14:schemeClr w14:val="tx1"/>
                  </w14:solidFill>
                </w14:textFill>
              </w:rPr>
            </w:pPr>
            <w:r>
              <w:rPr>
                <w:rFonts w:hint="eastAsia" w:ascii="Times New Roman"/>
                <w:color w:val="000000" w:themeColor="text1"/>
                <w14:textFill>
                  <w14:solidFill>
                    <w14:schemeClr w14:val="tx1"/>
                  </w14:solidFill>
                </w14:textFill>
              </w:rPr>
              <w:t>其他产生挥发性有机物的生产和服务活动。</w:t>
            </w:r>
          </w:p>
          <w:p>
            <w:pPr>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项目使用的</w:t>
            </w:r>
            <w:r>
              <w:rPr>
                <w:rFonts w:hint="eastAsia"/>
                <w:color w:val="000000" w:themeColor="text1"/>
                <w:sz w:val="24"/>
                <w14:textFill>
                  <w14:solidFill>
                    <w14:schemeClr w14:val="tx1"/>
                  </w14:solidFill>
                </w14:textFill>
              </w:rPr>
              <w:t>水性漆</w:t>
            </w:r>
            <w:r>
              <w:rPr>
                <w:color w:val="000000" w:themeColor="text1"/>
                <w:sz w:val="24"/>
                <w14:textFill>
                  <w14:solidFill>
                    <w14:schemeClr w14:val="tx1"/>
                  </w14:solidFill>
                </w14:textFill>
              </w:rPr>
              <w:t>属于低VOCs含量原辅材料，项目</w:t>
            </w:r>
            <w:r>
              <w:rPr>
                <w:rFonts w:hint="eastAsia"/>
                <w:color w:val="000000" w:themeColor="text1"/>
                <w:sz w:val="24"/>
                <w14:textFill>
                  <w14:solidFill>
                    <w14:schemeClr w14:val="tx1"/>
                  </w14:solidFill>
                </w14:textFill>
              </w:rPr>
              <w:t>调漆、喷漆、晾干</w:t>
            </w:r>
            <w:r>
              <w:rPr>
                <w:color w:val="000000" w:themeColor="text1"/>
                <w:sz w:val="24"/>
                <w14:textFill>
                  <w14:solidFill>
                    <w14:schemeClr w14:val="tx1"/>
                  </w14:solidFill>
                </w14:textFill>
              </w:rPr>
              <w:t>产生的废气经“</w:t>
            </w:r>
            <w:r>
              <w:rPr>
                <w:rFonts w:hint="eastAsia"/>
                <w:color w:val="000000" w:themeColor="text1"/>
                <w:sz w:val="24"/>
                <w14:textFill>
                  <w14:solidFill>
                    <w14:schemeClr w14:val="tx1"/>
                  </w14:solidFill>
                </w14:textFill>
              </w:rPr>
              <w:t>水喷淋+过滤除雾器+二级活性炭吸附</w:t>
            </w:r>
            <w:r>
              <w:rPr>
                <w:color w:val="000000" w:themeColor="text1"/>
                <w:sz w:val="24"/>
                <w14:textFill>
                  <w14:solidFill>
                    <w14:schemeClr w14:val="tx1"/>
                  </w14:solidFill>
                </w14:textFill>
              </w:rPr>
              <w:t>”处理达标后排放。符合要求。</w:t>
            </w:r>
          </w:p>
          <w:p>
            <w:pPr>
              <w:spacing w:line="360" w:lineRule="auto"/>
              <w:ind w:left="630"/>
              <w:rPr>
                <w:color w:val="000000" w:themeColor="text1"/>
                <w14:textFill>
                  <w14:solidFill>
                    <w14:schemeClr w14:val="tx1"/>
                  </w14:solidFill>
                </w14:textFill>
              </w:rPr>
            </w:pPr>
            <w:r>
              <w:rPr>
                <w:rFonts w:hint="eastAsia"/>
                <w:b/>
                <w:color w:val="000000" w:themeColor="text1"/>
                <w:sz w:val="24"/>
                <w14:textFill>
                  <w14:solidFill>
                    <w14:schemeClr w14:val="tx1"/>
                  </w14:solidFill>
                </w14:textFill>
              </w:rPr>
              <w:t>18、</w:t>
            </w:r>
            <w:r>
              <w:rPr>
                <w:b/>
                <w:color w:val="000000" w:themeColor="text1"/>
                <w:sz w:val="24"/>
                <w14:textFill>
                  <w14:solidFill>
                    <w14:schemeClr w14:val="tx1"/>
                  </w14:solidFill>
                </w14:textFill>
              </w:rPr>
              <w:t>与环境功能区划相符性分析</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根据粤府函</w:t>
            </w: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2019</w:t>
            </w: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270号文《广东省人民政府关于调整惠州市部分饮用水源保护区的批复》及《惠州市人民政府关于&lt;惠州市乡镇级及以下集中式饮用水水源保护区划定调整方案&gt;的批复》（惠府函</w:t>
            </w: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2020</w:t>
            </w:r>
            <w:r>
              <w:rPr>
                <w:rFonts w:hint="eastAsia"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317号），本项目所在地不属于惠州市水源保护区，符合饮用水源保护条例的有关要求。项目外排废水主要为员工生活污水纳污水体</w:t>
            </w:r>
            <w:r>
              <w:rPr>
                <w:rFonts w:hint="eastAsia"/>
                <w:color w:val="000000" w:themeColor="text1"/>
                <w:sz w:val="24"/>
                <w14:textFill>
                  <w14:solidFill>
                    <w14:schemeClr w14:val="tx1"/>
                  </w14:solidFill>
                </w14:textFill>
              </w:rPr>
              <w:t>为</w:t>
            </w:r>
            <w:r>
              <w:rPr>
                <w:color w:val="000000" w:themeColor="text1"/>
                <w:sz w:val="24"/>
                <w14:textFill>
                  <w14:solidFill>
                    <w14:schemeClr w14:val="tx1"/>
                  </w14:solidFill>
                </w14:textFill>
              </w:rPr>
              <w:t>福田河</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执行《地表水环境质量标准》（GB3838-2002）V类标准。</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本项目所在区域为环境空气质量二类功能区</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环境空气质量达标。</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根据《惠州市声环境功能区划分方案》，本项目所在区域为声环境2类区</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声环境达标。</w:t>
            </w:r>
          </w:p>
          <w:p>
            <w:pPr>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本项目周围没有国家重点保护文物、古迹，名胜风景区，自然保护区等。</w:t>
            </w:r>
          </w:p>
          <w:p>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19、选址合理性分析</w:t>
            </w:r>
          </w:p>
          <w:p>
            <w:pPr>
              <w:autoSpaceDE w:val="0"/>
              <w:autoSpaceDN w:val="0"/>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本项目位于惠州市</w:t>
            </w:r>
            <w:r>
              <w:rPr>
                <w:rFonts w:hint="eastAsia"/>
                <w:color w:val="000000" w:themeColor="text1"/>
                <w:sz w:val="24"/>
                <w14:textFill>
                  <w14:solidFill>
                    <w14:schemeClr w14:val="tx1"/>
                  </w14:solidFill>
                </w14:textFill>
              </w:rPr>
              <w:t>博罗县福田镇新屋仔村麦园下</w:t>
            </w:r>
            <w:r>
              <w:rPr>
                <w:color w:val="000000" w:themeColor="text1"/>
                <w:sz w:val="24"/>
                <w14:textFill>
                  <w14:solidFill>
                    <w14:schemeClr w14:val="tx1"/>
                  </w14:solidFill>
                </w14:textFill>
              </w:rPr>
              <w:t>。</w:t>
            </w:r>
          </w:p>
          <w:p>
            <w:pPr>
              <w:autoSpaceDE w:val="0"/>
              <w:autoSpaceDN w:val="0"/>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w:t>
            </w:r>
            <w:r>
              <w:rPr>
                <w:rFonts w:hint="eastAsia"/>
                <w:color w:val="000000" w:themeColor="text1"/>
                <w:sz w:val="24"/>
                <w14:textFill>
                  <w14:solidFill>
                    <w14:schemeClr w14:val="tx1"/>
                  </w14:solidFill>
                </w14:textFill>
              </w:rPr>
              <w:t>建设单位提供的厂房房产证</w:t>
            </w:r>
            <w:r>
              <w:rPr>
                <w:color w:val="000000" w:themeColor="text1"/>
                <w:sz w:val="24"/>
                <w14:textFill>
                  <w14:solidFill>
                    <w14:schemeClr w14:val="tx1"/>
                  </w14:solidFill>
                </w14:textFill>
              </w:rPr>
              <w:t>，详见附件</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，项目用地符合福田镇土地利用总体规划和城镇建设总体规划，项目选址是合理的。</w:t>
            </w:r>
          </w:p>
          <w:p>
            <w:pPr>
              <w:autoSpaceDE w:val="0"/>
              <w:autoSpaceDN w:val="0"/>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因此，本项目符合相关规划要求，选址合理。</w:t>
            </w:r>
          </w:p>
          <w:p>
            <w:pPr>
              <w:spacing w:line="360" w:lineRule="auto"/>
              <w:ind w:firstLine="480" w:firstLineChars="200"/>
              <w:rPr>
                <w:color w:val="000000" w:themeColor="text1"/>
                <w:kern w:val="0"/>
                <w:sz w:val="24"/>
                <w14:textFill>
                  <w14:solidFill>
                    <w14:schemeClr w14:val="tx1"/>
                  </w14:solidFill>
                </w14:textFill>
              </w:rPr>
            </w:pPr>
          </w:p>
        </w:tc>
      </w:tr>
    </w:tbl>
    <w:p>
      <w:pPr>
        <w:jc w:val="center"/>
        <w:rPr>
          <w:color w:val="000000" w:themeColor="text1"/>
          <w:sz w:val="30"/>
          <w14:textFill>
            <w14:solidFill>
              <w14:schemeClr w14:val="tx1"/>
            </w14:solidFill>
          </w14:textFill>
        </w:rPr>
        <w:sectPr>
          <w:headerReference r:id="rId9" w:type="first"/>
          <w:footerReference r:id="rId12" w:type="first"/>
          <w:headerReference r:id="rId7" w:type="default"/>
          <w:footerReference r:id="rId10" w:type="default"/>
          <w:headerReference r:id="rId8" w:type="even"/>
          <w:footerReference r:id="rId11" w:type="even"/>
          <w:pgSz w:w="11906" w:h="16838"/>
          <w:pgMar w:top="1558" w:right="1418" w:bottom="1474" w:left="1418" w:header="851" w:footer="709" w:gutter="0"/>
          <w:pgNumType w:start="1"/>
          <w:cols w:space="720" w:num="1"/>
          <w:docGrid w:type="lines" w:linePitch="312" w:charSpace="0"/>
        </w:sectPr>
      </w:pPr>
    </w:p>
    <w:p>
      <w:pPr>
        <w:jc w:val="center"/>
        <w:outlineLvl w:val="0"/>
        <w:rPr>
          <w:rFonts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t>二</w:t>
      </w:r>
      <w:r>
        <w:rPr>
          <w:rFonts w:ascii="黑体" w:hAnsi="黑体" w:eastAsia="黑体"/>
          <w:color w:val="000000" w:themeColor="text1"/>
          <w:sz w:val="30"/>
          <w14:textFill>
            <w14:solidFill>
              <w14:schemeClr w14:val="tx1"/>
            </w14:solidFill>
          </w14:textFill>
        </w:rPr>
        <w:t>、</w:t>
      </w:r>
      <w:r>
        <w:rPr>
          <w:rFonts w:hint="eastAsia" w:ascii="黑体" w:hAnsi="黑体" w:eastAsia="黑体"/>
          <w:color w:val="000000" w:themeColor="text1"/>
          <w:sz w:val="30"/>
          <w14:textFill>
            <w14:solidFill>
              <w14:schemeClr w14:val="tx1"/>
            </w14:solidFill>
          </w14:textFill>
        </w:rPr>
        <w:t>建设项目</w:t>
      </w:r>
      <w:r>
        <w:rPr>
          <w:rFonts w:ascii="黑体" w:hAnsi="黑体" w:eastAsia="黑体"/>
          <w:color w:val="000000" w:themeColor="text1"/>
          <w:sz w:val="30"/>
          <w14:textFill>
            <w14:solidFill>
              <w14:schemeClr w14:val="tx1"/>
            </w14:solidFill>
          </w14:textFill>
        </w:rPr>
        <w:t>工程分析</w:t>
      </w:r>
    </w:p>
    <w:tbl>
      <w:tblPr>
        <w:tblStyle w:val="39"/>
        <w:tblW w:w="898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57" w:type="dxa"/>
          <w:bottom w:w="0" w:type="dxa"/>
          <w:right w:w="57" w:type="dxa"/>
        </w:tblCellMar>
      </w:tblPr>
      <w:tblGrid>
        <w:gridCol w:w="353"/>
        <w:gridCol w:w="883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85" w:hRule="atLeast"/>
          <w:jc w:val="center"/>
        </w:trPr>
        <w:tc>
          <w:tcPr>
            <w:tcW w:w="699" w:type="dxa"/>
            <w:vAlign w:val="center"/>
          </w:tcPr>
          <w:p>
            <w:pPr>
              <w:pStyle w:val="34"/>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建设内容</w:t>
            </w:r>
          </w:p>
        </w:tc>
        <w:tc>
          <w:tcPr>
            <w:tcW w:w="8285" w:type="dxa"/>
          </w:tcPr>
          <w:p>
            <w:pPr>
              <w:spacing w:line="360" w:lineRule="auto"/>
              <w:ind w:firstLine="472" w:firstLineChars="196"/>
              <w:rPr>
                <w:b/>
                <w:color w:val="000000" w:themeColor="text1"/>
                <w:kern w:val="0"/>
                <w:sz w:val="24"/>
                <w14:textFill>
                  <w14:solidFill>
                    <w14:schemeClr w14:val="tx1"/>
                  </w14:solidFill>
                </w14:textFill>
              </w:rPr>
            </w:pPr>
            <w:r>
              <w:rPr>
                <w:b/>
                <w:color w:val="000000" w:themeColor="text1"/>
                <w:kern w:val="0"/>
                <w:sz w:val="24"/>
                <w14:textFill>
                  <w14:solidFill>
                    <w14:schemeClr w14:val="tx1"/>
                  </w14:solidFill>
                </w14:textFill>
              </w:rPr>
              <w:t>1、工程组成</w:t>
            </w:r>
          </w:p>
          <w:p>
            <w:pPr>
              <w:spacing w:line="360" w:lineRule="auto"/>
              <w:ind w:firstLine="480"/>
              <w:rPr>
                <w:color w:val="000000" w:themeColor="text1"/>
                <w:sz w:val="24"/>
                <w14:textFill>
                  <w14:solidFill>
                    <w14:schemeClr w14:val="tx1"/>
                  </w14:solidFill>
                </w14:textFill>
              </w:rPr>
            </w:pPr>
            <w:r>
              <w:rPr>
                <w:color w:val="000000" w:themeColor="text1"/>
                <w:sz w:val="24"/>
                <w14:textFill>
                  <w14:solidFill>
                    <w14:schemeClr w14:val="tx1"/>
                  </w14:solidFill>
                </w14:textFill>
              </w:rPr>
              <w:t>本</w:t>
            </w:r>
            <w:r>
              <w:rPr>
                <w:rFonts w:hint="eastAsia"/>
                <w:color w:val="000000" w:themeColor="text1"/>
                <w:sz w:val="24"/>
                <w14:textFill>
                  <w14:solidFill>
                    <w14:schemeClr w14:val="tx1"/>
                  </w14:solidFill>
                </w14:textFill>
              </w:rPr>
              <w:t>项目所在的厂房为一栋一层的建筑，办公室为一栋两层建筑。建设单位租用该厂房作为生产车间，办公室作为办公区，总</w:t>
            </w:r>
            <w:r>
              <w:rPr>
                <w:color w:val="000000" w:themeColor="text1"/>
                <w:sz w:val="24"/>
                <w14:textFill>
                  <w14:solidFill>
                    <w14:schemeClr w14:val="tx1"/>
                  </w14:solidFill>
                </w14:textFill>
              </w:rPr>
              <w:t>占地面积5467平方米，总建筑面积3350平方米，</w:t>
            </w:r>
            <w:r>
              <w:rPr>
                <w:rFonts w:hint="eastAsia"/>
                <w:color w:val="000000" w:themeColor="text1"/>
                <w:sz w:val="24"/>
                <w14:textFill>
                  <w14:solidFill>
                    <w14:schemeClr w14:val="tx1"/>
                  </w14:solidFill>
                </w14:textFill>
              </w:rPr>
              <w:t>拟招员工人数为</w:t>
            </w:r>
            <w:r>
              <w:rPr>
                <w:color w:val="000000" w:themeColor="text1"/>
                <w:sz w:val="24"/>
                <w14:textFill>
                  <w14:solidFill>
                    <w14:schemeClr w14:val="tx1"/>
                  </w14:solidFill>
                </w14:textFill>
              </w:rPr>
              <w:t>40</w:t>
            </w:r>
            <w:r>
              <w:rPr>
                <w:rFonts w:hint="eastAsia"/>
                <w:color w:val="000000" w:themeColor="text1"/>
                <w:sz w:val="24"/>
                <w14:textFill>
                  <w14:solidFill>
                    <w14:schemeClr w14:val="tx1"/>
                  </w14:solidFill>
                </w14:textFill>
              </w:rPr>
              <w:t>人，均在厂区内食宿，年工作日为</w:t>
            </w:r>
            <w:r>
              <w:rPr>
                <w:color w:val="000000" w:themeColor="text1"/>
                <w:sz w:val="24"/>
                <w14:textFill>
                  <w14:solidFill>
                    <w14:schemeClr w14:val="tx1"/>
                  </w14:solidFill>
                </w14:textFill>
              </w:rPr>
              <w:t>300</w:t>
            </w:r>
            <w:r>
              <w:rPr>
                <w:rFonts w:hint="eastAsia"/>
                <w:color w:val="000000" w:themeColor="text1"/>
                <w:sz w:val="24"/>
                <w14:textFill>
                  <w14:solidFill>
                    <w14:schemeClr w14:val="tx1"/>
                  </w14:solidFill>
                </w14:textFill>
              </w:rPr>
              <w:t>天，为8h一班工作制。</w:t>
            </w:r>
            <w:r>
              <w:rPr>
                <w:color w:val="000000" w:themeColor="text1"/>
                <w:sz w:val="24"/>
                <w14:textFill>
                  <w14:solidFill>
                    <w14:schemeClr w14:val="tx1"/>
                  </w14:solidFill>
                </w14:textFill>
              </w:rPr>
              <w:t>项目平面布置图见附图3，本</w:t>
            </w:r>
            <w:r>
              <w:rPr>
                <w:rFonts w:hint="eastAsia"/>
                <w:color w:val="000000" w:themeColor="text1"/>
                <w:sz w:val="24"/>
                <w14:textFill>
                  <w14:solidFill>
                    <w14:schemeClr w14:val="tx1"/>
                  </w14:solidFill>
                </w14:textFill>
              </w:rPr>
              <w:t>项目工程构成</w:t>
            </w:r>
            <w:r>
              <w:rPr>
                <w:color w:val="000000" w:themeColor="text1"/>
                <w:sz w:val="24"/>
                <w14:textFill>
                  <w14:solidFill>
                    <w14:schemeClr w14:val="tx1"/>
                  </w14:solidFill>
                </w14:textFill>
              </w:rPr>
              <w:t>情况表见表2-1。</w:t>
            </w:r>
          </w:p>
          <w:p>
            <w:pPr>
              <w:spacing w:line="360" w:lineRule="auto"/>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表2-1 项目工程构成一览表</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0"/>
              <w:gridCol w:w="432"/>
              <w:gridCol w:w="1057"/>
              <w:gridCol w:w="848"/>
              <w:gridCol w:w="5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49" w:type="pct"/>
                  <w:vAlign w:val="center"/>
                </w:tcPr>
                <w:p>
                  <w:pPr>
                    <w:widowControl/>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项目类别</w:t>
                  </w:r>
                </w:p>
              </w:tc>
              <w:tc>
                <w:tcPr>
                  <w:tcW w:w="855" w:type="pct"/>
                  <w:gridSpan w:val="2"/>
                  <w:vAlign w:val="center"/>
                </w:tcPr>
                <w:p>
                  <w:pPr>
                    <w:widowControl/>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3496" w:type="pct"/>
                  <w:gridSpan w:val="2"/>
                  <w:vAlign w:val="center"/>
                </w:tcPr>
                <w:p>
                  <w:pPr>
                    <w:widowControl/>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工程组成内容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649" w:type="pct"/>
                  <w:vMerge w:val="restar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主体工程</w:t>
                  </w:r>
                </w:p>
              </w:tc>
              <w:tc>
                <w:tcPr>
                  <w:tcW w:w="855" w:type="pct"/>
                  <w:gridSpan w:val="2"/>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3496" w:type="pct"/>
                  <w:gridSpan w:val="2"/>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pacing w:val="-1"/>
                      <w:kern w:val="0"/>
                      <w:position w:val="-1"/>
                      <w:szCs w:val="21"/>
                      <w14:textFill>
                        <w14:solidFill>
                          <w14:schemeClr w14:val="tx1"/>
                        </w14:solidFill>
                      </w14:textFill>
                    </w:rPr>
                    <w:t>租用</w:t>
                  </w:r>
                  <w:r>
                    <w:rPr>
                      <w:rFonts w:hint="eastAsia"/>
                      <w:color w:val="000000" w:themeColor="text1"/>
                      <w:szCs w:val="21"/>
                      <w14:textFill>
                        <w14:solidFill>
                          <w14:schemeClr w14:val="tx1"/>
                        </w14:solidFill>
                      </w14:textFill>
                    </w:rPr>
                    <w:t>厂房作为生产车间</w:t>
                  </w:r>
                  <w:r>
                    <w:rPr>
                      <w:rFonts w:hint="eastAsia"/>
                      <w:color w:val="000000" w:themeColor="text1"/>
                      <w:spacing w:val="-1"/>
                      <w:kern w:val="0"/>
                      <w:position w:val="-1"/>
                      <w:szCs w:val="21"/>
                      <w14:textFill>
                        <w14:solidFill>
                          <w14:schemeClr w14:val="tx1"/>
                        </w14:solidFill>
                      </w14:textFill>
                    </w:rPr>
                    <w:t>，生产车间层高为</w:t>
                  </w:r>
                  <w:r>
                    <w:rPr>
                      <w:color w:val="000000" w:themeColor="text1"/>
                      <w:spacing w:val="-1"/>
                      <w:kern w:val="0"/>
                      <w:position w:val="-1"/>
                      <w:szCs w:val="21"/>
                      <w14:textFill>
                        <w14:solidFill>
                          <w14:schemeClr w14:val="tx1"/>
                        </w14:solidFill>
                      </w14:textFill>
                    </w:rPr>
                    <w:t>6</w:t>
                  </w:r>
                  <w:r>
                    <w:rPr>
                      <w:rFonts w:hint="eastAsia"/>
                      <w:color w:val="000000" w:themeColor="text1"/>
                      <w:spacing w:val="-1"/>
                      <w:kern w:val="0"/>
                      <w:position w:val="-1"/>
                      <w:szCs w:val="21"/>
                      <w14:textFill>
                        <w14:solidFill>
                          <w14:schemeClr w14:val="tx1"/>
                        </w14:solidFill>
                      </w14:textFill>
                    </w:rPr>
                    <w:t>m，占地面积</w:t>
                  </w:r>
                  <w:r>
                    <w:rPr>
                      <w:color w:val="000000" w:themeColor="text1"/>
                      <w:spacing w:val="-1"/>
                      <w:kern w:val="0"/>
                      <w:position w:val="-1"/>
                      <w:szCs w:val="21"/>
                      <w14:textFill>
                        <w14:solidFill>
                          <w14:schemeClr w14:val="tx1"/>
                        </w14:solidFill>
                      </w14:textFill>
                    </w:rPr>
                    <w:t>5467m</w:t>
                  </w:r>
                  <w:r>
                    <w:rPr>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，建筑面积</w:t>
                  </w:r>
                  <w:r>
                    <w:rPr>
                      <w:color w:val="000000" w:themeColor="text1"/>
                      <w:spacing w:val="-1"/>
                      <w:kern w:val="0"/>
                      <w:position w:val="-1"/>
                      <w:szCs w:val="21"/>
                      <w14:textFill>
                        <w14:solidFill>
                          <w14:schemeClr w14:val="tx1"/>
                        </w14:solidFill>
                      </w14:textFill>
                    </w:rPr>
                    <w:t>3020m</w:t>
                  </w:r>
                  <w:r>
                    <w:rPr>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；主要设置木工区、焊接区、材料区、喷漆区、晾干区、仓库等区域，生产车间内部还设有仓库、空压机房等。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855" w:type="pct"/>
                  <w:gridSpan w:val="2"/>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办公室</w:t>
                  </w:r>
                </w:p>
              </w:tc>
              <w:tc>
                <w:tcPr>
                  <w:tcW w:w="3496" w:type="pct"/>
                  <w:gridSpan w:val="2"/>
                  <w:vAlign w:val="center"/>
                </w:tcPr>
                <w:p>
                  <w:pPr>
                    <w:widowControl/>
                    <w:adjustRightInd w:val="0"/>
                    <w:snapToGrid w:val="0"/>
                    <w:jc w:val="center"/>
                    <w:rPr>
                      <w:color w:val="000000" w:themeColor="text1"/>
                      <w:spacing w:val="-1"/>
                      <w:kern w:val="0"/>
                      <w:position w:val="-1"/>
                      <w:szCs w:val="21"/>
                      <w14:textFill>
                        <w14:solidFill>
                          <w14:schemeClr w14:val="tx1"/>
                        </w14:solidFill>
                      </w14:textFill>
                    </w:rPr>
                  </w:pPr>
                  <w:r>
                    <w:rPr>
                      <w:rFonts w:hint="eastAsia"/>
                      <w:color w:val="000000" w:themeColor="text1"/>
                      <w:spacing w:val="-1"/>
                      <w:kern w:val="0"/>
                      <w:position w:val="-1"/>
                      <w:szCs w:val="21"/>
                      <w14:textFill>
                        <w14:solidFill>
                          <w14:schemeClr w14:val="tx1"/>
                        </w14:solidFill>
                      </w14:textFill>
                    </w:rPr>
                    <w:t>办公室占地</w:t>
                  </w:r>
                  <w:r>
                    <w:rPr>
                      <w:color w:val="000000" w:themeColor="text1"/>
                      <w:spacing w:val="-1"/>
                      <w:kern w:val="0"/>
                      <w:position w:val="-1"/>
                      <w:szCs w:val="21"/>
                      <w14:textFill>
                        <w14:solidFill>
                          <w14:schemeClr w14:val="tx1"/>
                        </w14:solidFill>
                      </w14:textFill>
                    </w:rPr>
                    <w:t>165m</w:t>
                  </w:r>
                  <w:r>
                    <w:rPr>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，建筑面积3</w:t>
                  </w:r>
                  <w:r>
                    <w:rPr>
                      <w:color w:val="000000" w:themeColor="text1"/>
                      <w:spacing w:val="-1"/>
                      <w:kern w:val="0"/>
                      <w:position w:val="-1"/>
                      <w:szCs w:val="21"/>
                      <w14:textFill>
                        <w14:solidFill>
                          <w14:schemeClr w14:val="tx1"/>
                        </w14:solidFill>
                      </w14:textFill>
                    </w:rPr>
                    <w:t>30m</w:t>
                  </w:r>
                  <w:r>
                    <w:rPr>
                      <w:color w:val="000000" w:themeColor="text1"/>
                      <w:spacing w:val="-1"/>
                      <w:kern w:val="0"/>
                      <w:position w:val="-1"/>
                      <w:szCs w:val="21"/>
                      <w:vertAlign w:val="superscript"/>
                      <w14:textFill>
                        <w14:solidFill>
                          <w14:schemeClr w14:val="tx1"/>
                        </w14:solidFill>
                      </w14:textFill>
                    </w:rPr>
                    <w:t>2</w:t>
                  </w:r>
                  <w:r>
                    <w:rPr>
                      <w:rFonts w:hint="eastAsia"/>
                      <w:color w:val="000000" w:themeColor="text1"/>
                      <w:spacing w:val="-1"/>
                      <w:kern w:val="0"/>
                      <w:position w:val="-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pct"/>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储运工程</w:t>
                  </w:r>
                </w:p>
              </w:tc>
              <w:tc>
                <w:tcPr>
                  <w:tcW w:w="855" w:type="pct"/>
                  <w:gridSpan w:val="2"/>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仓库</w:t>
                  </w:r>
                </w:p>
              </w:tc>
              <w:tc>
                <w:tcPr>
                  <w:tcW w:w="3496" w:type="pct"/>
                  <w:gridSpan w:val="2"/>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pacing w:val="-1"/>
                      <w:kern w:val="0"/>
                      <w:position w:val="-1"/>
                      <w:szCs w:val="21"/>
                      <w14:textFill>
                        <w14:solidFill>
                          <w14:schemeClr w14:val="tx1"/>
                        </w14:solidFill>
                      </w14:textFill>
                    </w:rPr>
                    <w:t>位于</w:t>
                  </w:r>
                  <w:r>
                    <w:rPr>
                      <w:rFonts w:hint="eastAsia"/>
                      <w:color w:val="000000" w:themeColor="text1"/>
                      <w:szCs w:val="21"/>
                      <w14:textFill>
                        <w14:solidFill>
                          <w14:schemeClr w14:val="tx1"/>
                        </w14:solidFill>
                      </w14:textFill>
                    </w:rPr>
                    <w:t>生产车间</w:t>
                  </w:r>
                  <w:r>
                    <w:rPr>
                      <w:rFonts w:hint="eastAsia"/>
                      <w:color w:val="000000" w:themeColor="text1"/>
                      <w:spacing w:val="-1"/>
                      <w:kern w:val="0"/>
                      <w:position w:val="-1"/>
                      <w:szCs w:val="21"/>
                      <w14:textFill>
                        <w14:solidFill>
                          <w14:schemeClr w14:val="tx1"/>
                        </w14:solidFill>
                      </w14:textFill>
                    </w:rPr>
                    <w:t>内部，</w:t>
                  </w:r>
                  <w:r>
                    <w:rPr>
                      <w:rFonts w:hint="eastAsia"/>
                      <w:color w:val="000000" w:themeColor="text1"/>
                      <w:szCs w:val="21"/>
                      <w14:textFill>
                        <w14:solidFill>
                          <w14:schemeClr w14:val="tx1"/>
                        </w14:solidFill>
                      </w14:textFill>
                    </w:rPr>
                    <w:t>用于原料和成品的存储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辅助工程</w:t>
                  </w:r>
                </w:p>
              </w:tc>
              <w:tc>
                <w:tcPr>
                  <w:tcW w:w="855" w:type="pct"/>
                  <w:gridSpan w:val="2"/>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空压机房</w:t>
                  </w:r>
                </w:p>
              </w:tc>
              <w:tc>
                <w:tcPr>
                  <w:tcW w:w="3496" w:type="pct"/>
                  <w:gridSpan w:val="2"/>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pacing w:val="-1"/>
                      <w:kern w:val="0"/>
                      <w:position w:val="-1"/>
                      <w:szCs w:val="21"/>
                      <w14:textFill>
                        <w14:solidFill>
                          <w14:schemeClr w14:val="tx1"/>
                        </w14:solidFill>
                      </w14:textFill>
                    </w:rPr>
                    <w:t>位于厂房左侧，</w:t>
                  </w:r>
                  <w:r>
                    <w:rPr>
                      <w:rFonts w:hint="eastAsia"/>
                      <w:color w:val="000000" w:themeColor="text1"/>
                      <w:szCs w:val="21"/>
                      <w14:textFill>
                        <w14:solidFill>
                          <w14:schemeClr w14:val="tx1"/>
                        </w14:solidFill>
                      </w14:textFill>
                    </w:rPr>
                    <w:t>空压机房。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pct"/>
                  <w:vMerge w:val="restar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公用工程</w:t>
                  </w:r>
                </w:p>
              </w:tc>
              <w:tc>
                <w:tcPr>
                  <w:tcW w:w="855" w:type="pct"/>
                  <w:gridSpan w:val="2"/>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给水系统</w:t>
                  </w:r>
                </w:p>
              </w:tc>
              <w:tc>
                <w:tcPr>
                  <w:tcW w:w="3496" w:type="pct"/>
                  <w:gridSpan w:val="2"/>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市政自来水管网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855" w:type="pct"/>
                  <w:gridSpan w:val="2"/>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排水系统</w:t>
                  </w:r>
                </w:p>
              </w:tc>
              <w:tc>
                <w:tcPr>
                  <w:tcW w:w="3496" w:type="pct"/>
                  <w:gridSpan w:val="2"/>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雨污分流，雨水排入市政雨水管网，生活污水经</w:t>
                  </w:r>
                  <w:r>
                    <w:rPr>
                      <w:rFonts w:hint="eastAsia"/>
                      <w:color w:val="000000" w:themeColor="text1"/>
                      <w:szCs w:val="21"/>
                      <w14:textFill>
                        <w14:solidFill>
                          <w14:schemeClr w14:val="tx1"/>
                        </w14:solidFill>
                      </w14:textFill>
                    </w:rPr>
                    <w:t>隔油隔渣、</w:t>
                  </w:r>
                  <w:r>
                    <w:rPr>
                      <w:color w:val="000000" w:themeColor="text1"/>
                      <w:szCs w:val="21"/>
                      <w14:textFill>
                        <w14:solidFill>
                          <w14:schemeClr w14:val="tx1"/>
                        </w14:solidFill>
                      </w14:textFill>
                    </w:rPr>
                    <w:t>三级化粪池处理达标后排入市政污水管网；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855" w:type="pct"/>
                  <w:gridSpan w:val="2"/>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供电系统</w:t>
                  </w:r>
                </w:p>
              </w:tc>
              <w:tc>
                <w:tcPr>
                  <w:tcW w:w="3496" w:type="pct"/>
                  <w:gridSpan w:val="2"/>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市政电网供给，年用电量预计</w:t>
                  </w: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万kWh，不设备用发电机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9" w:type="pct"/>
                  <w:vMerge w:val="restar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环保工程</w:t>
                  </w:r>
                </w:p>
              </w:tc>
              <w:tc>
                <w:tcPr>
                  <w:tcW w:w="855" w:type="pct"/>
                  <w:gridSpan w:val="2"/>
                  <w:vMerge w:val="restar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废气处理设施</w:t>
                  </w:r>
                </w:p>
              </w:tc>
              <w:tc>
                <w:tcPr>
                  <w:tcW w:w="487" w:type="pct"/>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DA001</w:t>
                  </w:r>
                </w:p>
              </w:tc>
              <w:tc>
                <w:tcPr>
                  <w:tcW w:w="3009"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1套</w:t>
                  </w:r>
                  <w:r>
                    <w:rPr>
                      <w:rFonts w:hint="eastAsia"/>
                      <w:color w:val="000000" w:themeColor="text1"/>
                      <w:szCs w:val="21"/>
                      <w14:textFill>
                        <w14:solidFill>
                          <w14:schemeClr w14:val="tx1"/>
                        </w14:solidFill>
                      </w14:textFill>
                    </w:rPr>
                    <w:t>“布袋除尘”装置，达标废气经15</w:t>
                  </w:r>
                  <w:r>
                    <w:rPr>
                      <w:color w:val="000000" w:themeColor="text1"/>
                      <w:szCs w:val="21"/>
                      <w14:textFill>
                        <w14:solidFill>
                          <w14:schemeClr w14:val="tx1"/>
                        </w14:solidFill>
                      </w14:textFill>
                    </w:rPr>
                    <w:t>m</w:t>
                  </w:r>
                  <w:r>
                    <w:rPr>
                      <w:rFonts w:hint="eastAsia"/>
                      <w:color w:val="000000" w:themeColor="text1"/>
                      <w:szCs w:val="21"/>
                      <w14:textFill>
                        <w14:solidFill>
                          <w14:schemeClr w14:val="tx1"/>
                        </w14:solidFill>
                      </w14:textFill>
                    </w:rPr>
                    <w:t>楼顶</w:t>
                  </w:r>
                  <w:r>
                    <w:rPr>
                      <w:color w:val="000000" w:themeColor="text1"/>
                      <w:szCs w:val="21"/>
                      <w14:textFill>
                        <w14:solidFill>
                          <w14:schemeClr w14:val="tx1"/>
                        </w14:solidFill>
                      </w14:textFill>
                    </w:rPr>
                    <w:t>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9"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855" w:type="pct"/>
                  <w:gridSpan w:val="2"/>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487" w:type="pct"/>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t>
                  </w:r>
                  <w:r>
                    <w:rPr>
                      <w:color w:val="000000" w:themeColor="text1"/>
                      <w:szCs w:val="21"/>
                      <w14:textFill>
                        <w14:solidFill>
                          <w14:schemeClr w14:val="tx1"/>
                        </w14:solidFill>
                      </w14:textFill>
                    </w:rPr>
                    <w:t>A002</w:t>
                  </w:r>
                </w:p>
              </w:tc>
              <w:tc>
                <w:tcPr>
                  <w:tcW w:w="3009"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1套</w:t>
                  </w:r>
                  <w:r>
                    <w:rPr>
                      <w:rFonts w:hint="eastAsia"/>
                      <w:color w:val="000000" w:themeColor="text1"/>
                      <w:szCs w:val="21"/>
                      <w14:textFill>
                        <w14:solidFill>
                          <w14:schemeClr w14:val="tx1"/>
                        </w14:solidFill>
                      </w14:textFill>
                    </w:rPr>
                    <w:t>“水喷淋+过滤除雾器+二级活性炭吸附”装置，达标废气经15</w:t>
                  </w:r>
                  <w:r>
                    <w:rPr>
                      <w:color w:val="000000" w:themeColor="text1"/>
                      <w:szCs w:val="21"/>
                      <w14:textFill>
                        <w14:solidFill>
                          <w14:schemeClr w14:val="tx1"/>
                        </w14:solidFill>
                      </w14:textFill>
                    </w:rPr>
                    <w:t>m</w:t>
                  </w:r>
                  <w:r>
                    <w:rPr>
                      <w:rFonts w:hint="eastAsia"/>
                      <w:color w:val="000000" w:themeColor="text1"/>
                      <w:szCs w:val="21"/>
                      <w14:textFill>
                        <w14:solidFill>
                          <w14:schemeClr w14:val="tx1"/>
                        </w14:solidFill>
                      </w14:textFill>
                    </w:rPr>
                    <w:t>楼顶</w:t>
                  </w:r>
                  <w:r>
                    <w:rPr>
                      <w:color w:val="000000" w:themeColor="text1"/>
                      <w:szCs w:val="21"/>
                      <w14:textFill>
                        <w14:solidFill>
                          <w14:schemeClr w14:val="tx1"/>
                        </w14:solidFill>
                      </w14:textFill>
                    </w:rPr>
                    <w:t>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9"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855" w:type="pct"/>
                  <w:gridSpan w:val="2"/>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487" w:type="pct"/>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t>
                  </w:r>
                  <w:r>
                    <w:rPr>
                      <w:color w:val="000000" w:themeColor="text1"/>
                      <w:szCs w:val="21"/>
                      <w14:textFill>
                        <w14:solidFill>
                          <w14:schemeClr w14:val="tx1"/>
                        </w14:solidFill>
                      </w14:textFill>
                    </w:rPr>
                    <w:t>A003</w:t>
                  </w:r>
                </w:p>
              </w:tc>
              <w:tc>
                <w:tcPr>
                  <w:tcW w:w="3009"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1套</w:t>
                  </w:r>
                  <w:r>
                    <w:rPr>
                      <w:rFonts w:hint="eastAsia"/>
                      <w:color w:val="000000" w:themeColor="text1"/>
                      <w:szCs w:val="21"/>
                      <w14:textFill>
                        <w14:solidFill>
                          <w14:schemeClr w14:val="tx1"/>
                        </w14:solidFill>
                      </w14:textFill>
                    </w:rPr>
                    <w:t>“焊接烟尘净化”装置，达标废气经15</w:t>
                  </w:r>
                  <w:r>
                    <w:rPr>
                      <w:color w:val="000000" w:themeColor="text1"/>
                      <w:szCs w:val="21"/>
                      <w14:textFill>
                        <w14:solidFill>
                          <w14:schemeClr w14:val="tx1"/>
                        </w14:solidFill>
                      </w14:textFill>
                    </w:rPr>
                    <w:t>m</w:t>
                  </w:r>
                  <w:r>
                    <w:rPr>
                      <w:rFonts w:hint="eastAsia"/>
                      <w:color w:val="000000" w:themeColor="text1"/>
                      <w:szCs w:val="21"/>
                      <w14:textFill>
                        <w14:solidFill>
                          <w14:schemeClr w14:val="tx1"/>
                        </w14:solidFill>
                      </w14:textFill>
                    </w:rPr>
                    <w:t>楼顶</w:t>
                  </w:r>
                  <w:r>
                    <w:rPr>
                      <w:color w:val="000000" w:themeColor="text1"/>
                      <w:szCs w:val="21"/>
                      <w14:textFill>
                        <w14:solidFill>
                          <w14:schemeClr w14:val="tx1"/>
                        </w14:solidFill>
                      </w14:textFill>
                    </w:rPr>
                    <w:t>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49"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855" w:type="pct"/>
                  <w:gridSpan w:val="2"/>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487" w:type="pct"/>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t>
                  </w:r>
                  <w:r>
                    <w:rPr>
                      <w:color w:val="000000" w:themeColor="text1"/>
                      <w:szCs w:val="21"/>
                      <w14:textFill>
                        <w14:solidFill>
                          <w14:schemeClr w14:val="tx1"/>
                        </w14:solidFill>
                      </w14:textFill>
                    </w:rPr>
                    <w:t>A004</w:t>
                  </w:r>
                </w:p>
              </w:tc>
              <w:tc>
                <w:tcPr>
                  <w:tcW w:w="3009"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1套</w:t>
                  </w:r>
                  <w:r>
                    <w:rPr>
                      <w:rFonts w:hint="eastAsia"/>
                      <w:color w:val="000000" w:themeColor="text1"/>
                      <w:szCs w:val="21"/>
                      <w14:textFill>
                        <w14:solidFill>
                          <w14:schemeClr w14:val="tx1"/>
                        </w14:solidFill>
                      </w14:textFill>
                    </w:rPr>
                    <w:t>“高效油烟净化器”处理后经</w:t>
                  </w:r>
                  <w:r>
                    <w:rPr>
                      <w:color w:val="000000" w:themeColor="text1"/>
                      <w:szCs w:val="21"/>
                      <w14:textFill>
                        <w14:solidFill>
                          <w14:schemeClr w14:val="tx1"/>
                        </w14:solidFill>
                      </w14:textFill>
                    </w:rPr>
                    <w:t>10</w:t>
                  </w:r>
                  <w:r>
                    <w:rPr>
                      <w:rFonts w:hint="eastAsia"/>
                      <w:color w:val="000000" w:themeColor="text1"/>
                      <w:szCs w:val="21"/>
                      <w14:textFill>
                        <w14:solidFill>
                          <w14:schemeClr w14:val="tx1"/>
                        </w14:solidFill>
                      </w14:textFill>
                    </w:rPr>
                    <w:t>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855" w:type="pct"/>
                  <w:gridSpan w:val="2"/>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噪声治理</w:t>
                  </w:r>
                </w:p>
              </w:tc>
              <w:tc>
                <w:tcPr>
                  <w:tcW w:w="3496" w:type="pct"/>
                  <w:gridSpan w:val="2"/>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合理布局，设备选型，重点噪声源采取隔声、减震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248" w:type="pct"/>
                  <w:vMerge w:val="restar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固废处理</w:t>
                  </w:r>
                </w:p>
              </w:tc>
              <w:tc>
                <w:tcPr>
                  <w:tcW w:w="607"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一般固废</w:t>
                  </w:r>
                </w:p>
              </w:tc>
              <w:tc>
                <w:tcPr>
                  <w:tcW w:w="3496" w:type="pct"/>
                  <w:gridSpan w:val="2"/>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一般固废暂存间1个(10m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)，设置在生产厂房内，</w:t>
                  </w:r>
                  <w:r>
                    <w:rPr>
                      <w:color w:val="000000" w:themeColor="text1"/>
                      <w:szCs w:val="21"/>
                      <w14:textFill>
                        <w14:solidFill>
                          <w14:schemeClr w14:val="tx1"/>
                        </w14:solidFill>
                      </w14:textFill>
                    </w:rPr>
                    <w:t>废包装材料</w:t>
                  </w:r>
                  <w:r>
                    <w:rPr>
                      <w:rFonts w:hint="eastAsia"/>
                      <w:color w:val="000000" w:themeColor="text1"/>
                      <w:szCs w:val="21"/>
                      <w14:textFill>
                        <w14:solidFill>
                          <w14:schemeClr w14:val="tx1"/>
                        </w14:solidFill>
                      </w14:textFill>
                    </w:rPr>
                    <w:t>等</w:t>
                  </w:r>
                  <w:r>
                    <w:rPr>
                      <w:color w:val="000000" w:themeColor="text1"/>
                      <w:szCs w:val="21"/>
                      <w14:textFill>
                        <w14:solidFill>
                          <w14:schemeClr w14:val="tx1"/>
                        </w14:solidFill>
                      </w14:textFill>
                    </w:rPr>
                    <w:t>拟定期交由专业公司统一回收处理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49"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248"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607"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危险废物</w:t>
                  </w:r>
                </w:p>
              </w:tc>
              <w:tc>
                <w:tcPr>
                  <w:tcW w:w="3496" w:type="pct"/>
                  <w:gridSpan w:val="2"/>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危废暂存间1个(20m</w:t>
                  </w:r>
                  <w:r>
                    <w:rPr>
                      <w:rFonts w:hint="eastAsia"/>
                      <w:color w:val="000000" w:themeColor="text1"/>
                      <w:szCs w:val="21"/>
                      <w:vertAlign w:val="superscript"/>
                      <w14:textFill>
                        <w14:solidFill>
                          <w14:schemeClr w14:val="tx1"/>
                        </w14:solidFill>
                      </w14:textFill>
                    </w:rPr>
                    <w:t>2</w:t>
                  </w:r>
                  <w:r>
                    <w:rPr>
                      <w:rFonts w:hint="eastAsia"/>
                      <w:color w:val="000000" w:themeColor="text1"/>
                      <w:szCs w:val="21"/>
                      <w14:textFill>
                        <w14:solidFill>
                          <w14:schemeClr w14:val="tx1"/>
                        </w14:solidFill>
                      </w14:textFill>
                    </w:rPr>
                    <w:t>)，设置在生产厂房内，</w:t>
                  </w:r>
                  <w:r>
                    <w:rPr>
                      <w:color w:val="000000" w:themeColor="text1"/>
                      <w:szCs w:val="21"/>
                      <w14:textFill>
                        <w14:solidFill>
                          <w14:schemeClr w14:val="tx1"/>
                        </w14:solidFill>
                      </w14:textFill>
                    </w:rPr>
                    <w:t>废活性炭、废机油</w:t>
                  </w:r>
                  <w:r>
                    <w:rPr>
                      <w:rFonts w:hint="eastAsia"/>
                      <w:color w:val="000000" w:themeColor="text1"/>
                      <w:szCs w:val="21"/>
                      <w14:textFill>
                        <w14:solidFill>
                          <w14:schemeClr w14:val="tx1"/>
                        </w14:solidFill>
                      </w14:textFill>
                    </w:rPr>
                    <w:t>等</w:t>
                  </w:r>
                  <w:r>
                    <w:rPr>
                      <w:color w:val="000000" w:themeColor="text1"/>
                      <w:szCs w:val="21"/>
                      <w14:textFill>
                        <w14:solidFill>
                          <w14:schemeClr w14:val="tx1"/>
                        </w14:solidFill>
                      </w14:textFill>
                    </w:rPr>
                    <w:t>定期交由有危险废物处理资质的单位</w:t>
                  </w:r>
                  <w:r>
                    <w:rPr>
                      <w:rFonts w:hint="eastAsia"/>
                      <w:color w:val="000000" w:themeColor="text1"/>
                      <w:szCs w:val="21"/>
                      <w14:textFill>
                        <w14:solidFill>
                          <w14:schemeClr w14:val="tx1"/>
                        </w14:solidFill>
                      </w14:textFill>
                    </w:rPr>
                    <w:t>收集</w:t>
                  </w:r>
                  <w:r>
                    <w:rPr>
                      <w:color w:val="000000" w:themeColor="text1"/>
                      <w:szCs w:val="21"/>
                      <w14:textFill>
                        <w14:solidFill>
                          <w14:schemeClr w14:val="tx1"/>
                        </w14:solidFill>
                      </w14:textFill>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9"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248" w:type="pct"/>
                  <w:vMerge w:val="continue"/>
                  <w:vAlign w:val="center"/>
                </w:tcPr>
                <w:p>
                  <w:pPr>
                    <w:widowControl/>
                    <w:adjustRightInd w:val="0"/>
                    <w:snapToGrid w:val="0"/>
                    <w:jc w:val="center"/>
                    <w:rPr>
                      <w:color w:val="000000" w:themeColor="text1"/>
                      <w:szCs w:val="21"/>
                      <w14:textFill>
                        <w14:solidFill>
                          <w14:schemeClr w14:val="tx1"/>
                        </w14:solidFill>
                      </w14:textFill>
                    </w:rPr>
                  </w:pPr>
                </w:p>
              </w:tc>
              <w:tc>
                <w:tcPr>
                  <w:tcW w:w="607"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3496" w:type="pct"/>
                  <w:gridSpan w:val="2"/>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交由环卫部门统一清运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49" w:type="pct"/>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依托工程</w:t>
                  </w:r>
                </w:p>
              </w:tc>
              <w:tc>
                <w:tcPr>
                  <w:tcW w:w="855" w:type="pct"/>
                  <w:gridSpan w:val="2"/>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w:t>
                  </w:r>
                </w:p>
              </w:tc>
              <w:tc>
                <w:tcPr>
                  <w:tcW w:w="3496" w:type="pct"/>
                  <w:gridSpan w:val="2"/>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生活污水处理依托福田镇生活污水处理厂</w:t>
                  </w:r>
                </w:p>
              </w:tc>
            </w:tr>
          </w:tbl>
          <w:p>
            <w:pPr>
              <w:spacing w:line="360" w:lineRule="auto"/>
              <w:ind w:firstLine="482" w:firstLineChars="200"/>
              <w:rPr>
                <w:b/>
                <w:color w:val="000000" w:themeColor="text1"/>
                <w:kern w:val="0"/>
                <w:sz w:val="24"/>
                <w14:textFill>
                  <w14:solidFill>
                    <w14:schemeClr w14:val="tx1"/>
                  </w14:solidFill>
                </w14:textFill>
              </w:rPr>
            </w:pPr>
            <w:r>
              <w:rPr>
                <w:b/>
                <w:color w:val="000000" w:themeColor="text1"/>
                <w:sz w:val="24"/>
                <w14:textFill>
                  <w14:solidFill>
                    <w14:schemeClr w14:val="tx1"/>
                  </w14:solidFill>
                </w14:textFill>
              </w:rPr>
              <w:t>2</w:t>
            </w:r>
            <w:r>
              <w:rPr>
                <w:b/>
                <w:color w:val="000000" w:themeColor="text1"/>
                <w:kern w:val="0"/>
                <w:sz w:val="24"/>
                <w14:textFill>
                  <w14:solidFill>
                    <w14:schemeClr w14:val="tx1"/>
                  </w14:solidFill>
                </w14:textFill>
              </w:rPr>
              <w:t>、主要产品及</w:t>
            </w:r>
            <w:r>
              <w:rPr>
                <w:rFonts w:hint="eastAsia"/>
                <w:b/>
                <w:color w:val="000000" w:themeColor="text1"/>
                <w:kern w:val="0"/>
                <w:sz w:val="24"/>
                <w14:textFill>
                  <w14:solidFill>
                    <w14:schemeClr w14:val="tx1"/>
                  </w14:solidFill>
                </w14:textFill>
              </w:rPr>
              <w:t>产量</w:t>
            </w:r>
          </w:p>
          <w:p>
            <w:pPr>
              <w:spacing w:line="360" w:lineRule="auto"/>
              <w:ind w:firstLine="470" w:firstLineChars="196"/>
              <w:rPr>
                <w:color w:val="000000" w:themeColor="text1"/>
                <w:sz w:val="24"/>
                <w14:textFill>
                  <w14:solidFill>
                    <w14:schemeClr w14:val="tx1"/>
                  </w14:solidFill>
                </w14:textFill>
              </w:rPr>
            </w:pPr>
            <w:r>
              <w:rPr>
                <w:color w:val="000000" w:themeColor="text1"/>
                <w:sz w:val="24"/>
                <w14:textFill>
                  <w14:solidFill>
                    <w14:schemeClr w14:val="tx1"/>
                  </w14:solidFill>
                </w14:textFill>
              </w:rPr>
              <w:t>本项目主要产品</w:t>
            </w:r>
            <w:r>
              <w:rPr>
                <w:rFonts w:hint="eastAsia"/>
                <w:color w:val="000000" w:themeColor="text1"/>
                <w:sz w:val="24"/>
                <w14:textFill>
                  <w14:solidFill>
                    <w14:schemeClr w14:val="tx1"/>
                  </w14:solidFill>
                </w14:textFill>
              </w:rPr>
              <w:t>及产量</w:t>
            </w:r>
            <w:r>
              <w:rPr>
                <w:color w:val="000000" w:themeColor="text1"/>
                <w:sz w:val="24"/>
                <w14:textFill>
                  <w14:solidFill>
                    <w14:schemeClr w14:val="tx1"/>
                  </w14:solidFill>
                </w14:textFill>
              </w:rPr>
              <w:t>见表2-</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w:t>
            </w:r>
          </w:p>
          <w:p>
            <w:pPr>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2</w:t>
            </w:r>
            <w:r>
              <w:rPr>
                <w:b/>
                <w:bCs/>
                <w:color w:val="000000" w:themeColor="text1"/>
                <w:szCs w:val="21"/>
                <w14:textFill>
                  <w14:solidFill>
                    <w14:schemeClr w14:val="tx1"/>
                  </w14:solidFill>
                </w14:textFill>
              </w:rPr>
              <w:t xml:space="preserve"> 本项目主要产品产量一览表</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717"/>
              <w:gridCol w:w="1151"/>
              <w:gridCol w:w="5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66"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产品</w:t>
                  </w:r>
                  <w:r>
                    <w:rPr>
                      <w:b/>
                      <w:color w:val="000000" w:themeColor="text1"/>
                      <w:sz w:val="21"/>
                      <w:szCs w:val="21"/>
                      <w14:textFill>
                        <w14:solidFill>
                          <w14:schemeClr w14:val="tx1"/>
                        </w14:solidFill>
                      </w14:textFill>
                    </w:rPr>
                    <w:t>名称</w:t>
                  </w:r>
                </w:p>
              </w:tc>
              <w:tc>
                <w:tcPr>
                  <w:tcW w:w="1073" w:type="pct"/>
                  <w:gridSpan w:val="2"/>
                  <w:vAlign w:val="center"/>
                </w:tcPr>
                <w:p>
                  <w:pPr>
                    <w:pStyle w:val="55"/>
                    <w:snapToGrid w:val="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年</w:t>
                  </w:r>
                  <w:r>
                    <w:rPr>
                      <w:rFonts w:hint="eastAsia"/>
                      <w:b/>
                      <w:color w:val="000000" w:themeColor="text1"/>
                      <w:sz w:val="21"/>
                      <w:szCs w:val="21"/>
                      <w14:textFill>
                        <w14:solidFill>
                          <w14:schemeClr w14:val="tx1"/>
                        </w14:solidFill>
                      </w14:textFill>
                    </w:rPr>
                    <w:t>产</w:t>
                  </w:r>
                  <w:r>
                    <w:rPr>
                      <w:b/>
                      <w:color w:val="000000" w:themeColor="text1"/>
                      <w:sz w:val="21"/>
                      <w:szCs w:val="21"/>
                      <w14:textFill>
                        <w14:solidFill>
                          <w14:schemeClr w14:val="tx1"/>
                        </w14:solidFill>
                      </w14:textFill>
                    </w:rPr>
                    <w:t>量</w:t>
                  </w:r>
                </w:p>
              </w:tc>
              <w:tc>
                <w:tcPr>
                  <w:tcW w:w="3261"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产品照片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pct"/>
                  <w:vMerge w:val="restart"/>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木制品</w:t>
                  </w:r>
                </w:p>
              </w:tc>
              <w:tc>
                <w:tcPr>
                  <w:tcW w:w="412" w:type="pct"/>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数量</w:t>
                  </w:r>
                </w:p>
              </w:tc>
              <w:tc>
                <w:tcPr>
                  <w:tcW w:w="66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200</w:t>
                  </w:r>
                  <w:r>
                    <w:rPr>
                      <w:rFonts w:hint="eastAsia"/>
                      <w:color w:val="000000" w:themeColor="text1"/>
                      <w14:textFill>
                        <w14:solidFill>
                          <w14:schemeClr w14:val="tx1"/>
                        </w14:solidFill>
                      </w14:textFill>
                    </w:rPr>
                    <w:t>万件</w:t>
                  </w:r>
                </w:p>
              </w:tc>
              <w:tc>
                <w:tcPr>
                  <w:tcW w:w="3261" w:type="pct"/>
                  <w:vMerge w:val="restart"/>
                </w:tcPr>
                <w:p>
                  <w:pPr>
                    <w:jc w:val="center"/>
                    <w:rPr>
                      <w:color w:val="000000" w:themeColor="text1"/>
                      <w14:textFill>
                        <w14:solidFill>
                          <w14:schemeClr w14:val="tx1"/>
                        </w14:solidFill>
                      </w14:textFill>
                    </w:rPr>
                  </w:pPr>
                  <w:r>
                    <w:t xml:space="preserve"> </w:t>
                  </w:r>
                  <w:r>
                    <w:drawing>
                      <wp:inline distT="0" distB="0" distL="0" distR="0">
                        <wp:extent cx="950595" cy="719455"/>
                        <wp:effectExtent l="0" t="0" r="1905" b="444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r:embed="rId18"/>
                                <a:stretch>
                                  <a:fillRect/>
                                </a:stretch>
                              </pic:blipFill>
                              <pic:spPr>
                                <a:xfrm>
                                  <a:off x="0" y="0"/>
                                  <a:ext cx="950846" cy="720000"/>
                                </a:xfrm>
                                <a:prstGeom prst="rect">
                                  <a:avLst/>
                                </a:prstGeom>
                              </pic:spPr>
                            </pic:pic>
                          </a:graphicData>
                        </a:graphic>
                      </wp:inline>
                    </w:drawing>
                  </w:r>
                  <w:r>
                    <w:t xml:space="preserve"> </w:t>
                  </w:r>
                  <w:r>
                    <w:drawing>
                      <wp:inline distT="0" distB="0" distL="0" distR="0">
                        <wp:extent cx="988060" cy="719455"/>
                        <wp:effectExtent l="0" t="0" r="2540" b="444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19"/>
                                <a:stretch>
                                  <a:fillRect/>
                                </a:stretch>
                              </pic:blipFill>
                              <pic:spPr>
                                <a:xfrm>
                                  <a:off x="0" y="0"/>
                                  <a:ext cx="988257" cy="720000"/>
                                </a:xfrm>
                                <a:prstGeom prst="rect">
                                  <a:avLst/>
                                </a:prstGeom>
                              </pic:spPr>
                            </pic:pic>
                          </a:graphicData>
                        </a:graphic>
                      </wp:inline>
                    </w:drawing>
                  </w:r>
                  <w:r>
                    <w:t xml:space="preserve"> </w:t>
                  </w:r>
                  <w:r>
                    <w:drawing>
                      <wp:inline distT="0" distB="0" distL="0" distR="0">
                        <wp:extent cx="964565" cy="719455"/>
                        <wp:effectExtent l="0" t="0" r="6985" b="44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20"/>
                                <a:stretch>
                                  <a:fillRect/>
                                </a:stretch>
                              </pic:blipFill>
                              <pic:spPr>
                                <a:xfrm flipH="1">
                                  <a:off x="0" y="0"/>
                                  <a:ext cx="965178" cy="7200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pct"/>
                  <w:vMerge w:val="continue"/>
                  <w:vAlign w:val="center"/>
                </w:tcPr>
                <w:p>
                  <w:pPr>
                    <w:jc w:val="center"/>
                    <w:rPr>
                      <w:rFonts w:ascii="宋体" w:hAnsi="宋体" w:cs="宋体"/>
                      <w:color w:val="000000" w:themeColor="text1"/>
                      <w14:textFill>
                        <w14:solidFill>
                          <w14:schemeClr w14:val="tx1"/>
                        </w14:solidFill>
                      </w14:textFill>
                    </w:rPr>
                  </w:pPr>
                </w:p>
              </w:tc>
              <w:tc>
                <w:tcPr>
                  <w:tcW w:w="412" w:type="pct"/>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规格</w:t>
                  </w:r>
                </w:p>
              </w:tc>
              <w:tc>
                <w:tcPr>
                  <w:tcW w:w="661" w:type="pct"/>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定制</w:t>
                  </w:r>
                </w:p>
              </w:tc>
              <w:tc>
                <w:tcPr>
                  <w:tcW w:w="3261" w:type="pct"/>
                  <w:vMerge w:val="continue"/>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6" w:type="pct"/>
                  <w:vMerge w:val="continue"/>
                  <w:vAlign w:val="center"/>
                </w:tcPr>
                <w:p>
                  <w:pPr>
                    <w:jc w:val="center"/>
                    <w:rPr>
                      <w:rFonts w:ascii="宋体" w:hAnsi="宋体" w:cs="宋体"/>
                      <w:color w:val="000000" w:themeColor="text1"/>
                      <w14:textFill>
                        <w14:solidFill>
                          <w14:schemeClr w14:val="tx1"/>
                        </w14:solidFill>
                      </w14:textFill>
                    </w:rPr>
                  </w:pPr>
                </w:p>
              </w:tc>
              <w:tc>
                <w:tcPr>
                  <w:tcW w:w="412" w:type="pct"/>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重量</w:t>
                  </w:r>
                </w:p>
              </w:tc>
              <w:tc>
                <w:tcPr>
                  <w:tcW w:w="661" w:type="pct"/>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定制</w:t>
                  </w:r>
                </w:p>
              </w:tc>
              <w:tc>
                <w:tcPr>
                  <w:tcW w:w="3261" w:type="pct"/>
                  <w:vMerge w:val="continue"/>
                </w:tcPr>
                <w:p>
                  <w:pPr>
                    <w:jc w:val="center"/>
                    <w:rPr>
                      <w:color w:val="000000" w:themeColor="text1"/>
                      <w14:textFill>
                        <w14:solidFill>
                          <w14:schemeClr w14:val="tx1"/>
                        </w14:solidFill>
                      </w14:textFill>
                    </w:rPr>
                  </w:pPr>
                </w:p>
              </w:tc>
            </w:tr>
          </w:tbl>
          <w:p>
            <w:pPr>
              <w:spacing w:line="360" w:lineRule="auto"/>
              <w:ind w:firstLine="472" w:firstLineChars="196"/>
              <w:rPr>
                <w:b/>
                <w:color w:val="000000" w:themeColor="text1"/>
                <w:sz w:val="24"/>
                <w14:textFill>
                  <w14:solidFill>
                    <w14:schemeClr w14:val="tx1"/>
                  </w14:solidFill>
                </w14:textFill>
              </w:rPr>
            </w:pPr>
            <w:r>
              <w:rPr>
                <w:b/>
                <w:color w:val="000000" w:themeColor="text1"/>
                <w:sz w:val="24"/>
                <w14:textFill>
                  <w14:solidFill>
                    <w14:schemeClr w14:val="tx1"/>
                  </w14:solidFill>
                </w14:textFill>
              </w:rPr>
              <w:t>3、</w:t>
            </w:r>
            <w:r>
              <w:rPr>
                <w:rFonts w:hint="eastAsia"/>
                <w:b/>
                <w:color w:val="000000" w:themeColor="text1"/>
                <w:sz w:val="24"/>
                <w14:textFill>
                  <w14:solidFill>
                    <w14:schemeClr w14:val="tx1"/>
                  </w14:solidFill>
                </w14:textFill>
              </w:rPr>
              <w:t>主要原辅料</w:t>
            </w:r>
          </w:p>
          <w:p>
            <w:pPr>
              <w:spacing w:line="360" w:lineRule="auto"/>
              <w:ind w:firstLine="470" w:firstLineChars="196"/>
              <w:rPr>
                <w:b/>
                <w:bCs/>
                <w:color w:val="000000" w:themeColor="text1"/>
                <w:szCs w:val="21"/>
                <w14:textFill>
                  <w14:solidFill>
                    <w14:schemeClr w14:val="tx1"/>
                  </w14:solidFill>
                </w14:textFill>
              </w:rPr>
            </w:pPr>
            <w:r>
              <w:rPr>
                <w:color w:val="000000" w:themeColor="text1"/>
                <w:sz w:val="24"/>
                <w14:textFill>
                  <w14:solidFill>
                    <w14:schemeClr w14:val="tx1"/>
                  </w14:solidFill>
                </w14:textFill>
              </w:rPr>
              <w:t>本项目主要</w:t>
            </w:r>
            <w:r>
              <w:rPr>
                <w:rFonts w:hint="eastAsia"/>
                <w:color w:val="000000" w:themeColor="text1"/>
                <w:sz w:val="24"/>
                <w14:textFill>
                  <w14:solidFill>
                    <w14:schemeClr w14:val="tx1"/>
                  </w14:solidFill>
                </w14:textFill>
              </w:rPr>
              <w:t>原辅料及使用量详</w:t>
            </w:r>
            <w:r>
              <w:rPr>
                <w:color w:val="000000" w:themeColor="text1"/>
                <w:sz w:val="24"/>
                <w14:textFill>
                  <w14:solidFill>
                    <w14:schemeClr w14:val="tx1"/>
                  </w14:solidFill>
                </w14:textFill>
              </w:rPr>
              <w:t>见表2-3。</w:t>
            </w:r>
          </w:p>
          <w:p>
            <w:pPr>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3</w:t>
            </w:r>
            <w:r>
              <w:rPr>
                <w:b/>
                <w:bCs/>
                <w:color w:val="000000" w:themeColor="text1"/>
                <w:szCs w:val="21"/>
                <w14:textFill>
                  <w14:solidFill>
                    <w14:schemeClr w14:val="tx1"/>
                  </w14:solidFill>
                </w14:textFill>
              </w:rPr>
              <w:t xml:space="preserve">  项目使用的主要原辅料一览表</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556"/>
              <w:gridCol w:w="1381"/>
              <w:gridCol w:w="885"/>
              <w:gridCol w:w="1219"/>
              <w:gridCol w:w="1254"/>
              <w:gridCol w:w="1238"/>
              <w:gridCol w:w="1162"/>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9" w:type="pct"/>
                  <w:vAlign w:val="center"/>
                </w:tcPr>
                <w:p>
                  <w:pPr>
                    <w:pStyle w:val="55"/>
                    <w:snapToGrid w:val="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793" w:type="pct"/>
                  <w:vAlign w:val="center"/>
                </w:tcPr>
                <w:p>
                  <w:pPr>
                    <w:pStyle w:val="55"/>
                    <w:snapToGrid w:val="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原辅料名称</w:t>
                  </w:r>
                </w:p>
              </w:tc>
              <w:tc>
                <w:tcPr>
                  <w:tcW w:w="508"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形态</w:t>
                  </w:r>
                </w:p>
              </w:tc>
              <w:tc>
                <w:tcPr>
                  <w:tcW w:w="700"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包装方式</w:t>
                  </w:r>
                </w:p>
              </w:tc>
              <w:tc>
                <w:tcPr>
                  <w:tcW w:w="720"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年用量</w:t>
                  </w:r>
                </w:p>
              </w:tc>
              <w:tc>
                <w:tcPr>
                  <w:tcW w:w="711"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最大</w:t>
                  </w:r>
                  <w:r>
                    <w:rPr>
                      <w:b/>
                      <w:color w:val="000000" w:themeColor="text1"/>
                      <w:sz w:val="21"/>
                      <w:szCs w:val="21"/>
                      <w14:textFill>
                        <w14:solidFill>
                          <w14:schemeClr w14:val="tx1"/>
                        </w14:solidFill>
                      </w14:textFill>
                    </w:rPr>
                    <w:t>储存量</w:t>
                  </w:r>
                </w:p>
              </w:tc>
              <w:tc>
                <w:tcPr>
                  <w:tcW w:w="667"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存放位置</w:t>
                  </w:r>
                </w:p>
              </w:tc>
              <w:tc>
                <w:tcPr>
                  <w:tcW w:w="581"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使用工序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9"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w:t>
                  </w:r>
                </w:p>
              </w:tc>
              <w:tc>
                <w:tcPr>
                  <w:tcW w:w="793" w:type="pct"/>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板材</w:t>
                  </w:r>
                </w:p>
              </w:tc>
              <w:tc>
                <w:tcPr>
                  <w:tcW w:w="508"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00"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散装</w:t>
                  </w:r>
                </w:p>
              </w:tc>
              <w:tc>
                <w:tcPr>
                  <w:tcW w:w="720"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2500</w:t>
                  </w:r>
                  <w:r>
                    <w:rPr>
                      <w:rFonts w:hint="eastAsia"/>
                      <w:color w:val="000000" w:themeColor="text1"/>
                      <w:sz w:val="21"/>
                      <w:szCs w:val="21"/>
                      <w14:textFill>
                        <w14:solidFill>
                          <w14:schemeClr w14:val="tx1"/>
                        </w14:solidFill>
                      </w14:textFill>
                    </w:rPr>
                    <w:t>t</w:t>
                  </w:r>
                </w:p>
              </w:tc>
              <w:tc>
                <w:tcPr>
                  <w:tcW w:w="711"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w:t>
                  </w:r>
                  <w:r>
                    <w:rPr>
                      <w:rFonts w:hint="eastAsia"/>
                      <w:color w:val="000000" w:themeColor="text1"/>
                      <w:sz w:val="21"/>
                      <w:szCs w:val="21"/>
                      <w14:textFill>
                        <w14:solidFill>
                          <w14:schemeClr w14:val="tx1"/>
                        </w14:solidFill>
                      </w14:textFill>
                    </w:rPr>
                    <w:t>t</w:t>
                  </w:r>
                </w:p>
              </w:tc>
              <w:tc>
                <w:tcPr>
                  <w:tcW w:w="667"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仓库</w:t>
                  </w:r>
                </w:p>
              </w:tc>
              <w:tc>
                <w:tcPr>
                  <w:tcW w:w="581"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全过程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9"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793" w:type="pct"/>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亚克力板</w:t>
                  </w:r>
                </w:p>
              </w:tc>
              <w:tc>
                <w:tcPr>
                  <w:tcW w:w="508"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00"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散装</w:t>
                  </w:r>
                </w:p>
              </w:tc>
              <w:tc>
                <w:tcPr>
                  <w:tcW w:w="720"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25</w:t>
                  </w:r>
                  <w:r>
                    <w:rPr>
                      <w:rFonts w:hint="eastAsia"/>
                      <w:color w:val="000000" w:themeColor="text1"/>
                      <w:sz w:val="21"/>
                      <w:szCs w:val="21"/>
                      <w14:textFill>
                        <w14:solidFill>
                          <w14:schemeClr w14:val="tx1"/>
                        </w14:solidFill>
                      </w14:textFill>
                    </w:rPr>
                    <w:t>t</w:t>
                  </w:r>
                </w:p>
              </w:tc>
              <w:tc>
                <w:tcPr>
                  <w:tcW w:w="711"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.5</w:t>
                  </w:r>
                  <w:r>
                    <w:rPr>
                      <w:rFonts w:hint="eastAsia"/>
                      <w:color w:val="000000" w:themeColor="text1"/>
                      <w:sz w:val="21"/>
                      <w:szCs w:val="21"/>
                      <w14:textFill>
                        <w14:solidFill>
                          <w14:schemeClr w14:val="tx1"/>
                        </w14:solidFill>
                      </w14:textFill>
                    </w:rPr>
                    <w:t>t</w:t>
                  </w:r>
                </w:p>
              </w:tc>
              <w:tc>
                <w:tcPr>
                  <w:tcW w:w="667"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仓库</w:t>
                  </w:r>
                </w:p>
              </w:tc>
              <w:tc>
                <w:tcPr>
                  <w:tcW w:w="581"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组装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9"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w:t>
                  </w:r>
                </w:p>
              </w:tc>
              <w:tc>
                <w:tcPr>
                  <w:tcW w:w="793" w:type="pct"/>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水性油漆</w:t>
                  </w:r>
                </w:p>
              </w:tc>
              <w:tc>
                <w:tcPr>
                  <w:tcW w:w="508"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700"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50</w:t>
                  </w:r>
                  <w:r>
                    <w:rPr>
                      <w:color w:val="000000" w:themeColor="text1"/>
                      <w:sz w:val="21"/>
                      <w:szCs w:val="21"/>
                      <w14:textFill>
                        <w14:solidFill>
                          <w14:schemeClr w14:val="tx1"/>
                        </w14:solidFill>
                      </w14:textFill>
                    </w:rPr>
                    <w:t>kg/</w:t>
                  </w:r>
                  <w:r>
                    <w:rPr>
                      <w:rFonts w:hint="eastAsia"/>
                      <w:color w:val="000000" w:themeColor="text1"/>
                      <w:sz w:val="21"/>
                      <w:szCs w:val="21"/>
                      <w14:textFill>
                        <w14:solidFill>
                          <w14:schemeClr w14:val="tx1"/>
                        </w14:solidFill>
                      </w14:textFill>
                    </w:rPr>
                    <w:t>桶</w:t>
                  </w:r>
                </w:p>
              </w:tc>
              <w:tc>
                <w:tcPr>
                  <w:tcW w:w="720"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11.04t</w:t>
                  </w:r>
                </w:p>
              </w:tc>
              <w:tc>
                <w:tcPr>
                  <w:tcW w:w="711"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2t</w:t>
                  </w:r>
                </w:p>
              </w:tc>
              <w:tc>
                <w:tcPr>
                  <w:tcW w:w="667"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仓库</w:t>
                  </w:r>
                </w:p>
              </w:tc>
              <w:tc>
                <w:tcPr>
                  <w:tcW w:w="581"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喷涂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9"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793"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焊条</w:t>
                  </w:r>
                </w:p>
              </w:tc>
              <w:tc>
                <w:tcPr>
                  <w:tcW w:w="508"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00"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r>
                    <w:rPr>
                      <w:color w:val="000000" w:themeColor="text1"/>
                      <w:sz w:val="21"/>
                      <w:szCs w:val="21"/>
                      <w14:textFill>
                        <w14:solidFill>
                          <w14:schemeClr w14:val="tx1"/>
                        </w14:solidFill>
                      </w14:textFill>
                    </w:rPr>
                    <w:t>kg/</w:t>
                  </w:r>
                  <w:r>
                    <w:rPr>
                      <w:rFonts w:hint="eastAsia"/>
                      <w:color w:val="000000" w:themeColor="text1"/>
                      <w:sz w:val="21"/>
                      <w:szCs w:val="21"/>
                      <w14:textFill>
                        <w14:solidFill>
                          <w14:schemeClr w14:val="tx1"/>
                        </w14:solidFill>
                      </w14:textFill>
                    </w:rPr>
                    <w:t>包</w:t>
                  </w:r>
                </w:p>
              </w:tc>
              <w:tc>
                <w:tcPr>
                  <w:tcW w:w="720"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.5</w:t>
                  </w:r>
                  <w:r>
                    <w:rPr>
                      <w:rFonts w:hint="eastAsia"/>
                      <w:color w:val="000000" w:themeColor="text1"/>
                      <w:sz w:val="21"/>
                      <w:szCs w:val="21"/>
                      <w14:textFill>
                        <w14:solidFill>
                          <w14:schemeClr w14:val="tx1"/>
                        </w14:solidFill>
                      </w14:textFill>
                    </w:rPr>
                    <w:t>t</w:t>
                  </w:r>
                </w:p>
              </w:tc>
              <w:tc>
                <w:tcPr>
                  <w:tcW w:w="711"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w:t>
                  </w:r>
                  <w:r>
                    <w:rPr>
                      <w:color w:val="000000" w:themeColor="text1"/>
                      <w:sz w:val="21"/>
                      <w:szCs w:val="21"/>
                      <w14:textFill>
                        <w14:solidFill>
                          <w14:schemeClr w14:val="tx1"/>
                        </w14:solidFill>
                      </w14:textFill>
                    </w:rPr>
                    <w:t>.1</w:t>
                  </w:r>
                  <w:r>
                    <w:rPr>
                      <w:rFonts w:hint="eastAsia"/>
                      <w:color w:val="000000" w:themeColor="text1"/>
                      <w:sz w:val="21"/>
                      <w:szCs w:val="21"/>
                      <w14:textFill>
                        <w14:solidFill>
                          <w14:schemeClr w14:val="tx1"/>
                        </w14:solidFill>
                      </w14:textFill>
                    </w:rPr>
                    <w:t>t</w:t>
                  </w:r>
                </w:p>
              </w:tc>
              <w:tc>
                <w:tcPr>
                  <w:tcW w:w="667" w:type="pct"/>
                  <w:vAlign w:val="center"/>
                </w:tcPr>
                <w:p>
                  <w:pPr>
                    <w:jc w:val="center"/>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仓库</w:t>
                  </w:r>
                </w:p>
              </w:tc>
              <w:tc>
                <w:tcPr>
                  <w:tcW w:w="581"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焊接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19"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w:t>
                  </w:r>
                </w:p>
              </w:tc>
              <w:tc>
                <w:tcPr>
                  <w:tcW w:w="793"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铁管</w:t>
                  </w:r>
                </w:p>
              </w:tc>
              <w:tc>
                <w:tcPr>
                  <w:tcW w:w="508"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700"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散装</w:t>
                  </w:r>
                </w:p>
              </w:tc>
              <w:tc>
                <w:tcPr>
                  <w:tcW w:w="720"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50</w:t>
                  </w:r>
                  <w:r>
                    <w:rPr>
                      <w:rFonts w:hint="eastAsia"/>
                      <w:color w:val="000000" w:themeColor="text1"/>
                      <w:sz w:val="21"/>
                      <w:szCs w:val="21"/>
                      <w14:textFill>
                        <w14:solidFill>
                          <w14:schemeClr w14:val="tx1"/>
                        </w14:solidFill>
                      </w14:textFill>
                    </w:rPr>
                    <w:t>t</w:t>
                  </w:r>
                  <w:r>
                    <w:rPr>
                      <w:color w:val="000000" w:themeColor="text1"/>
                      <w:sz w:val="21"/>
                      <w:szCs w:val="21"/>
                      <w14:textFill>
                        <w14:solidFill>
                          <w14:schemeClr w14:val="tx1"/>
                        </w14:solidFill>
                      </w14:textFill>
                    </w:rPr>
                    <w:t xml:space="preserve"> </w:t>
                  </w:r>
                </w:p>
              </w:tc>
              <w:tc>
                <w:tcPr>
                  <w:tcW w:w="711"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1.0</w:t>
                  </w:r>
                  <w:r>
                    <w:rPr>
                      <w:rFonts w:hint="eastAsia"/>
                      <w:color w:val="000000" w:themeColor="text1"/>
                      <w:sz w:val="21"/>
                      <w:szCs w:val="21"/>
                      <w14:textFill>
                        <w14:solidFill>
                          <w14:schemeClr w14:val="tx1"/>
                        </w14:solidFill>
                      </w14:textFill>
                    </w:rPr>
                    <w:t>t</w:t>
                  </w:r>
                </w:p>
              </w:tc>
              <w:tc>
                <w:tcPr>
                  <w:tcW w:w="667"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仓库</w:t>
                  </w:r>
                </w:p>
              </w:tc>
              <w:tc>
                <w:tcPr>
                  <w:tcW w:w="581"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切割</w:t>
                  </w:r>
                </w:p>
              </w:tc>
            </w:tr>
          </w:tbl>
          <w:p>
            <w:pPr>
              <w:spacing w:line="360" w:lineRule="auto"/>
              <w:jc w:val="center"/>
              <w:rPr>
                <w:b/>
                <w:color w:val="000000" w:themeColor="text1"/>
                <w:szCs w:val="21"/>
                <w14:textFill>
                  <w14:solidFill>
                    <w14:schemeClr w14:val="tx1"/>
                  </w14:solidFill>
                </w14:textFill>
              </w:rPr>
            </w:pPr>
            <w:r>
              <w:rPr>
                <w:rFonts w:hint="eastAsia" w:hAnsi="宋体"/>
                <w:b/>
                <w:color w:val="000000" w:themeColor="text1"/>
                <w:szCs w:val="21"/>
                <w14:textFill>
                  <w14:solidFill>
                    <w14:schemeClr w14:val="tx1"/>
                  </w14:solidFill>
                </w14:textFill>
              </w:rPr>
              <w:t>表</w:t>
            </w:r>
            <w:r>
              <w:rPr>
                <w:rFonts w:hAnsi="宋体"/>
                <w:b/>
                <w:color w:val="000000" w:themeColor="text1"/>
                <w:szCs w:val="21"/>
                <w14:textFill>
                  <w14:solidFill>
                    <w14:schemeClr w14:val="tx1"/>
                  </w14:solidFill>
                </w14:textFill>
              </w:rPr>
              <w:t>2</w:t>
            </w:r>
            <w:r>
              <w:rPr>
                <w:rFonts w:hint="eastAsia" w:hAnsi="宋体"/>
                <w:b/>
                <w:color w:val="000000" w:themeColor="text1"/>
                <w:szCs w:val="21"/>
                <w14:textFill>
                  <w14:solidFill>
                    <w14:schemeClr w14:val="tx1"/>
                  </w14:solidFill>
                </w14:textFill>
              </w:rPr>
              <w:t>-4主要原辅料物化性质一览表</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4"/>
              <w:gridCol w:w="3216"/>
              <w:gridCol w:w="4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blHeader/>
              </w:trPr>
              <w:tc>
                <w:tcPr>
                  <w:tcW w:w="1334"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原辅料名称</w:t>
                  </w:r>
                </w:p>
              </w:tc>
              <w:tc>
                <w:tcPr>
                  <w:tcW w:w="3216" w:type="dxa"/>
                  <w:vAlign w:val="center"/>
                </w:tcPr>
                <w:p>
                  <w:pPr>
                    <w:adjustRightInd w:val="0"/>
                    <w:snapToGri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主要成分</w:t>
                  </w:r>
                </w:p>
              </w:tc>
              <w:tc>
                <w:tcPr>
                  <w:tcW w:w="4028"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物质理化特性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5" w:hRule="atLeast"/>
              </w:trPr>
              <w:tc>
                <w:tcPr>
                  <w:tcW w:w="1334" w:type="dxa"/>
                  <w:vAlign w:val="center"/>
                </w:tcPr>
                <w:p>
                  <w:pPr>
                    <w:jc w:val="center"/>
                    <w:rPr>
                      <w:color w:val="000000" w:themeColor="text1"/>
                      <w:szCs w:val="21"/>
                      <w14:textFill>
                        <w14:solidFill>
                          <w14:schemeClr w14:val="tx1"/>
                        </w14:solidFill>
                      </w14:textFill>
                    </w:rPr>
                  </w:pPr>
                  <w:r>
                    <w:rPr>
                      <w:rFonts w:hint="eastAsia" w:ascii="宋体" w:hAnsi="宋体" w:cs="宋体"/>
                      <w:color w:val="000000" w:themeColor="text1"/>
                      <w14:textFill>
                        <w14:solidFill>
                          <w14:schemeClr w14:val="tx1"/>
                        </w14:solidFill>
                      </w14:textFill>
                    </w:rPr>
                    <w:t>水性油漆</w:t>
                  </w:r>
                </w:p>
              </w:tc>
              <w:tc>
                <w:tcPr>
                  <w:tcW w:w="3216" w:type="dxa"/>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成分</w:t>
                  </w:r>
                  <w:r>
                    <w:rPr>
                      <w:color w:val="000000" w:themeColor="text1"/>
                      <w14:textFill>
                        <w14:solidFill>
                          <w14:schemeClr w14:val="tx1"/>
                        </w14:solidFill>
                      </w14:textFill>
                    </w:rPr>
                    <w:t>：</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水性丙烯酸树脂40-60</w:t>
                  </w:r>
                  <w:r>
                    <w:rPr>
                      <w:color w:val="000000" w:themeColor="text1"/>
                      <w:szCs w:val="21"/>
                      <w14:textFill>
                        <w14:solidFill>
                          <w14:schemeClr w14:val="tx1"/>
                        </w14:solidFill>
                      </w14:textFill>
                    </w:rPr>
                    <w:t>%</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颜、填料0~2</w:t>
                  </w:r>
                  <w:r>
                    <w:rPr>
                      <w:color w:val="000000" w:themeColor="text1"/>
                      <w:szCs w:val="21"/>
                      <w14:textFill>
                        <w14:solidFill>
                          <w14:schemeClr w14:val="tx1"/>
                        </w14:solidFill>
                      </w14:textFill>
                    </w:rPr>
                    <w:t>0%</w:t>
                  </w:r>
                </w:p>
                <w:p>
                  <w:pP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表面活性剂5~10</w:t>
                  </w:r>
                  <w:r>
                    <w:rPr>
                      <w:color w:val="000000" w:themeColor="text1"/>
                      <w:szCs w:val="21"/>
                      <w14:textFill>
                        <w14:solidFill>
                          <w14:schemeClr w14:val="tx1"/>
                        </w14:solidFill>
                      </w14:textFill>
                    </w:rPr>
                    <w:t>%</w:t>
                  </w:r>
                </w:p>
                <w:p>
                  <w:pPr>
                    <w:pStyle w:val="47"/>
                    <w:rPr>
                      <w:color w:val="000000" w:themeColor="text1"/>
                      <w14:textFill>
                        <w14:solidFill>
                          <w14:schemeClr w14:val="tx1"/>
                        </w14:solidFill>
                      </w14:textFill>
                    </w:rPr>
                  </w:pPr>
                  <w:r>
                    <w:rPr>
                      <w:rFonts w:hint="eastAsia" w:ascii="Times New Roman"/>
                      <w:color w:val="000000" w:themeColor="text1"/>
                      <w:sz w:val="21"/>
                      <w:szCs w:val="21"/>
                      <w14:textFill>
                        <w14:solidFill>
                          <w14:schemeClr w14:val="tx1"/>
                        </w14:solidFill>
                      </w14:textFill>
                    </w:rPr>
                    <w:t>去离子水10~45</w:t>
                  </w:r>
                  <w:r>
                    <w:rPr>
                      <w:rFonts w:ascii="Times New Roman"/>
                      <w:color w:val="000000" w:themeColor="text1"/>
                      <w:sz w:val="21"/>
                      <w:szCs w:val="21"/>
                      <w14:textFill>
                        <w14:solidFill>
                          <w14:schemeClr w14:val="tx1"/>
                        </w14:solidFill>
                      </w14:textFill>
                    </w:rPr>
                    <w:t>%</w:t>
                  </w:r>
                </w:p>
              </w:tc>
              <w:tc>
                <w:tcPr>
                  <w:tcW w:w="4028" w:type="dxa"/>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形态：液体</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颜色：光油或各色</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气味：无明显的刺激气味</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pH值：6.0~8.0</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固含量：60.78%</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挥发性有机物含量：129</w:t>
                  </w:r>
                  <w:r>
                    <w:rPr>
                      <w:color w:val="000000" w:themeColor="text1"/>
                      <w14:textFill>
                        <w14:solidFill>
                          <w14:schemeClr w14:val="tx1"/>
                        </w14:solidFill>
                      </w14:textFill>
                    </w:rPr>
                    <w:t>g/L</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熔点：﹤0℃。</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闪点：&gt;100℃</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中溶解性：完全混溶</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密度：1.05~1.20g/cm</w:t>
                  </w:r>
                  <w:r>
                    <w:rPr>
                      <w:rFonts w:hint="eastAsia"/>
                      <w:color w:val="000000" w:themeColor="text1"/>
                      <w:vertAlign w:val="superscript"/>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8578" w:type="dxa"/>
                  <w:gridSpan w:val="3"/>
                  <w:vAlign w:val="center"/>
                </w:tcPr>
                <w:p>
                  <w:pPr>
                    <w:rPr>
                      <w:color w:val="000000" w:themeColor="text1"/>
                      <w14:textFill>
                        <w14:solidFill>
                          <w14:schemeClr w14:val="tx1"/>
                        </w14:solidFill>
                      </w14:textFill>
                    </w:rPr>
                  </w:pPr>
                  <w:r>
                    <w:rPr>
                      <w:rFonts w:hint="eastAsia"/>
                      <w:color w:val="000000" w:themeColor="text1"/>
                      <w14:textFill>
                        <w14:solidFill>
                          <w14:schemeClr w14:val="tx1"/>
                        </w14:solidFill>
                      </w14:textFill>
                    </w:rPr>
                    <w:t>注</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1、</w:t>
                  </w:r>
                  <w:r>
                    <w:rPr>
                      <w:color w:val="000000" w:themeColor="text1"/>
                      <w14:textFill>
                        <w14:solidFill>
                          <w14:schemeClr w14:val="tx1"/>
                        </w14:solidFill>
                      </w14:textFill>
                    </w:rPr>
                    <w:t>本项目所用</w:t>
                  </w:r>
                  <w:r>
                    <w:rPr>
                      <w:rFonts w:hint="eastAsia"/>
                      <w:color w:val="000000" w:themeColor="text1"/>
                      <w14:textFill>
                        <w14:solidFill>
                          <w14:schemeClr w14:val="tx1"/>
                        </w14:solidFill>
                      </w14:textFill>
                    </w:rPr>
                    <w:t>水性涂料</w:t>
                  </w:r>
                  <w:r>
                    <w:rPr>
                      <w:color w:val="000000" w:themeColor="text1"/>
                      <w14:textFill>
                        <w14:solidFill>
                          <w14:schemeClr w14:val="tx1"/>
                        </w14:solidFill>
                      </w14:textFill>
                    </w:rPr>
                    <w:t>为已混合的成品，可以直接使用</w:t>
                  </w:r>
                  <w:r>
                    <w:rPr>
                      <w:rFonts w:hint="eastAsia"/>
                      <w:color w:val="000000" w:themeColor="text1"/>
                      <w14:textFill>
                        <w14:solidFill>
                          <w14:schemeClr w14:val="tx1"/>
                        </w14:solidFill>
                      </w14:textFill>
                    </w:rPr>
                    <w:t>；</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2、根据企业提供的水性涂料检测报告（见附件4）可知，</w:t>
                  </w:r>
                  <w:r>
                    <w:rPr>
                      <w:color w:val="000000" w:themeColor="text1"/>
                      <w14:textFill>
                        <w14:solidFill>
                          <w14:schemeClr w14:val="tx1"/>
                        </w14:solidFill>
                      </w14:textFill>
                    </w:rPr>
                    <w:t>水性涂料VOCs含量为129g/L,满足《低挥发性有机化合物含量涂料产品技术要求》（GB/T38597-2020）中表1玩具涂料VOCs含量不高于420g/L的要求。</w:t>
                  </w:r>
                </w:p>
                <w:p>
                  <w:pPr>
                    <w:rPr>
                      <w:color w:val="000000" w:themeColor="text1"/>
                      <w14:textFill>
                        <w14:solidFill>
                          <w14:schemeClr w14:val="tx1"/>
                        </w14:solidFill>
                      </w14:textFill>
                    </w:rPr>
                  </w:pPr>
                  <w:r>
                    <w:rPr>
                      <w:rFonts w:hint="eastAsia"/>
                      <w:color w:val="000000" w:themeColor="text1"/>
                      <w14:textFill>
                        <w14:solidFill>
                          <w14:schemeClr w14:val="tx1"/>
                        </w14:solidFill>
                      </w14:textFill>
                    </w:rPr>
                    <w:t>4、</w:t>
                  </w:r>
                  <w:r>
                    <w:rPr>
                      <w:rFonts w:hint="eastAsia" w:ascii="宋体" w:hAnsi="宋体" w:cs="宋体"/>
                      <w:color w:val="000000" w:themeColor="text1"/>
                      <w14:textFill>
                        <w14:solidFill>
                          <w14:schemeClr w14:val="tx1"/>
                        </w14:solidFill>
                      </w14:textFill>
                    </w:rPr>
                    <w:t>水性涂料的固含量通过</w:t>
                  </w:r>
                  <w:r>
                    <w:rPr>
                      <w:color w:val="000000" w:themeColor="text1"/>
                      <w14:textFill>
                        <w14:solidFill>
                          <w14:schemeClr w14:val="tx1"/>
                        </w14:solidFill>
                      </w14:textFill>
                    </w:rPr>
                    <w:t>VOCs含量129g/L</w:t>
                  </w:r>
                  <w:r>
                    <w:rPr>
                      <w:rFonts w:hint="eastAsia"/>
                      <w:color w:val="000000" w:themeColor="text1"/>
                      <w14:textFill>
                        <w14:solidFill>
                          <w14:schemeClr w14:val="tx1"/>
                        </w14:solidFill>
                      </w14:textFill>
                    </w:rPr>
                    <w:t>与密度1.05~1.20g/cm</w:t>
                  </w:r>
                  <w:r>
                    <w:rPr>
                      <w:rFonts w:hint="eastAsia"/>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可知，</w:t>
                  </w:r>
                  <w:r>
                    <w:rPr>
                      <w:color w:val="000000" w:themeColor="text1"/>
                      <w14:textFill>
                        <w14:solidFill>
                          <w14:schemeClr w14:val="tx1"/>
                        </w14:solidFill>
                      </w14:textFill>
                    </w:rPr>
                    <w:t>VOCs含量</w:t>
                  </w:r>
                  <w:r>
                    <w:rPr>
                      <w:rFonts w:hint="eastAsia"/>
                      <w:color w:val="000000" w:themeColor="text1"/>
                      <w14:textFill>
                        <w14:solidFill>
                          <w14:schemeClr w14:val="tx1"/>
                        </w14:solidFill>
                      </w14:textFill>
                    </w:rPr>
                    <w:t>约117.2g/kg，质量占比为11.72%；再扣除水含量27.5%（水性涂料水含量为</w:t>
                  </w:r>
                  <w:r>
                    <w:rPr>
                      <w:rFonts w:hint="eastAsia"/>
                      <w:color w:val="000000" w:themeColor="text1"/>
                      <w:szCs w:val="21"/>
                      <w14:textFill>
                        <w14:solidFill>
                          <w14:schemeClr w14:val="tx1"/>
                        </w14:solidFill>
                      </w14:textFill>
                    </w:rPr>
                    <w:t>10~45</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，本次计算取平均值为27.5%），故</w:t>
                  </w:r>
                  <w:r>
                    <w:rPr>
                      <w:rFonts w:hint="eastAsia" w:ascii="宋体" w:hAnsi="宋体" w:cs="宋体"/>
                      <w:color w:val="000000" w:themeColor="text1"/>
                      <w14:textFill>
                        <w14:solidFill>
                          <w14:schemeClr w14:val="tx1"/>
                        </w14:solidFill>
                      </w14:textFill>
                    </w:rPr>
                    <w:t>水性涂料</w:t>
                  </w:r>
                  <w:r>
                    <w:rPr>
                      <w:rFonts w:hint="eastAsia"/>
                      <w:color w:val="000000" w:themeColor="text1"/>
                      <w:szCs w:val="21"/>
                      <w14:textFill>
                        <w14:solidFill>
                          <w14:schemeClr w14:val="tx1"/>
                        </w14:solidFill>
                      </w14:textFill>
                    </w:rPr>
                    <w:t>的固含量为60.78%。</w:t>
                  </w:r>
                </w:p>
              </w:tc>
            </w:tr>
          </w:tbl>
          <w:p>
            <w:pPr>
              <w:pStyle w:val="47"/>
              <w:spacing w:line="360" w:lineRule="auto"/>
              <w:ind w:firstLine="482" w:firstLineChars="200"/>
              <w:rPr>
                <w:rFonts w:ascii="Times New Roman"/>
                <w:b/>
                <w:bCs/>
                <w:color w:val="000000" w:themeColor="text1"/>
                <w14:textFill>
                  <w14:solidFill>
                    <w14:schemeClr w14:val="tx1"/>
                  </w14:solidFill>
                </w14:textFill>
              </w:rPr>
            </w:pPr>
            <w:r>
              <w:rPr>
                <w:rFonts w:ascii="Times New Roman"/>
                <w:b/>
                <w:bCs/>
                <w:color w:val="000000" w:themeColor="text1"/>
                <w14:textFill>
                  <w14:solidFill>
                    <w14:schemeClr w14:val="tx1"/>
                  </w14:solidFill>
                </w14:textFill>
              </w:rPr>
              <w:t>依据喷涂行业对</w:t>
            </w:r>
            <w:r>
              <w:rPr>
                <w:rFonts w:hint="eastAsia" w:ascii="Times New Roman"/>
                <w:b/>
                <w:bCs/>
                <w:color w:val="000000" w:themeColor="text1"/>
                <w14:textFill>
                  <w14:solidFill>
                    <w14:schemeClr w14:val="tx1"/>
                  </w14:solidFill>
                </w14:textFill>
              </w:rPr>
              <w:t>水性涂料</w:t>
            </w:r>
            <w:r>
              <w:rPr>
                <w:rFonts w:ascii="Times New Roman"/>
                <w:b/>
                <w:bCs/>
                <w:color w:val="000000" w:themeColor="text1"/>
                <w14:textFill>
                  <w14:solidFill>
                    <w14:schemeClr w14:val="tx1"/>
                  </w14:solidFill>
                </w14:textFill>
              </w:rPr>
              <w:t>使用量的计算方法：</w:t>
            </w:r>
          </w:p>
          <w:p>
            <w:pPr>
              <w:pStyle w:val="34"/>
              <w:spacing w:before="0" w:beforeAutospacing="0" w:after="0" w:afterAutospacing="0"/>
              <w:jc w:val="center"/>
              <w:rPr>
                <w:rFonts w:ascii="Times New Roman" w:hAnsi="Times New Roman" w:cs="宋体"/>
                <w:color w:val="000000" w:themeColor="text1"/>
                <w:sz w:val="21"/>
                <w:szCs w:val="21"/>
                <w14:textFill>
                  <w14:solidFill>
                    <w14:schemeClr w14:val="tx1"/>
                  </w14:solidFill>
                </w14:textFill>
              </w:rPr>
            </w:pPr>
            <w:r>
              <w:rPr>
                <w:rFonts w:ascii="Times New Roman" w:hAnsi="Times New Roman" w:cs="宋体"/>
                <w:color w:val="000000" w:themeColor="text1"/>
                <w:position w:val="-26"/>
                <w14:textFill>
                  <w14:solidFill>
                    <w14:schemeClr w14:val="tx1"/>
                  </w14:solidFill>
                </w14:textFill>
              </w:rPr>
              <w:object>
                <v:shape id="_x0000_i1025" o:spt="75" type="#_x0000_t75" style="height:29.2pt;width:199.7pt;" o:ole="t" filled="f" o:preferrelative="t" stroked="f" coordsize="21600,21600">
                  <v:path/>
                  <v:fill on="f" focussize="0,0"/>
                  <v:stroke on="f" joinstyle="miter"/>
                  <v:imagedata r:id="rId22" o:title=""/>
                  <o:lock v:ext="edit" aspectratio="t"/>
                  <w10:wrap type="none"/>
                  <w10:anchorlock/>
                </v:shape>
                <o:OLEObject Type="Embed" ProgID="Equation.3" ShapeID="_x0000_i1025" DrawAspect="Content" ObjectID="_1468075725" r:id="rId21">
                  <o:LockedField>false</o:LockedField>
                </o:OLEObject>
              </w:object>
            </w:r>
          </w:p>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5</w:t>
            </w:r>
            <w:r>
              <w:rPr>
                <w:b/>
                <w:bCs/>
                <w:color w:val="000000" w:themeColor="text1"/>
                <w:szCs w:val="21"/>
                <w14:textFill>
                  <w14:solidFill>
                    <w14:schemeClr w14:val="tx1"/>
                  </w14:solidFill>
                </w14:textFill>
              </w:rPr>
              <w:t xml:space="preserve"> 项目</w:t>
            </w:r>
            <w:r>
              <w:rPr>
                <w:rFonts w:hint="eastAsia"/>
                <w:b/>
                <w:bCs/>
                <w:color w:val="000000" w:themeColor="text1"/>
                <w:szCs w:val="21"/>
                <w14:textFill>
                  <w14:solidFill>
                    <w14:schemeClr w14:val="tx1"/>
                  </w14:solidFill>
                </w14:textFill>
              </w:rPr>
              <w:t>水性涂料用量</w:t>
            </w:r>
            <w:r>
              <w:rPr>
                <w:b/>
                <w:bCs/>
                <w:color w:val="000000" w:themeColor="text1"/>
                <w:szCs w:val="21"/>
                <w14:textFill>
                  <w14:solidFill>
                    <w14:schemeClr w14:val="tx1"/>
                  </w14:solidFill>
                </w14:textFill>
              </w:rPr>
              <w:t>分析</w:t>
            </w:r>
          </w:p>
          <w:tbl>
            <w:tblPr>
              <w:tblStyle w:val="39"/>
              <w:tblW w:w="87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4"/>
              <w:gridCol w:w="1095"/>
              <w:gridCol w:w="987"/>
              <w:gridCol w:w="1173"/>
              <w:gridCol w:w="1112"/>
              <w:gridCol w:w="1155"/>
              <w:gridCol w:w="688"/>
              <w:gridCol w:w="833"/>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674" w:type="dxa"/>
                  <w:vAlign w:val="center"/>
                </w:tcPr>
                <w:p>
                  <w:pPr>
                    <w:pStyle w:val="47"/>
                    <w:adjustRightInd/>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项目</w:t>
                  </w:r>
                </w:p>
              </w:tc>
              <w:tc>
                <w:tcPr>
                  <w:tcW w:w="1095" w:type="dxa"/>
                  <w:vAlign w:val="center"/>
                </w:tcPr>
                <w:p>
                  <w:pPr>
                    <w:pStyle w:val="47"/>
                    <w:adjustRightInd/>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产品名称</w:t>
                  </w:r>
                </w:p>
              </w:tc>
              <w:tc>
                <w:tcPr>
                  <w:tcW w:w="987" w:type="dxa"/>
                  <w:vAlign w:val="center"/>
                </w:tcPr>
                <w:p>
                  <w:pPr>
                    <w:pStyle w:val="47"/>
                    <w:adjustRightInd/>
                    <w:jc w:val="center"/>
                    <w:rPr>
                      <w:rFonts w:ascii="Times New Roman"/>
                      <w:b/>
                      <w:bCs/>
                      <w:color w:val="000000" w:themeColor="text1"/>
                      <w:sz w:val="21"/>
                      <w:szCs w:val="21"/>
                      <w14:textFill>
                        <w14:solidFill>
                          <w14:schemeClr w14:val="tx1"/>
                        </w14:solidFill>
                      </w14:textFill>
                    </w:rPr>
                  </w:pPr>
                  <w:r>
                    <w:rPr>
                      <w:rFonts w:hint="eastAsia" w:ascii="Times New Roman"/>
                      <w:b/>
                      <w:bCs/>
                      <w:color w:val="000000" w:themeColor="text1"/>
                      <w:sz w:val="21"/>
                      <w:szCs w:val="21"/>
                      <w14:textFill>
                        <w14:solidFill>
                          <w14:schemeClr w14:val="tx1"/>
                        </w14:solidFill>
                      </w14:textFill>
                    </w:rPr>
                    <w:t>喷涂</w:t>
                  </w:r>
                  <w:r>
                    <w:rPr>
                      <w:rFonts w:ascii="Times New Roman"/>
                      <w:b/>
                      <w:bCs/>
                      <w:color w:val="000000" w:themeColor="text1"/>
                      <w:sz w:val="21"/>
                      <w:szCs w:val="21"/>
                      <w14:textFill>
                        <w14:solidFill>
                          <w14:schemeClr w14:val="tx1"/>
                        </w14:solidFill>
                      </w14:textFill>
                    </w:rPr>
                    <w:t>面积m</w:t>
                  </w:r>
                  <w:r>
                    <w:rPr>
                      <w:rFonts w:ascii="Times New Roman"/>
                      <w:b/>
                      <w:bCs/>
                      <w:color w:val="000000" w:themeColor="text1"/>
                      <w:sz w:val="21"/>
                      <w:szCs w:val="21"/>
                      <w:vertAlign w:val="superscript"/>
                      <w14:textFill>
                        <w14:solidFill>
                          <w14:schemeClr w14:val="tx1"/>
                        </w14:solidFill>
                      </w14:textFill>
                    </w:rPr>
                    <w:t>2</w:t>
                  </w:r>
                  <w:r>
                    <w:rPr>
                      <w:rFonts w:ascii="Times New Roman"/>
                      <w:b/>
                      <w:bCs/>
                      <w:color w:val="000000" w:themeColor="text1"/>
                      <w:sz w:val="21"/>
                      <w:szCs w:val="21"/>
                      <w14:textFill>
                        <w14:solidFill>
                          <w14:schemeClr w14:val="tx1"/>
                        </w14:solidFill>
                      </w14:textFill>
                    </w:rPr>
                    <w:t>/</w:t>
                  </w:r>
                  <w:r>
                    <w:rPr>
                      <w:rFonts w:hint="eastAsia" w:ascii="Times New Roman"/>
                      <w:b/>
                      <w:bCs/>
                      <w:color w:val="000000" w:themeColor="text1"/>
                      <w:sz w:val="21"/>
                      <w:szCs w:val="21"/>
                      <w14:textFill>
                        <w14:solidFill>
                          <w14:schemeClr w14:val="tx1"/>
                        </w14:solidFill>
                      </w14:textFill>
                    </w:rPr>
                    <w:t>个</w:t>
                  </w:r>
                </w:p>
              </w:tc>
              <w:tc>
                <w:tcPr>
                  <w:tcW w:w="1173" w:type="dxa"/>
                  <w:vAlign w:val="center"/>
                </w:tcPr>
                <w:p>
                  <w:pPr>
                    <w:pStyle w:val="47"/>
                    <w:adjustRightInd/>
                    <w:jc w:val="center"/>
                    <w:rPr>
                      <w:rFonts w:ascii="Times New Roman"/>
                      <w:b/>
                      <w:bCs/>
                      <w:color w:val="000000" w:themeColor="text1"/>
                      <w:sz w:val="21"/>
                      <w:szCs w:val="21"/>
                      <w14:textFill>
                        <w14:solidFill>
                          <w14:schemeClr w14:val="tx1"/>
                        </w14:solidFill>
                      </w14:textFill>
                    </w:rPr>
                  </w:pPr>
                  <w:r>
                    <w:rPr>
                      <w:rFonts w:hint="eastAsia" w:ascii="Times New Roman"/>
                      <w:b/>
                      <w:bCs/>
                      <w:color w:val="000000" w:themeColor="text1"/>
                      <w:sz w:val="21"/>
                      <w:szCs w:val="21"/>
                      <w14:textFill>
                        <w14:solidFill>
                          <w14:schemeClr w14:val="tx1"/>
                        </w14:solidFill>
                      </w14:textFill>
                    </w:rPr>
                    <w:t>喷涂</w:t>
                  </w:r>
                  <w:r>
                    <w:rPr>
                      <w:rFonts w:ascii="Times New Roman"/>
                      <w:b/>
                      <w:bCs/>
                      <w:color w:val="000000" w:themeColor="text1"/>
                      <w:sz w:val="21"/>
                      <w:szCs w:val="21"/>
                      <w14:textFill>
                        <w14:solidFill>
                          <w14:schemeClr w14:val="tx1"/>
                        </w14:solidFill>
                      </w14:textFill>
                    </w:rPr>
                    <w:t>面积（m</w:t>
                  </w:r>
                  <w:r>
                    <w:rPr>
                      <w:rFonts w:ascii="Times New Roman"/>
                      <w:b/>
                      <w:bCs/>
                      <w:color w:val="000000" w:themeColor="text1"/>
                      <w:sz w:val="21"/>
                      <w:szCs w:val="21"/>
                      <w:vertAlign w:val="superscript"/>
                      <w14:textFill>
                        <w14:solidFill>
                          <w14:schemeClr w14:val="tx1"/>
                        </w14:solidFill>
                      </w14:textFill>
                    </w:rPr>
                    <w:t>2</w:t>
                  </w:r>
                  <w:r>
                    <w:rPr>
                      <w:rFonts w:ascii="Times New Roman"/>
                      <w:b/>
                      <w:bCs/>
                      <w:color w:val="000000" w:themeColor="text1"/>
                      <w:sz w:val="21"/>
                      <w:szCs w:val="21"/>
                      <w14:textFill>
                        <w14:solidFill>
                          <w14:schemeClr w14:val="tx1"/>
                        </w14:solidFill>
                      </w14:textFill>
                    </w:rPr>
                    <w:t>/a）</w:t>
                  </w:r>
                </w:p>
              </w:tc>
              <w:tc>
                <w:tcPr>
                  <w:tcW w:w="1112" w:type="dxa"/>
                  <w:vAlign w:val="center"/>
                </w:tcPr>
                <w:p>
                  <w:pPr>
                    <w:pStyle w:val="47"/>
                    <w:adjustRightInd/>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油漆密度（kg/</w:t>
                  </w:r>
                  <w:r>
                    <w:rPr>
                      <w:rFonts w:hint="eastAsia" w:ascii="Times New Roman"/>
                      <w:b/>
                      <w:bCs/>
                      <w:color w:val="000000" w:themeColor="text1"/>
                      <w:sz w:val="21"/>
                      <w:szCs w:val="21"/>
                      <w14:textFill>
                        <w14:solidFill>
                          <w14:schemeClr w14:val="tx1"/>
                        </w14:solidFill>
                      </w14:textFill>
                    </w:rPr>
                    <w:t>L</w:t>
                  </w:r>
                  <w:r>
                    <w:rPr>
                      <w:rFonts w:ascii="Times New Roman"/>
                      <w:b/>
                      <w:bCs/>
                      <w:color w:val="000000" w:themeColor="text1"/>
                      <w:sz w:val="21"/>
                      <w:szCs w:val="21"/>
                      <w14:textFill>
                        <w14:solidFill>
                          <w14:schemeClr w14:val="tx1"/>
                        </w14:solidFill>
                      </w14:textFill>
                    </w:rPr>
                    <w:t>）</w:t>
                  </w:r>
                </w:p>
              </w:tc>
              <w:tc>
                <w:tcPr>
                  <w:tcW w:w="1155" w:type="dxa"/>
                  <w:vAlign w:val="center"/>
                </w:tcPr>
                <w:p>
                  <w:pPr>
                    <w:pStyle w:val="47"/>
                    <w:adjustRightInd/>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干膜厚度（mm）</w:t>
                  </w:r>
                </w:p>
              </w:tc>
              <w:tc>
                <w:tcPr>
                  <w:tcW w:w="688" w:type="dxa"/>
                  <w:vAlign w:val="center"/>
                </w:tcPr>
                <w:p>
                  <w:pPr>
                    <w:pStyle w:val="47"/>
                    <w:adjustRightInd/>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附着率</w:t>
                  </w:r>
                </w:p>
              </w:tc>
              <w:tc>
                <w:tcPr>
                  <w:tcW w:w="833" w:type="dxa"/>
                  <w:vAlign w:val="center"/>
                </w:tcPr>
                <w:p>
                  <w:pPr>
                    <w:pStyle w:val="47"/>
                    <w:adjustRightInd/>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体积固体含量</w:t>
                  </w:r>
                </w:p>
              </w:tc>
              <w:tc>
                <w:tcPr>
                  <w:tcW w:w="1018" w:type="dxa"/>
                  <w:vAlign w:val="center"/>
                </w:tcPr>
                <w:p>
                  <w:pPr>
                    <w:pStyle w:val="47"/>
                    <w:adjustRightInd/>
                    <w:jc w:val="center"/>
                    <w:rPr>
                      <w:rFonts w:ascii="Times New Roman"/>
                      <w:b/>
                      <w:bCs/>
                      <w:color w:val="000000" w:themeColor="text1"/>
                      <w:sz w:val="21"/>
                      <w:szCs w:val="21"/>
                      <w14:textFill>
                        <w14:solidFill>
                          <w14:schemeClr w14:val="tx1"/>
                        </w14:solidFill>
                      </w14:textFill>
                    </w:rPr>
                  </w:pPr>
                  <w:r>
                    <w:rPr>
                      <w:rFonts w:hint="eastAsia" w:ascii="Times New Roman"/>
                      <w:b/>
                      <w:bCs/>
                      <w:color w:val="000000" w:themeColor="text1"/>
                      <w:sz w:val="21"/>
                      <w:szCs w:val="21"/>
                      <w14:textFill>
                        <w14:solidFill>
                          <w14:schemeClr w14:val="tx1"/>
                        </w14:solidFill>
                      </w14:textFill>
                    </w:rPr>
                    <w:t>涂料</w:t>
                  </w:r>
                  <w:r>
                    <w:rPr>
                      <w:rFonts w:ascii="Times New Roman"/>
                      <w:b/>
                      <w:bCs/>
                      <w:color w:val="000000" w:themeColor="text1"/>
                      <w:sz w:val="21"/>
                      <w:szCs w:val="21"/>
                      <w14:textFill>
                        <w14:solidFill>
                          <w14:schemeClr w14:val="tx1"/>
                        </w14:solidFill>
                      </w14:textFill>
                    </w:rPr>
                    <w:t>用量（t/a）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74" w:type="dxa"/>
                  <w:vAlign w:val="center"/>
                </w:tcPr>
                <w:p>
                  <w:pPr>
                    <w:pStyle w:val="47"/>
                    <w:adjustRightInd/>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水性</w:t>
                  </w:r>
                  <w:r>
                    <w:rPr>
                      <w:rFonts w:hint="eastAsia" w:ascii="Times New Roman"/>
                      <w:color w:val="000000" w:themeColor="text1"/>
                      <w:sz w:val="21"/>
                      <w:szCs w:val="21"/>
                      <w14:textFill>
                        <w14:solidFill>
                          <w14:schemeClr w14:val="tx1"/>
                        </w14:solidFill>
                      </w14:textFill>
                    </w:rPr>
                    <w:t>涂料</w:t>
                  </w:r>
                </w:p>
              </w:tc>
              <w:tc>
                <w:tcPr>
                  <w:tcW w:w="1095" w:type="dxa"/>
                  <w:vAlign w:val="center"/>
                </w:tcPr>
                <w:p>
                  <w:pPr>
                    <w:jc w:val="center"/>
                    <w:rPr>
                      <w:color w:val="000000" w:themeColor="text1"/>
                      <w:szCs w:val="21"/>
                      <w14:textFill>
                        <w14:solidFill>
                          <w14:schemeClr w14:val="tx1"/>
                        </w14:solidFill>
                      </w14:textFill>
                    </w:rPr>
                  </w:pPr>
                  <w:r>
                    <w:rPr>
                      <w:rFonts w:hint="eastAsia" w:ascii="宋体" w:hAnsi="宋体" w:cs="宋体"/>
                      <w:color w:val="000000" w:themeColor="text1"/>
                      <w14:textFill>
                        <w14:solidFill>
                          <w14:schemeClr w14:val="tx1"/>
                        </w14:solidFill>
                      </w14:textFill>
                    </w:rPr>
                    <w:t>自行车配件</w:t>
                  </w:r>
                </w:p>
              </w:tc>
              <w:tc>
                <w:tcPr>
                  <w:tcW w:w="987" w:type="dxa"/>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0.0183</w:t>
                  </w:r>
                </w:p>
              </w:tc>
              <w:tc>
                <w:tcPr>
                  <w:tcW w:w="1173" w:type="dxa"/>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36600</w:t>
                  </w:r>
                </w:p>
              </w:tc>
              <w:tc>
                <w:tcPr>
                  <w:tcW w:w="1112" w:type="dxa"/>
                  <w:vAlign w:val="center"/>
                </w:tcPr>
                <w:p>
                  <w:pPr>
                    <w:widowControl/>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1.1</w:t>
                  </w:r>
                </w:p>
              </w:tc>
              <w:tc>
                <w:tcPr>
                  <w:tcW w:w="1155" w:type="dxa"/>
                  <w:vAlign w:val="center"/>
                </w:tcPr>
                <w:p>
                  <w:pPr>
                    <w:pStyle w:val="47"/>
                    <w:adjustRightInd/>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0.</w:t>
                  </w:r>
                  <w:r>
                    <w:rPr>
                      <w:rFonts w:hint="eastAsia" w:ascii="Times New Roman"/>
                      <w:color w:val="000000" w:themeColor="text1"/>
                      <w:sz w:val="21"/>
                      <w:szCs w:val="21"/>
                      <w14:textFill>
                        <w14:solidFill>
                          <w14:schemeClr w14:val="tx1"/>
                        </w14:solidFill>
                      </w14:textFill>
                    </w:rPr>
                    <w:t>1</w:t>
                  </w:r>
                </w:p>
              </w:tc>
              <w:tc>
                <w:tcPr>
                  <w:tcW w:w="688" w:type="dxa"/>
                  <w:vAlign w:val="center"/>
                </w:tcPr>
                <w:p>
                  <w:pPr>
                    <w:pStyle w:val="47"/>
                    <w:adjustRightInd/>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0.</w:t>
                  </w:r>
                  <w:r>
                    <w:rPr>
                      <w:rFonts w:hint="eastAsia" w:ascii="Times New Roman"/>
                      <w:color w:val="000000" w:themeColor="text1"/>
                      <w:sz w:val="21"/>
                      <w:szCs w:val="21"/>
                      <w14:textFill>
                        <w14:solidFill>
                          <w14:schemeClr w14:val="tx1"/>
                        </w14:solidFill>
                      </w14:textFill>
                    </w:rPr>
                    <w:t>60</w:t>
                  </w:r>
                </w:p>
              </w:tc>
              <w:tc>
                <w:tcPr>
                  <w:tcW w:w="833" w:type="dxa"/>
                  <w:vAlign w:val="center"/>
                </w:tcPr>
                <w:p>
                  <w:pPr>
                    <w:pStyle w:val="47"/>
                    <w:adjustRightInd/>
                    <w:jc w:val="center"/>
                    <w:rPr>
                      <w:rFonts w:ascii="Times New Roman"/>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0.6078</w:t>
                  </w:r>
                </w:p>
              </w:tc>
              <w:tc>
                <w:tcPr>
                  <w:tcW w:w="1018" w:type="dxa"/>
                  <w:vAlign w:val="center"/>
                </w:tcPr>
                <w:p>
                  <w:pPr>
                    <w:pStyle w:val="47"/>
                    <w:adjustRightInd/>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11.04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8735" w:type="dxa"/>
                  <w:gridSpan w:val="9"/>
                  <w:vAlign w:val="center"/>
                </w:tcPr>
                <w:p>
                  <w:pPr>
                    <w:pStyle w:val="47"/>
                    <w:adjustRightInd/>
                    <w:ind w:firstLine="422" w:firstLineChars="200"/>
                    <w:rPr>
                      <w:color w:val="000000" w:themeColor="text1"/>
                      <w14:textFill>
                        <w14:solidFill>
                          <w14:schemeClr w14:val="tx1"/>
                        </w14:solidFill>
                      </w14:textFill>
                    </w:rPr>
                  </w:pPr>
                  <w:r>
                    <w:rPr>
                      <w:rFonts w:hint="eastAsia" w:ascii="Times New Roman"/>
                      <w:b/>
                      <w:bCs/>
                      <w:color w:val="000000" w:themeColor="text1"/>
                      <w:sz w:val="21"/>
                      <w:szCs w:val="21"/>
                      <w14:textFill>
                        <w14:solidFill>
                          <w14:schemeClr w14:val="tx1"/>
                        </w14:solidFill>
                      </w14:textFill>
                    </w:rPr>
                    <w:t>备注：</w:t>
                  </w:r>
                  <w:r>
                    <w:rPr>
                      <w:rFonts w:hint="eastAsia" w:ascii="Times New Roman"/>
                      <w:color w:val="000000" w:themeColor="text1"/>
                      <w:kern w:val="18"/>
                      <w:sz w:val="21"/>
                      <w:szCs w:val="21"/>
                      <w14:textFill>
                        <w14:solidFill>
                          <w14:schemeClr w14:val="tx1"/>
                        </w14:solidFill>
                      </w14:textFill>
                    </w:rPr>
                    <w:t>1、根据业主提供资料项目年产木制品产品</w:t>
                  </w:r>
                  <w:r>
                    <w:rPr>
                      <w:rFonts w:ascii="Times New Roman"/>
                      <w:color w:val="000000" w:themeColor="text1"/>
                      <w:kern w:val="18"/>
                      <w:sz w:val="21"/>
                      <w:szCs w:val="21"/>
                      <w14:textFill>
                        <w14:solidFill>
                          <w14:schemeClr w14:val="tx1"/>
                        </w14:solidFill>
                      </w14:textFill>
                    </w:rPr>
                    <w:t>200</w:t>
                  </w:r>
                  <w:r>
                    <w:rPr>
                      <w:rFonts w:hint="eastAsia" w:ascii="Times New Roman"/>
                      <w:color w:val="000000" w:themeColor="text1"/>
                      <w:kern w:val="18"/>
                      <w:sz w:val="21"/>
                      <w:szCs w:val="21"/>
                      <w14:textFill>
                        <w14:solidFill>
                          <w14:schemeClr w14:val="tx1"/>
                        </w14:solidFill>
                      </w14:textFill>
                    </w:rPr>
                    <w:t>万件，项目产品为不规则形状且种类较多，以最大单个产品表面积计喷涂面积，自行车配件平均每件喷涂面积约为</w:t>
                  </w:r>
                  <w:r>
                    <w:rPr>
                      <w:rFonts w:ascii="Times New Roman"/>
                      <w:color w:val="000000" w:themeColor="text1"/>
                      <w:kern w:val="18"/>
                      <w:sz w:val="21"/>
                      <w:szCs w:val="21"/>
                      <w14:textFill>
                        <w14:solidFill>
                          <w14:schemeClr w14:val="tx1"/>
                        </w14:solidFill>
                      </w14:textFill>
                    </w:rPr>
                    <w:t>0.0183</w:t>
                  </w:r>
                  <w:r>
                    <w:rPr>
                      <w:rFonts w:hint="eastAsia" w:ascii="Times New Roman"/>
                      <w:color w:val="000000" w:themeColor="text1"/>
                      <w:kern w:val="18"/>
                      <w:sz w:val="21"/>
                      <w:szCs w:val="21"/>
                      <w14:textFill>
                        <w14:solidFill>
                          <w14:schemeClr w14:val="tx1"/>
                        </w14:solidFill>
                      </w14:textFill>
                    </w:rPr>
                    <w:t>m</w:t>
                  </w:r>
                  <w:r>
                    <w:rPr>
                      <w:rFonts w:hint="eastAsia" w:ascii="Times New Roman"/>
                      <w:color w:val="000000" w:themeColor="text1"/>
                      <w:kern w:val="18"/>
                      <w:sz w:val="21"/>
                      <w:szCs w:val="21"/>
                      <w:vertAlign w:val="superscript"/>
                      <w14:textFill>
                        <w14:solidFill>
                          <w14:schemeClr w14:val="tx1"/>
                        </w14:solidFill>
                      </w14:textFill>
                    </w:rPr>
                    <w:t>2</w:t>
                  </w:r>
                  <w:r>
                    <w:rPr>
                      <w:rFonts w:hint="eastAsia" w:ascii="Times New Roman"/>
                      <w:color w:val="000000" w:themeColor="text1"/>
                      <w:kern w:val="18"/>
                      <w:sz w:val="21"/>
                      <w:szCs w:val="21"/>
                      <w14:textFill>
                        <w14:solidFill>
                          <w14:schemeClr w14:val="tx1"/>
                        </w14:solidFill>
                      </w14:textFill>
                    </w:rPr>
                    <w:t>，其喷涂总面积相当于约</w:t>
                  </w:r>
                  <w:r>
                    <w:rPr>
                      <w:rFonts w:ascii="Times New Roman"/>
                      <w:color w:val="000000" w:themeColor="text1"/>
                      <w:kern w:val="18"/>
                      <w:sz w:val="21"/>
                      <w:szCs w:val="21"/>
                      <w14:textFill>
                        <w14:solidFill>
                          <w14:schemeClr w14:val="tx1"/>
                        </w14:solidFill>
                      </w14:textFill>
                    </w:rPr>
                    <w:t>36600</w:t>
                  </w:r>
                  <w:r>
                    <w:rPr>
                      <w:rFonts w:hint="eastAsia" w:ascii="Times New Roman"/>
                      <w:color w:val="000000" w:themeColor="text1"/>
                      <w:kern w:val="18"/>
                      <w:sz w:val="21"/>
                      <w:szCs w:val="21"/>
                      <w14:textFill>
                        <w14:solidFill>
                          <w14:schemeClr w14:val="tx1"/>
                        </w14:solidFill>
                      </w14:textFill>
                    </w:rPr>
                    <w:t>m</w:t>
                  </w:r>
                  <w:r>
                    <w:rPr>
                      <w:rFonts w:hint="eastAsia" w:ascii="Times New Roman"/>
                      <w:color w:val="000000" w:themeColor="text1"/>
                      <w:kern w:val="18"/>
                      <w:sz w:val="21"/>
                      <w:szCs w:val="21"/>
                      <w:vertAlign w:val="superscript"/>
                      <w14:textFill>
                        <w14:solidFill>
                          <w14:schemeClr w14:val="tx1"/>
                        </w14:solidFill>
                      </w14:textFill>
                    </w:rPr>
                    <w:t>2</w:t>
                  </w:r>
                  <w:r>
                    <w:rPr>
                      <w:rFonts w:hint="eastAsia" w:ascii="Times New Roman"/>
                      <w:color w:val="000000" w:themeColor="text1"/>
                      <w:kern w:val="18"/>
                      <w:sz w:val="21"/>
                      <w:szCs w:val="21"/>
                      <w14:textFill>
                        <w14:solidFill>
                          <w14:schemeClr w14:val="tx1"/>
                        </w14:solidFill>
                      </w14:textFill>
                    </w:rPr>
                    <w:t>/a。</w:t>
                  </w:r>
                </w:p>
                <w:p>
                  <w:pPr>
                    <w:pStyle w:val="47"/>
                    <w:adjustRightInd/>
                    <w:ind w:firstLine="420" w:firstLineChars="200"/>
                    <w:rPr>
                      <w:rFonts w:ascii="Times New Roman"/>
                      <w:color w:val="000000" w:themeColor="text1"/>
                      <w:sz w:val="21"/>
                      <w:szCs w:val="21"/>
                      <w14:textFill>
                        <w14:solidFill>
                          <w14:schemeClr w14:val="tx1"/>
                        </w14:solidFill>
                      </w14:textFill>
                    </w:rPr>
                  </w:pPr>
                  <w:r>
                    <w:rPr>
                      <w:rFonts w:hint="eastAsia" w:ascii="Times New Roman"/>
                      <w:color w:val="000000" w:themeColor="text1"/>
                      <w:kern w:val="18"/>
                      <w:sz w:val="21"/>
                      <w:szCs w:val="21"/>
                      <w14:textFill>
                        <w14:solidFill>
                          <w14:schemeClr w14:val="tx1"/>
                        </w14:solidFill>
                      </w14:textFill>
                    </w:rPr>
                    <w:t>2、参考《谈喷涂涂着效率》（王锡春）和电动车行业喷漆工艺中喷漆效率的统计，涂着效率还与喷具的压力、喷嘴等因素有关，本项目采用人工喷涂，因此漆料附着效率按60%计。</w:t>
                  </w:r>
                </w:p>
              </w:tc>
            </w:tr>
          </w:tbl>
          <w:p>
            <w:pPr>
              <w:spacing w:line="360" w:lineRule="auto"/>
              <w:ind w:firstLine="482" w:firstLineChars="200"/>
              <w:outlineLvl w:val="0"/>
              <w:rPr>
                <w:b/>
                <w:color w:val="000000" w:themeColor="text1"/>
                <w:sz w:val="24"/>
                <w14:textFill>
                  <w14:solidFill>
                    <w14:schemeClr w14:val="tx1"/>
                  </w14:solidFill>
                </w14:textFill>
              </w:rPr>
            </w:pPr>
            <w:r>
              <w:rPr>
                <w:b/>
                <w:color w:val="000000" w:themeColor="text1"/>
                <w:sz w:val="24"/>
                <w14:textFill>
                  <w14:solidFill>
                    <w14:schemeClr w14:val="tx1"/>
                  </w14:solidFill>
                </w14:textFill>
              </w:rPr>
              <w:t>4、</w:t>
            </w:r>
            <w:r>
              <w:rPr>
                <w:rFonts w:hint="eastAsia"/>
                <w:b/>
                <w:color w:val="000000" w:themeColor="text1"/>
                <w:sz w:val="24"/>
                <w14:textFill>
                  <w14:solidFill>
                    <w14:schemeClr w14:val="tx1"/>
                  </w14:solidFill>
                </w14:textFill>
              </w:rPr>
              <w:t>主要生产设备</w:t>
            </w:r>
          </w:p>
          <w:p>
            <w:pPr>
              <w:spacing w:line="360" w:lineRule="auto"/>
              <w:ind w:firstLine="480" w:firstLineChars="200"/>
              <w:outlineLvl w:val="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项目主要生产设备详见下表。</w:t>
            </w:r>
          </w:p>
          <w:p>
            <w:pPr>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6</w:t>
            </w:r>
            <w:r>
              <w:rPr>
                <w:b/>
                <w:bCs/>
                <w:color w:val="000000" w:themeColor="text1"/>
                <w:szCs w:val="21"/>
                <w14:textFill>
                  <w14:solidFill>
                    <w14:schemeClr w14:val="tx1"/>
                  </w14:solidFill>
                </w14:textFill>
              </w:rPr>
              <w:t xml:space="preserve">  项目使用的主要设备一览表</w:t>
            </w:r>
          </w:p>
          <w:tbl>
            <w:tblPr>
              <w:tblStyle w:val="39"/>
              <w:tblW w:w="8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1180"/>
              <w:gridCol w:w="1642"/>
              <w:gridCol w:w="992"/>
              <w:gridCol w:w="1134"/>
              <w:gridCol w:w="1276"/>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8" w:type="dxa"/>
                  <w:vAlign w:val="center"/>
                </w:tcPr>
                <w:p>
                  <w:pPr>
                    <w:adjustRightInd w:val="0"/>
                    <w:snapToGrid w:val="0"/>
                    <w:jc w:val="center"/>
                    <w:rPr>
                      <w:b/>
                      <w:color w:val="000000"/>
                      <w:szCs w:val="21"/>
                    </w:rPr>
                  </w:pPr>
                  <w:r>
                    <w:rPr>
                      <w:b/>
                      <w:color w:val="000000"/>
                      <w:szCs w:val="21"/>
                    </w:rPr>
                    <w:t>序号</w:t>
                  </w:r>
                </w:p>
              </w:tc>
              <w:tc>
                <w:tcPr>
                  <w:tcW w:w="1180" w:type="dxa"/>
                  <w:vAlign w:val="center"/>
                </w:tcPr>
                <w:p>
                  <w:pPr>
                    <w:adjustRightInd w:val="0"/>
                    <w:snapToGrid w:val="0"/>
                    <w:jc w:val="center"/>
                    <w:rPr>
                      <w:b/>
                      <w:color w:val="000000"/>
                      <w:szCs w:val="21"/>
                    </w:rPr>
                  </w:pPr>
                  <w:r>
                    <w:rPr>
                      <w:b/>
                      <w:color w:val="000000"/>
                      <w:szCs w:val="21"/>
                    </w:rPr>
                    <w:t>名称</w:t>
                  </w:r>
                </w:p>
              </w:tc>
              <w:tc>
                <w:tcPr>
                  <w:tcW w:w="1642" w:type="dxa"/>
                  <w:vAlign w:val="center"/>
                </w:tcPr>
                <w:p>
                  <w:pPr>
                    <w:adjustRightInd w:val="0"/>
                    <w:snapToGrid w:val="0"/>
                    <w:jc w:val="center"/>
                    <w:rPr>
                      <w:b/>
                      <w:color w:val="000000"/>
                      <w:szCs w:val="21"/>
                    </w:rPr>
                  </w:pPr>
                  <w:r>
                    <w:rPr>
                      <w:b/>
                      <w:color w:val="000000"/>
                      <w:szCs w:val="21"/>
                    </w:rPr>
                    <w:t>尺寸/型号</w:t>
                  </w:r>
                </w:p>
              </w:tc>
              <w:tc>
                <w:tcPr>
                  <w:tcW w:w="992" w:type="dxa"/>
                  <w:vAlign w:val="center"/>
                </w:tcPr>
                <w:p>
                  <w:pPr>
                    <w:adjustRightInd w:val="0"/>
                    <w:snapToGrid w:val="0"/>
                    <w:jc w:val="center"/>
                    <w:rPr>
                      <w:b/>
                      <w:color w:val="000000"/>
                      <w:szCs w:val="21"/>
                    </w:rPr>
                  </w:pPr>
                  <w:r>
                    <w:rPr>
                      <w:b/>
                      <w:color w:val="000000"/>
                      <w:szCs w:val="21"/>
                    </w:rPr>
                    <w:t>数量</w:t>
                  </w:r>
                </w:p>
              </w:tc>
              <w:tc>
                <w:tcPr>
                  <w:tcW w:w="1134" w:type="dxa"/>
                  <w:vAlign w:val="center"/>
                </w:tcPr>
                <w:p>
                  <w:pPr>
                    <w:adjustRightInd w:val="0"/>
                    <w:snapToGrid w:val="0"/>
                    <w:jc w:val="center"/>
                    <w:rPr>
                      <w:b/>
                      <w:color w:val="000000"/>
                      <w:szCs w:val="21"/>
                    </w:rPr>
                  </w:pPr>
                  <w:r>
                    <w:rPr>
                      <w:b/>
                      <w:color w:val="000000"/>
                      <w:szCs w:val="21"/>
                    </w:rPr>
                    <w:t>单位</w:t>
                  </w:r>
                </w:p>
              </w:tc>
              <w:tc>
                <w:tcPr>
                  <w:tcW w:w="1276" w:type="dxa"/>
                  <w:vAlign w:val="center"/>
                </w:tcPr>
                <w:p>
                  <w:pPr>
                    <w:adjustRightInd w:val="0"/>
                    <w:snapToGrid w:val="0"/>
                    <w:jc w:val="center"/>
                    <w:rPr>
                      <w:b/>
                      <w:color w:val="000000"/>
                      <w:szCs w:val="21"/>
                    </w:rPr>
                  </w:pPr>
                  <w:r>
                    <w:rPr>
                      <w:b/>
                      <w:color w:val="000000"/>
                      <w:szCs w:val="21"/>
                    </w:rPr>
                    <w:t>使用工序</w:t>
                  </w:r>
                </w:p>
              </w:tc>
              <w:tc>
                <w:tcPr>
                  <w:tcW w:w="1705" w:type="dxa"/>
                  <w:vAlign w:val="center"/>
                </w:tcPr>
                <w:p>
                  <w:pPr>
                    <w:adjustRightInd w:val="0"/>
                    <w:snapToGrid w:val="0"/>
                    <w:jc w:val="center"/>
                    <w:rPr>
                      <w:b/>
                      <w:color w:val="000000"/>
                      <w:szCs w:val="21"/>
                    </w:rPr>
                  </w:pPr>
                  <w:r>
                    <w:rPr>
                      <w:b/>
                      <w:color w:val="000000"/>
                      <w:szCs w:val="21"/>
                    </w:rPr>
                    <w:t>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8" w:type="dxa"/>
                  <w:vAlign w:val="center"/>
                </w:tcPr>
                <w:p>
                  <w:pPr>
                    <w:widowControl/>
                    <w:numPr>
                      <w:ilvl w:val="0"/>
                      <w:numId w:val="6"/>
                    </w:numPr>
                    <w:adjustRightInd w:val="0"/>
                    <w:snapToGrid w:val="0"/>
                    <w:ind w:left="0" w:firstLine="0"/>
                    <w:jc w:val="center"/>
                    <w:rPr>
                      <w:color w:val="000000"/>
                      <w:szCs w:val="21"/>
                    </w:rPr>
                  </w:pPr>
                </w:p>
              </w:tc>
              <w:tc>
                <w:tcPr>
                  <w:tcW w:w="1180" w:type="dxa"/>
                  <w:vAlign w:val="center"/>
                </w:tcPr>
                <w:p>
                  <w:pPr>
                    <w:pStyle w:val="157"/>
                    <w:adjustRightInd w:val="0"/>
                    <w:snapToGrid w:val="0"/>
                    <w:ind w:firstLine="0" w:firstLineChars="0"/>
                    <w:jc w:val="center"/>
                    <w:rPr>
                      <w:rFonts w:ascii="Times New Roman" w:hAnsi="Times New Roman"/>
                      <w:szCs w:val="21"/>
                    </w:rPr>
                  </w:pPr>
                  <w:r>
                    <w:rPr>
                      <w:rFonts w:hint="eastAsia" w:ascii="Times New Roman" w:hAnsi="Times New Roman"/>
                      <w:szCs w:val="21"/>
                    </w:rPr>
                    <w:t>开料机</w:t>
                  </w:r>
                </w:p>
              </w:tc>
              <w:tc>
                <w:tcPr>
                  <w:tcW w:w="1642" w:type="dxa"/>
                  <w:vAlign w:val="center"/>
                </w:tcPr>
                <w:p>
                  <w:pPr>
                    <w:adjustRightInd w:val="0"/>
                    <w:snapToGrid w:val="0"/>
                    <w:jc w:val="center"/>
                    <w:rPr>
                      <w:szCs w:val="21"/>
                    </w:rPr>
                  </w:pPr>
                  <w:r>
                    <w:rPr>
                      <w:color w:val="000000" w:themeColor="text1"/>
                      <w:szCs w:val="21"/>
                      <w14:textFill>
                        <w14:solidFill>
                          <w14:schemeClr w14:val="tx1"/>
                        </w14:solidFill>
                      </w14:textFill>
                    </w:rPr>
                    <w:t>/</w:t>
                  </w:r>
                </w:p>
              </w:tc>
              <w:tc>
                <w:tcPr>
                  <w:tcW w:w="992" w:type="dxa"/>
                  <w:vAlign w:val="center"/>
                </w:tcPr>
                <w:p>
                  <w:pPr>
                    <w:pStyle w:val="157"/>
                    <w:adjustRightInd w:val="0"/>
                    <w:snapToGrid w:val="0"/>
                    <w:ind w:firstLine="0" w:firstLineChars="0"/>
                    <w:jc w:val="center"/>
                    <w:rPr>
                      <w:rFonts w:ascii="Times New Roman" w:hAnsi="Times New Roman"/>
                      <w:szCs w:val="21"/>
                    </w:rPr>
                  </w:pPr>
                  <w:r>
                    <w:rPr>
                      <w:rFonts w:ascii="Times New Roman" w:hAnsi="Times New Roman"/>
                      <w:szCs w:val="21"/>
                    </w:rPr>
                    <w:t>4</w:t>
                  </w:r>
                </w:p>
              </w:tc>
              <w:tc>
                <w:tcPr>
                  <w:tcW w:w="1134" w:type="dxa"/>
                  <w:vAlign w:val="center"/>
                </w:tcPr>
                <w:p>
                  <w:pPr>
                    <w:pStyle w:val="157"/>
                    <w:adjustRightInd w:val="0"/>
                    <w:snapToGrid w:val="0"/>
                    <w:ind w:firstLine="0" w:firstLineChars="0"/>
                    <w:jc w:val="center"/>
                    <w:rPr>
                      <w:rFonts w:ascii="Times New Roman" w:hAnsi="Times New Roman"/>
                      <w:color w:val="000000"/>
                      <w:szCs w:val="21"/>
                    </w:rPr>
                  </w:pPr>
                  <w:r>
                    <w:rPr>
                      <w:rFonts w:ascii="Times New Roman" w:hAnsi="Times New Roman"/>
                      <w:color w:val="000000"/>
                      <w:szCs w:val="21"/>
                    </w:rPr>
                    <w:t>台</w:t>
                  </w:r>
                </w:p>
              </w:tc>
              <w:tc>
                <w:tcPr>
                  <w:tcW w:w="1276" w:type="dxa"/>
                  <w:vAlign w:val="center"/>
                </w:tcPr>
                <w:p>
                  <w:pPr>
                    <w:pStyle w:val="157"/>
                    <w:adjustRightInd w:val="0"/>
                    <w:snapToGrid w:val="0"/>
                    <w:ind w:firstLine="0" w:firstLineChars="0"/>
                    <w:jc w:val="center"/>
                    <w:rPr>
                      <w:rFonts w:ascii="Times New Roman" w:hAnsi="Times New Roman"/>
                      <w:color w:val="000000"/>
                      <w:szCs w:val="21"/>
                    </w:rPr>
                  </w:pPr>
                  <w:r>
                    <w:rPr>
                      <w:rFonts w:hint="eastAsia" w:ascii="Times New Roman" w:hAnsi="Times New Roman"/>
                      <w:color w:val="000000"/>
                      <w:szCs w:val="21"/>
                    </w:rPr>
                    <w:t>开料</w:t>
                  </w:r>
                </w:p>
              </w:tc>
              <w:tc>
                <w:tcPr>
                  <w:tcW w:w="1705" w:type="dxa"/>
                  <w:vAlign w:val="center"/>
                </w:tcPr>
                <w:p>
                  <w:pPr>
                    <w:adjustRightInd w:val="0"/>
                    <w:snapToGrid w:val="0"/>
                    <w:jc w:val="center"/>
                    <w:rPr>
                      <w:color w:val="000000"/>
                      <w:szCs w:val="21"/>
                    </w:rPr>
                  </w:pPr>
                  <w:r>
                    <w:rPr>
                      <w:rFonts w:hint="eastAsia"/>
                      <w:color w:val="000000"/>
                      <w:szCs w:val="21"/>
                    </w:rPr>
                    <w:t>木工区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8" w:type="dxa"/>
                  <w:vAlign w:val="center"/>
                </w:tcPr>
                <w:p>
                  <w:pPr>
                    <w:widowControl/>
                    <w:numPr>
                      <w:ilvl w:val="0"/>
                      <w:numId w:val="6"/>
                    </w:numPr>
                    <w:adjustRightInd w:val="0"/>
                    <w:snapToGrid w:val="0"/>
                    <w:ind w:left="0" w:firstLine="0"/>
                    <w:jc w:val="center"/>
                    <w:rPr>
                      <w:color w:val="000000"/>
                      <w:szCs w:val="21"/>
                    </w:rPr>
                  </w:pPr>
                </w:p>
              </w:tc>
              <w:tc>
                <w:tcPr>
                  <w:tcW w:w="1180" w:type="dxa"/>
                  <w:vAlign w:val="center"/>
                </w:tcPr>
                <w:p>
                  <w:pPr>
                    <w:pStyle w:val="157"/>
                    <w:adjustRightInd w:val="0"/>
                    <w:snapToGrid w:val="0"/>
                    <w:ind w:firstLine="0" w:firstLineChars="0"/>
                    <w:jc w:val="center"/>
                    <w:rPr>
                      <w:rFonts w:ascii="Times New Roman" w:hAnsi="Times New Roman"/>
                      <w:szCs w:val="21"/>
                    </w:rPr>
                  </w:pPr>
                  <w:r>
                    <w:rPr>
                      <w:rFonts w:hint="eastAsia" w:ascii="Times New Roman" w:hAnsi="Times New Roman"/>
                      <w:szCs w:val="21"/>
                    </w:rPr>
                    <w:t>切割机</w:t>
                  </w:r>
                </w:p>
              </w:tc>
              <w:tc>
                <w:tcPr>
                  <w:tcW w:w="1642" w:type="dxa"/>
                  <w:vAlign w:val="center"/>
                </w:tcPr>
                <w:p>
                  <w:pPr>
                    <w:adjustRightInd w:val="0"/>
                    <w:snapToGrid w:val="0"/>
                    <w:jc w:val="center"/>
                    <w:rPr>
                      <w:color w:val="000000"/>
                      <w:szCs w:val="21"/>
                    </w:rPr>
                  </w:pPr>
                  <w:r>
                    <w:rPr>
                      <w:color w:val="000000"/>
                      <w:szCs w:val="21"/>
                    </w:rPr>
                    <w:t>/</w:t>
                  </w:r>
                </w:p>
              </w:tc>
              <w:tc>
                <w:tcPr>
                  <w:tcW w:w="992" w:type="dxa"/>
                  <w:vAlign w:val="center"/>
                </w:tcPr>
                <w:p>
                  <w:pPr>
                    <w:pStyle w:val="157"/>
                    <w:adjustRightInd w:val="0"/>
                    <w:snapToGrid w:val="0"/>
                    <w:ind w:firstLine="0" w:firstLineChars="0"/>
                    <w:jc w:val="center"/>
                    <w:rPr>
                      <w:rFonts w:ascii="Times New Roman" w:hAnsi="Times New Roman"/>
                      <w:szCs w:val="21"/>
                    </w:rPr>
                  </w:pPr>
                  <w:r>
                    <w:rPr>
                      <w:rFonts w:ascii="Times New Roman" w:hAnsi="Times New Roman"/>
                      <w:szCs w:val="21"/>
                    </w:rPr>
                    <w:t>4</w:t>
                  </w:r>
                </w:p>
              </w:tc>
              <w:tc>
                <w:tcPr>
                  <w:tcW w:w="1134" w:type="dxa"/>
                  <w:vAlign w:val="center"/>
                </w:tcPr>
                <w:p>
                  <w:pPr>
                    <w:pStyle w:val="157"/>
                    <w:adjustRightInd w:val="0"/>
                    <w:snapToGrid w:val="0"/>
                    <w:ind w:firstLine="0" w:firstLineChars="0"/>
                    <w:jc w:val="center"/>
                    <w:rPr>
                      <w:rFonts w:ascii="Times New Roman" w:hAnsi="Times New Roman"/>
                      <w:color w:val="000000"/>
                      <w:szCs w:val="21"/>
                    </w:rPr>
                  </w:pPr>
                  <w:r>
                    <w:rPr>
                      <w:rFonts w:ascii="Times New Roman" w:hAnsi="Times New Roman"/>
                      <w:color w:val="000000"/>
                      <w:szCs w:val="21"/>
                    </w:rPr>
                    <w:t>台</w:t>
                  </w:r>
                </w:p>
              </w:tc>
              <w:tc>
                <w:tcPr>
                  <w:tcW w:w="1276" w:type="dxa"/>
                  <w:vAlign w:val="center"/>
                </w:tcPr>
                <w:p>
                  <w:pPr>
                    <w:pStyle w:val="157"/>
                    <w:adjustRightInd w:val="0"/>
                    <w:snapToGrid w:val="0"/>
                    <w:ind w:firstLine="0" w:firstLineChars="0"/>
                    <w:jc w:val="center"/>
                    <w:rPr>
                      <w:rFonts w:ascii="Times New Roman" w:hAnsi="Times New Roman"/>
                      <w:color w:val="000000"/>
                      <w:szCs w:val="21"/>
                    </w:rPr>
                  </w:pPr>
                  <w:r>
                    <w:rPr>
                      <w:rFonts w:hint="eastAsia" w:ascii="Times New Roman" w:hAnsi="Times New Roman"/>
                      <w:color w:val="000000"/>
                      <w:szCs w:val="21"/>
                    </w:rPr>
                    <w:t>切割</w:t>
                  </w:r>
                </w:p>
              </w:tc>
              <w:tc>
                <w:tcPr>
                  <w:tcW w:w="1705" w:type="dxa"/>
                  <w:vAlign w:val="center"/>
                </w:tcPr>
                <w:p>
                  <w:pPr>
                    <w:adjustRightInd w:val="0"/>
                    <w:snapToGrid w:val="0"/>
                    <w:jc w:val="center"/>
                    <w:rPr>
                      <w:color w:val="000000"/>
                      <w:szCs w:val="21"/>
                    </w:rPr>
                  </w:pPr>
                  <w:r>
                    <w:rPr>
                      <w:rFonts w:hint="eastAsia"/>
                      <w:color w:val="000000"/>
                      <w:szCs w:val="21"/>
                    </w:rPr>
                    <w:t>木工区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8" w:type="dxa"/>
                  <w:vAlign w:val="center"/>
                </w:tcPr>
                <w:p>
                  <w:pPr>
                    <w:widowControl/>
                    <w:numPr>
                      <w:ilvl w:val="0"/>
                      <w:numId w:val="6"/>
                    </w:numPr>
                    <w:adjustRightInd w:val="0"/>
                    <w:snapToGrid w:val="0"/>
                    <w:ind w:left="0" w:firstLine="0"/>
                    <w:jc w:val="center"/>
                    <w:rPr>
                      <w:color w:val="000000"/>
                      <w:szCs w:val="21"/>
                    </w:rPr>
                  </w:pPr>
                </w:p>
              </w:tc>
              <w:tc>
                <w:tcPr>
                  <w:tcW w:w="1180" w:type="dxa"/>
                  <w:vAlign w:val="center"/>
                </w:tcPr>
                <w:p>
                  <w:pPr>
                    <w:pStyle w:val="157"/>
                    <w:adjustRightInd w:val="0"/>
                    <w:snapToGrid w:val="0"/>
                    <w:ind w:firstLine="0" w:firstLineChars="0"/>
                    <w:jc w:val="center"/>
                    <w:rPr>
                      <w:rFonts w:ascii="Times New Roman" w:hAnsi="Times New Roman"/>
                      <w:szCs w:val="21"/>
                    </w:rPr>
                  </w:pPr>
                  <w:r>
                    <w:rPr>
                      <w:rFonts w:hint="eastAsia" w:ascii="Times New Roman" w:hAnsi="Times New Roman"/>
                      <w:szCs w:val="21"/>
                    </w:rPr>
                    <w:t>钉枪</w:t>
                  </w:r>
                </w:p>
              </w:tc>
              <w:tc>
                <w:tcPr>
                  <w:tcW w:w="1642" w:type="dxa"/>
                  <w:vAlign w:val="center"/>
                </w:tcPr>
                <w:p>
                  <w:pPr>
                    <w:adjustRightInd w:val="0"/>
                    <w:snapToGrid w:val="0"/>
                    <w:jc w:val="center"/>
                    <w:rPr>
                      <w:color w:val="000000"/>
                      <w:szCs w:val="21"/>
                    </w:rPr>
                  </w:pPr>
                  <w:r>
                    <w:rPr>
                      <w:color w:val="000000"/>
                      <w:szCs w:val="21"/>
                    </w:rPr>
                    <w:t>/</w:t>
                  </w:r>
                </w:p>
              </w:tc>
              <w:tc>
                <w:tcPr>
                  <w:tcW w:w="992" w:type="dxa"/>
                  <w:vAlign w:val="center"/>
                </w:tcPr>
                <w:p>
                  <w:pPr>
                    <w:pStyle w:val="157"/>
                    <w:adjustRightInd w:val="0"/>
                    <w:snapToGrid w:val="0"/>
                    <w:ind w:firstLine="0" w:firstLineChars="0"/>
                    <w:jc w:val="center"/>
                    <w:rPr>
                      <w:rFonts w:ascii="Times New Roman" w:hAnsi="Times New Roman"/>
                      <w:szCs w:val="21"/>
                    </w:rPr>
                  </w:pPr>
                  <w:r>
                    <w:rPr>
                      <w:rFonts w:ascii="Times New Roman" w:hAnsi="Times New Roman"/>
                      <w:szCs w:val="21"/>
                    </w:rPr>
                    <w:t>40</w:t>
                  </w:r>
                </w:p>
              </w:tc>
              <w:tc>
                <w:tcPr>
                  <w:tcW w:w="1134" w:type="dxa"/>
                  <w:vAlign w:val="center"/>
                </w:tcPr>
                <w:p>
                  <w:pPr>
                    <w:pStyle w:val="157"/>
                    <w:adjustRightInd w:val="0"/>
                    <w:snapToGrid w:val="0"/>
                    <w:ind w:firstLine="0" w:firstLineChars="0"/>
                    <w:jc w:val="center"/>
                    <w:rPr>
                      <w:rFonts w:ascii="Times New Roman" w:hAnsi="Times New Roman"/>
                      <w:color w:val="000000"/>
                      <w:szCs w:val="21"/>
                    </w:rPr>
                  </w:pPr>
                  <w:r>
                    <w:rPr>
                      <w:rFonts w:hint="eastAsia" w:ascii="Times New Roman" w:hAnsi="Times New Roman"/>
                      <w:color w:val="000000"/>
                      <w:szCs w:val="21"/>
                    </w:rPr>
                    <w:t>把</w:t>
                  </w:r>
                </w:p>
              </w:tc>
              <w:tc>
                <w:tcPr>
                  <w:tcW w:w="1276" w:type="dxa"/>
                  <w:vAlign w:val="center"/>
                </w:tcPr>
                <w:p>
                  <w:pPr>
                    <w:pStyle w:val="157"/>
                    <w:adjustRightInd w:val="0"/>
                    <w:snapToGrid w:val="0"/>
                    <w:ind w:firstLine="0" w:firstLineChars="0"/>
                    <w:jc w:val="center"/>
                    <w:rPr>
                      <w:rFonts w:ascii="Times New Roman" w:hAnsi="Times New Roman"/>
                      <w:color w:val="000000"/>
                      <w:szCs w:val="21"/>
                    </w:rPr>
                  </w:pPr>
                  <w:r>
                    <w:rPr>
                      <w:rFonts w:hint="eastAsia" w:ascii="Times New Roman" w:hAnsi="Times New Roman"/>
                      <w:color w:val="000000"/>
                      <w:szCs w:val="21"/>
                    </w:rPr>
                    <w:t>组装</w:t>
                  </w:r>
                </w:p>
              </w:tc>
              <w:tc>
                <w:tcPr>
                  <w:tcW w:w="1705" w:type="dxa"/>
                  <w:vAlign w:val="center"/>
                </w:tcPr>
                <w:p>
                  <w:pPr>
                    <w:adjustRightInd w:val="0"/>
                    <w:snapToGrid w:val="0"/>
                    <w:jc w:val="center"/>
                    <w:rPr>
                      <w:color w:val="000000"/>
                      <w:szCs w:val="21"/>
                    </w:rPr>
                  </w:pPr>
                  <w:r>
                    <w:rPr>
                      <w:rFonts w:hint="eastAsia"/>
                      <w:color w:val="000000"/>
                      <w:szCs w:val="21"/>
                    </w:rPr>
                    <w:t>木工区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8" w:type="dxa"/>
                  <w:vAlign w:val="center"/>
                </w:tcPr>
                <w:p>
                  <w:pPr>
                    <w:widowControl/>
                    <w:numPr>
                      <w:ilvl w:val="0"/>
                      <w:numId w:val="6"/>
                    </w:numPr>
                    <w:adjustRightInd w:val="0"/>
                    <w:snapToGrid w:val="0"/>
                    <w:ind w:left="0" w:firstLine="0"/>
                    <w:jc w:val="center"/>
                    <w:rPr>
                      <w:color w:val="000000"/>
                      <w:szCs w:val="21"/>
                    </w:rPr>
                  </w:pPr>
                </w:p>
              </w:tc>
              <w:tc>
                <w:tcPr>
                  <w:tcW w:w="1180" w:type="dxa"/>
                  <w:vAlign w:val="center"/>
                </w:tcPr>
                <w:p>
                  <w:pPr>
                    <w:pStyle w:val="157"/>
                    <w:adjustRightInd w:val="0"/>
                    <w:snapToGrid w:val="0"/>
                    <w:ind w:firstLine="0" w:firstLineChars="0"/>
                    <w:jc w:val="center"/>
                    <w:rPr>
                      <w:rFonts w:ascii="Times New Roman" w:hAnsi="Times New Roman"/>
                      <w:szCs w:val="21"/>
                    </w:rPr>
                  </w:pPr>
                  <w:r>
                    <w:rPr>
                      <w:rFonts w:hint="eastAsia" w:ascii="Times New Roman" w:hAnsi="Times New Roman"/>
                      <w:szCs w:val="21"/>
                    </w:rPr>
                    <w:t>雕刻机</w:t>
                  </w:r>
                </w:p>
              </w:tc>
              <w:tc>
                <w:tcPr>
                  <w:tcW w:w="1642" w:type="dxa"/>
                  <w:vAlign w:val="center"/>
                </w:tcPr>
                <w:p>
                  <w:pPr>
                    <w:adjustRightInd w:val="0"/>
                    <w:snapToGrid w:val="0"/>
                    <w:jc w:val="center"/>
                    <w:rPr>
                      <w:color w:val="000000"/>
                      <w:szCs w:val="21"/>
                    </w:rPr>
                  </w:pPr>
                  <w:r>
                    <w:rPr>
                      <w:color w:val="000000"/>
                      <w:szCs w:val="21"/>
                    </w:rPr>
                    <w:t>/</w:t>
                  </w:r>
                </w:p>
              </w:tc>
              <w:tc>
                <w:tcPr>
                  <w:tcW w:w="992" w:type="dxa"/>
                  <w:vAlign w:val="center"/>
                </w:tcPr>
                <w:p>
                  <w:pPr>
                    <w:pStyle w:val="157"/>
                    <w:adjustRightInd w:val="0"/>
                    <w:snapToGrid w:val="0"/>
                    <w:ind w:firstLine="0" w:firstLineChars="0"/>
                    <w:jc w:val="center"/>
                    <w:rPr>
                      <w:rFonts w:ascii="Times New Roman" w:hAnsi="Times New Roman"/>
                      <w:szCs w:val="21"/>
                    </w:rPr>
                  </w:pPr>
                  <w:r>
                    <w:rPr>
                      <w:rFonts w:ascii="Times New Roman" w:hAnsi="Times New Roman"/>
                      <w:szCs w:val="21"/>
                    </w:rPr>
                    <w:t>2</w:t>
                  </w:r>
                </w:p>
              </w:tc>
              <w:tc>
                <w:tcPr>
                  <w:tcW w:w="1134" w:type="dxa"/>
                  <w:vAlign w:val="center"/>
                </w:tcPr>
                <w:p>
                  <w:pPr>
                    <w:pStyle w:val="157"/>
                    <w:adjustRightInd w:val="0"/>
                    <w:snapToGrid w:val="0"/>
                    <w:ind w:firstLine="0" w:firstLineChars="0"/>
                    <w:jc w:val="center"/>
                    <w:rPr>
                      <w:rFonts w:ascii="Times New Roman" w:hAnsi="Times New Roman"/>
                      <w:color w:val="000000"/>
                      <w:szCs w:val="21"/>
                    </w:rPr>
                  </w:pPr>
                  <w:r>
                    <w:rPr>
                      <w:rFonts w:ascii="Times New Roman" w:hAnsi="Times New Roman"/>
                      <w:color w:val="000000"/>
                      <w:szCs w:val="21"/>
                    </w:rPr>
                    <w:t>台</w:t>
                  </w:r>
                </w:p>
              </w:tc>
              <w:tc>
                <w:tcPr>
                  <w:tcW w:w="1276" w:type="dxa"/>
                  <w:vAlign w:val="center"/>
                </w:tcPr>
                <w:p>
                  <w:pPr>
                    <w:pStyle w:val="157"/>
                    <w:adjustRightInd w:val="0"/>
                    <w:snapToGrid w:val="0"/>
                    <w:ind w:firstLine="0" w:firstLineChars="0"/>
                    <w:jc w:val="center"/>
                    <w:rPr>
                      <w:rFonts w:ascii="Times New Roman" w:hAnsi="Times New Roman"/>
                      <w:color w:val="000000"/>
                      <w:szCs w:val="21"/>
                    </w:rPr>
                  </w:pPr>
                  <w:r>
                    <w:rPr>
                      <w:rFonts w:hint="eastAsia" w:ascii="Times New Roman" w:hAnsi="Times New Roman"/>
                      <w:color w:val="000000"/>
                      <w:szCs w:val="21"/>
                    </w:rPr>
                    <w:t>雕刻</w:t>
                  </w:r>
                </w:p>
              </w:tc>
              <w:tc>
                <w:tcPr>
                  <w:tcW w:w="1705" w:type="dxa"/>
                  <w:vAlign w:val="center"/>
                </w:tcPr>
                <w:p>
                  <w:pPr>
                    <w:adjustRightInd w:val="0"/>
                    <w:snapToGrid w:val="0"/>
                    <w:jc w:val="center"/>
                    <w:rPr>
                      <w:color w:val="000000"/>
                      <w:szCs w:val="21"/>
                    </w:rPr>
                  </w:pPr>
                  <w:r>
                    <w:rPr>
                      <w:rFonts w:hint="eastAsia"/>
                      <w:color w:val="000000"/>
                      <w:szCs w:val="21"/>
                    </w:rPr>
                    <w:t>木工区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8" w:type="dxa"/>
                  <w:vAlign w:val="center"/>
                </w:tcPr>
                <w:p>
                  <w:pPr>
                    <w:widowControl/>
                    <w:numPr>
                      <w:ilvl w:val="0"/>
                      <w:numId w:val="6"/>
                    </w:numPr>
                    <w:adjustRightInd w:val="0"/>
                    <w:snapToGrid w:val="0"/>
                    <w:ind w:left="0" w:firstLine="0"/>
                    <w:jc w:val="center"/>
                    <w:rPr>
                      <w:color w:val="000000"/>
                      <w:szCs w:val="21"/>
                    </w:rPr>
                  </w:pPr>
                </w:p>
              </w:tc>
              <w:tc>
                <w:tcPr>
                  <w:tcW w:w="1180" w:type="dxa"/>
                  <w:vAlign w:val="center"/>
                </w:tcPr>
                <w:p>
                  <w:pPr>
                    <w:adjustRightInd w:val="0"/>
                    <w:snapToGrid w:val="0"/>
                    <w:jc w:val="center"/>
                    <w:rPr>
                      <w:color w:val="000000"/>
                      <w:szCs w:val="21"/>
                    </w:rPr>
                  </w:pPr>
                  <w:r>
                    <w:rPr>
                      <w:rFonts w:hint="eastAsia"/>
                      <w:color w:val="000000"/>
                      <w:szCs w:val="21"/>
                    </w:rPr>
                    <w:t>打磨机</w:t>
                  </w:r>
                </w:p>
              </w:tc>
              <w:tc>
                <w:tcPr>
                  <w:tcW w:w="1642" w:type="dxa"/>
                  <w:vAlign w:val="center"/>
                </w:tcPr>
                <w:p>
                  <w:pPr>
                    <w:adjustRightInd w:val="0"/>
                    <w:snapToGrid w:val="0"/>
                    <w:jc w:val="center"/>
                    <w:rPr>
                      <w:color w:val="000000"/>
                      <w:szCs w:val="21"/>
                    </w:rPr>
                  </w:pPr>
                  <w:r>
                    <w:rPr>
                      <w:color w:val="000000"/>
                      <w:szCs w:val="21"/>
                    </w:rPr>
                    <w:t>/</w:t>
                  </w:r>
                </w:p>
              </w:tc>
              <w:tc>
                <w:tcPr>
                  <w:tcW w:w="992" w:type="dxa"/>
                  <w:vAlign w:val="center"/>
                </w:tcPr>
                <w:p>
                  <w:pPr>
                    <w:adjustRightInd w:val="0"/>
                    <w:snapToGrid w:val="0"/>
                    <w:jc w:val="center"/>
                    <w:rPr>
                      <w:color w:val="000000"/>
                      <w:szCs w:val="21"/>
                    </w:rPr>
                  </w:pPr>
                  <w:r>
                    <w:rPr>
                      <w:color w:val="000000"/>
                      <w:szCs w:val="21"/>
                    </w:rPr>
                    <w:t>8</w:t>
                  </w:r>
                </w:p>
              </w:tc>
              <w:tc>
                <w:tcPr>
                  <w:tcW w:w="1134" w:type="dxa"/>
                  <w:vAlign w:val="center"/>
                </w:tcPr>
                <w:p>
                  <w:pPr>
                    <w:adjustRightInd w:val="0"/>
                    <w:snapToGrid w:val="0"/>
                    <w:jc w:val="center"/>
                    <w:rPr>
                      <w:color w:val="000000"/>
                      <w:szCs w:val="21"/>
                    </w:rPr>
                  </w:pPr>
                  <w:r>
                    <w:rPr>
                      <w:color w:val="000000"/>
                      <w:szCs w:val="21"/>
                    </w:rPr>
                    <w:t>台</w:t>
                  </w:r>
                </w:p>
              </w:tc>
              <w:tc>
                <w:tcPr>
                  <w:tcW w:w="1276" w:type="dxa"/>
                  <w:vAlign w:val="center"/>
                </w:tcPr>
                <w:p>
                  <w:pPr>
                    <w:adjustRightInd w:val="0"/>
                    <w:snapToGrid w:val="0"/>
                    <w:jc w:val="center"/>
                    <w:rPr>
                      <w:color w:val="000000"/>
                      <w:szCs w:val="21"/>
                    </w:rPr>
                  </w:pPr>
                  <w:r>
                    <w:rPr>
                      <w:color w:val="000000"/>
                      <w:szCs w:val="21"/>
                    </w:rPr>
                    <w:t>打磨</w:t>
                  </w:r>
                </w:p>
              </w:tc>
              <w:tc>
                <w:tcPr>
                  <w:tcW w:w="1705" w:type="dxa"/>
                  <w:vAlign w:val="center"/>
                </w:tcPr>
                <w:p>
                  <w:pPr>
                    <w:adjustRightInd w:val="0"/>
                    <w:snapToGrid w:val="0"/>
                    <w:jc w:val="center"/>
                    <w:rPr>
                      <w:color w:val="000000"/>
                      <w:szCs w:val="21"/>
                    </w:rPr>
                  </w:pPr>
                  <w:r>
                    <w:rPr>
                      <w:rFonts w:hint="eastAsia"/>
                      <w:color w:val="000000"/>
                      <w:szCs w:val="21"/>
                    </w:rPr>
                    <w:t>木工区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8" w:type="dxa"/>
                  <w:vAlign w:val="center"/>
                </w:tcPr>
                <w:p>
                  <w:pPr>
                    <w:widowControl/>
                    <w:numPr>
                      <w:ilvl w:val="0"/>
                      <w:numId w:val="6"/>
                    </w:numPr>
                    <w:adjustRightInd w:val="0"/>
                    <w:snapToGrid w:val="0"/>
                    <w:ind w:left="0" w:firstLine="0"/>
                    <w:jc w:val="center"/>
                    <w:rPr>
                      <w:color w:val="000000"/>
                      <w:szCs w:val="21"/>
                    </w:rPr>
                  </w:pPr>
                </w:p>
              </w:tc>
              <w:tc>
                <w:tcPr>
                  <w:tcW w:w="1180" w:type="dxa"/>
                  <w:vAlign w:val="center"/>
                </w:tcPr>
                <w:p>
                  <w:pPr>
                    <w:adjustRightInd w:val="0"/>
                    <w:snapToGrid w:val="0"/>
                    <w:jc w:val="center"/>
                    <w:rPr>
                      <w:color w:val="000000"/>
                      <w:szCs w:val="21"/>
                    </w:rPr>
                  </w:pPr>
                  <w:r>
                    <w:rPr>
                      <w:rFonts w:hint="eastAsia"/>
                      <w:color w:val="000000"/>
                      <w:szCs w:val="21"/>
                    </w:rPr>
                    <w:t>电焊机</w:t>
                  </w:r>
                </w:p>
              </w:tc>
              <w:tc>
                <w:tcPr>
                  <w:tcW w:w="1642" w:type="dxa"/>
                  <w:vAlign w:val="center"/>
                </w:tcPr>
                <w:p>
                  <w:pPr>
                    <w:adjustRightInd w:val="0"/>
                    <w:snapToGrid w:val="0"/>
                    <w:jc w:val="center"/>
                    <w:rPr>
                      <w:color w:val="000000"/>
                      <w:szCs w:val="21"/>
                    </w:rPr>
                  </w:pPr>
                  <w:r>
                    <w:rPr>
                      <w:rFonts w:hint="eastAsia"/>
                      <w:color w:val="000000"/>
                      <w:szCs w:val="21"/>
                    </w:rPr>
                    <w:t>/</w:t>
                  </w:r>
                </w:p>
              </w:tc>
              <w:tc>
                <w:tcPr>
                  <w:tcW w:w="992" w:type="dxa"/>
                  <w:vAlign w:val="center"/>
                </w:tcPr>
                <w:p>
                  <w:pPr>
                    <w:adjustRightInd w:val="0"/>
                    <w:snapToGrid w:val="0"/>
                    <w:jc w:val="center"/>
                    <w:rPr>
                      <w:color w:val="000000"/>
                      <w:szCs w:val="21"/>
                    </w:rPr>
                  </w:pPr>
                  <w:r>
                    <w:rPr>
                      <w:rFonts w:hint="eastAsia"/>
                      <w:color w:val="000000"/>
                      <w:szCs w:val="21"/>
                    </w:rPr>
                    <w:t>2</w:t>
                  </w:r>
                </w:p>
              </w:tc>
              <w:tc>
                <w:tcPr>
                  <w:tcW w:w="1134" w:type="dxa"/>
                  <w:vAlign w:val="center"/>
                </w:tcPr>
                <w:p>
                  <w:pPr>
                    <w:adjustRightInd w:val="0"/>
                    <w:snapToGrid w:val="0"/>
                    <w:jc w:val="center"/>
                    <w:rPr>
                      <w:color w:val="000000"/>
                      <w:szCs w:val="21"/>
                    </w:rPr>
                  </w:pPr>
                  <w:r>
                    <w:rPr>
                      <w:color w:val="000000"/>
                      <w:szCs w:val="21"/>
                    </w:rPr>
                    <w:t>台</w:t>
                  </w:r>
                </w:p>
              </w:tc>
              <w:tc>
                <w:tcPr>
                  <w:tcW w:w="1276" w:type="dxa"/>
                  <w:vAlign w:val="center"/>
                </w:tcPr>
                <w:p>
                  <w:pPr>
                    <w:adjustRightInd w:val="0"/>
                    <w:snapToGrid w:val="0"/>
                    <w:jc w:val="center"/>
                    <w:rPr>
                      <w:color w:val="000000"/>
                      <w:szCs w:val="21"/>
                    </w:rPr>
                  </w:pPr>
                  <w:r>
                    <w:rPr>
                      <w:rFonts w:hint="eastAsia"/>
                      <w:color w:val="000000"/>
                      <w:szCs w:val="21"/>
                    </w:rPr>
                    <w:t>焊接</w:t>
                  </w:r>
                </w:p>
              </w:tc>
              <w:tc>
                <w:tcPr>
                  <w:tcW w:w="1705" w:type="dxa"/>
                  <w:vAlign w:val="center"/>
                </w:tcPr>
                <w:p>
                  <w:pPr>
                    <w:adjustRightInd w:val="0"/>
                    <w:snapToGrid w:val="0"/>
                    <w:jc w:val="center"/>
                    <w:rPr>
                      <w:color w:val="000000"/>
                      <w:szCs w:val="21"/>
                    </w:rPr>
                  </w:pPr>
                  <w:r>
                    <w:rPr>
                      <w:rFonts w:hint="eastAsia"/>
                      <w:color w:val="000000"/>
                      <w:szCs w:val="21"/>
                    </w:rPr>
                    <w:t>焊接区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8" w:type="dxa"/>
                  <w:vAlign w:val="center"/>
                </w:tcPr>
                <w:p>
                  <w:pPr>
                    <w:widowControl/>
                    <w:numPr>
                      <w:ilvl w:val="0"/>
                      <w:numId w:val="6"/>
                    </w:numPr>
                    <w:adjustRightInd w:val="0"/>
                    <w:snapToGrid w:val="0"/>
                    <w:ind w:left="0" w:firstLine="0"/>
                    <w:jc w:val="center"/>
                    <w:rPr>
                      <w:color w:val="000000"/>
                      <w:szCs w:val="21"/>
                    </w:rPr>
                  </w:pPr>
                </w:p>
              </w:tc>
              <w:tc>
                <w:tcPr>
                  <w:tcW w:w="1180" w:type="dxa"/>
                  <w:vAlign w:val="center"/>
                </w:tcPr>
                <w:p>
                  <w:pPr>
                    <w:adjustRightInd w:val="0"/>
                    <w:snapToGrid w:val="0"/>
                    <w:jc w:val="center"/>
                    <w:rPr>
                      <w:color w:val="000000"/>
                      <w:szCs w:val="21"/>
                    </w:rPr>
                  </w:pPr>
                  <w:r>
                    <w:rPr>
                      <w:color w:val="000000"/>
                      <w:szCs w:val="21"/>
                    </w:rPr>
                    <w:t>空压机</w:t>
                  </w:r>
                </w:p>
              </w:tc>
              <w:tc>
                <w:tcPr>
                  <w:tcW w:w="1642" w:type="dxa"/>
                  <w:vAlign w:val="center"/>
                </w:tcPr>
                <w:p>
                  <w:pPr>
                    <w:adjustRightInd w:val="0"/>
                    <w:snapToGrid w:val="0"/>
                    <w:jc w:val="center"/>
                    <w:rPr>
                      <w:color w:val="000000"/>
                      <w:szCs w:val="21"/>
                    </w:rPr>
                  </w:pPr>
                  <w:r>
                    <w:rPr>
                      <w:color w:val="000000"/>
                      <w:szCs w:val="21"/>
                    </w:rPr>
                    <w:t>/</w:t>
                  </w:r>
                </w:p>
              </w:tc>
              <w:tc>
                <w:tcPr>
                  <w:tcW w:w="992" w:type="dxa"/>
                  <w:vAlign w:val="center"/>
                </w:tcPr>
                <w:p>
                  <w:pPr>
                    <w:adjustRightInd w:val="0"/>
                    <w:snapToGrid w:val="0"/>
                    <w:jc w:val="center"/>
                    <w:rPr>
                      <w:color w:val="000000"/>
                      <w:szCs w:val="21"/>
                    </w:rPr>
                  </w:pPr>
                  <w:r>
                    <w:rPr>
                      <w:color w:val="000000"/>
                      <w:szCs w:val="21"/>
                    </w:rPr>
                    <w:t>2</w:t>
                  </w:r>
                </w:p>
              </w:tc>
              <w:tc>
                <w:tcPr>
                  <w:tcW w:w="1134" w:type="dxa"/>
                  <w:vAlign w:val="center"/>
                </w:tcPr>
                <w:p>
                  <w:pPr>
                    <w:adjustRightInd w:val="0"/>
                    <w:snapToGrid w:val="0"/>
                    <w:jc w:val="center"/>
                    <w:rPr>
                      <w:color w:val="000000"/>
                      <w:szCs w:val="21"/>
                    </w:rPr>
                  </w:pPr>
                  <w:r>
                    <w:rPr>
                      <w:color w:val="000000"/>
                      <w:szCs w:val="21"/>
                    </w:rPr>
                    <w:t>台</w:t>
                  </w:r>
                </w:p>
              </w:tc>
              <w:tc>
                <w:tcPr>
                  <w:tcW w:w="1276" w:type="dxa"/>
                  <w:vAlign w:val="center"/>
                </w:tcPr>
                <w:p>
                  <w:pPr>
                    <w:adjustRightInd w:val="0"/>
                    <w:snapToGrid w:val="0"/>
                    <w:jc w:val="center"/>
                    <w:rPr>
                      <w:color w:val="000000"/>
                      <w:szCs w:val="21"/>
                    </w:rPr>
                  </w:pPr>
                  <w:r>
                    <w:rPr>
                      <w:rFonts w:hint="eastAsia"/>
                      <w:color w:val="000000"/>
                      <w:szCs w:val="21"/>
                    </w:rPr>
                    <w:t>辅助设备</w:t>
                  </w:r>
                </w:p>
              </w:tc>
              <w:tc>
                <w:tcPr>
                  <w:tcW w:w="1705" w:type="dxa"/>
                  <w:vAlign w:val="center"/>
                </w:tcPr>
                <w:p>
                  <w:pPr>
                    <w:adjustRightInd w:val="0"/>
                    <w:snapToGrid w:val="0"/>
                    <w:jc w:val="center"/>
                    <w:rPr>
                      <w:color w:val="000000"/>
                      <w:szCs w:val="21"/>
                    </w:rPr>
                  </w:pPr>
                  <w:r>
                    <w:rPr>
                      <w:rFonts w:hint="eastAsia"/>
                      <w:color w:val="000000"/>
                      <w:szCs w:val="21"/>
                    </w:rPr>
                    <w:t>木工区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8" w:type="dxa"/>
                  <w:vAlign w:val="center"/>
                </w:tcPr>
                <w:p>
                  <w:pPr>
                    <w:widowControl/>
                    <w:numPr>
                      <w:ilvl w:val="0"/>
                      <w:numId w:val="6"/>
                    </w:numPr>
                    <w:adjustRightInd w:val="0"/>
                    <w:snapToGrid w:val="0"/>
                    <w:ind w:left="0" w:firstLine="0"/>
                    <w:jc w:val="center"/>
                    <w:rPr>
                      <w:color w:val="000000"/>
                      <w:szCs w:val="21"/>
                    </w:rPr>
                  </w:pPr>
                </w:p>
              </w:tc>
              <w:tc>
                <w:tcPr>
                  <w:tcW w:w="1180" w:type="dxa"/>
                  <w:vAlign w:val="center"/>
                </w:tcPr>
                <w:p>
                  <w:pPr>
                    <w:adjustRightInd w:val="0"/>
                    <w:snapToGrid w:val="0"/>
                    <w:jc w:val="center"/>
                    <w:rPr>
                      <w:color w:val="000000"/>
                      <w:szCs w:val="21"/>
                    </w:rPr>
                  </w:pPr>
                  <w:r>
                    <w:rPr>
                      <w:color w:val="000000"/>
                      <w:szCs w:val="21"/>
                    </w:rPr>
                    <w:t>水帘柜</w:t>
                  </w:r>
                </w:p>
              </w:tc>
              <w:tc>
                <w:tcPr>
                  <w:tcW w:w="1642" w:type="dxa"/>
                  <w:vAlign w:val="center"/>
                </w:tcPr>
                <w:p>
                  <w:pPr>
                    <w:adjustRightInd w:val="0"/>
                    <w:snapToGrid w:val="0"/>
                    <w:jc w:val="center"/>
                    <w:rPr>
                      <w:color w:val="000000"/>
                      <w:szCs w:val="21"/>
                    </w:rPr>
                  </w:pPr>
                  <w:r>
                    <w:rPr>
                      <w:color w:val="000000" w:themeColor="text1"/>
                      <w:szCs w:val="21"/>
                      <w14:textFill>
                        <w14:solidFill>
                          <w14:schemeClr w14:val="tx1"/>
                        </w14:solidFill>
                      </w14:textFill>
                    </w:rPr>
                    <w:t>4.0×1.6×2.0m</w:t>
                  </w:r>
                </w:p>
              </w:tc>
              <w:tc>
                <w:tcPr>
                  <w:tcW w:w="992" w:type="dxa"/>
                  <w:vAlign w:val="center"/>
                </w:tcPr>
                <w:p>
                  <w:pPr>
                    <w:adjustRightInd w:val="0"/>
                    <w:snapToGrid w:val="0"/>
                    <w:jc w:val="center"/>
                    <w:rPr>
                      <w:color w:val="000000"/>
                      <w:szCs w:val="21"/>
                    </w:rPr>
                  </w:pPr>
                  <w:r>
                    <w:rPr>
                      <w:color w:val="000000"/>
                      <w:szCs w:val="21"/>
                    </w:rPr>
                    <w:t>2</w:t>
                  </w:r>
                </w:p>
              </w:tc>
              <w:tc>
                <w:tcPr>
                  <w:tcW w:w="1134" w:type="dxa"/>
                  <w:vAlign w:val="center"/>
                </w:tcPr>
                <w:p>
                  <w:pPr>
                    <w:adjustRightInd w:val="0"/>
                    <w:snapToGrid w:val="0"/>
                    <w:jc w:val="center"/>
                    <w:rPr>
                      <w:color w:val="000000"/>
                      <w:szCs w:val="21"/>
                    </w:rPr>
                  </w:pPr>
                  <w:r>
                    <w:rPr>
                      <w:color w:val="000000"/>
                      <w:szCs w:val="21"/>
                    </w:rPr>
                    <w:t>个</w:t>
                  </w:r>
                </w:p>
              </w:tc>
              <w:tc>
                <w:tcPr>
                  <w:tcW w:w="1276" w:type="dxa"/>
                  <w:vAlign w:val="center"/>
                </w:tcPr>
                <w:p>
                  <w:pPr>
                    <w:adjustRightInd w:val="0"/>
                    <w:snapToGrid w:val="0"/>
                    <w:jc w:val="center"/>
                    <w:rPr>
                      <w:color w:val="000000"/>
                      <w:szCs w:val="21"/>
                    </w:rPr>
                  </w:pPr>
                  <w:r>
                    <w:rPr>
                      <w:color w:val="000000"/>
                      <w:szCs w:val="21"/>
                    </w:rPr>
                    <w:t>喷漆</w:t>
                  </w:r>
                </w:p>
              </w:tc>
              <w:tc>
                <w:tcPr>
                  <w:tcW w:w="1705" w:type="dxa"/>
                  <w:vAlign w:val="center"/>
                </w:tcPr>
                <w:p>
                  <w:pPr>
                    <w:adjustRightInd w:val="0"/>
                    <w:snapToGrid w:val="0"/>
                    <w:jc w:val="center"/>
                    <w:rPr>
                      <w:color w:val="000000"/>
                      <w:szCs w:val="21"/>
                    </w:rPr>
                  </w:pPr>
                  <w:r>
                    <w:rPr>
                      <w:rFonts w:hint="eastAsia"/>
                      <w:color w:val="000000"/>
                      <w:szCs w:val="21"/>
                    </w:rPr>
                    <w:t>喷漆区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8" w:type="dxa"/>
                  <w:vAlign w:val="center"/>
                </w:tcPr>
                <w:p>
                  <w:pPr>
                    <w:widowControl/>
                    <w:numPr>
                      <w:ilvl w:val="0"/>
                      <w:numId w:val="6"/>
                    </w:numPr>
                    <w:adjustRightInd w:val="0"/>
                    <w:snapToGrid w:val="0"/>
                    <w:ind w:left="0" w:firstLine="0"/>
                    <w:jc w:val="center"/>
                    <w:rPr>
                      <w:color w:val="000000"/>
                      <w:szCs w:val="21"/>
                    </w:rPr>
                  </w:pPr>
                </w:p>
              </w:tc>
              <w:tc>
                <w:tcPr>
                  <w:tcW w:w="1180" w:type="dxa"/>
                  <w:vAlign w:val="center"/>
                </w:tcPr>
                <w:p>
                  <w:pPr>
                    <w:adjustRightInd w:val="0"/>
                    <w:snapToGrid w:val="0"/>
                    <w:jc w:val="center"/>
                    <w:rPr>
                      <w:color w:val="000000"/>
                      <w:szCs w:val="21"/>
                    </w:rPr>
                  </w:pPr>
                  <w:r>
                    <w:rPr>
                      <w:rFonts w:hint="eastAsia"/>
                      <w:color w:val="000000"/>
                      <w:szCs w:val="21"/>
                    </w:rPr>
                    <w:t>喷枪</w:t>
                  </w:r>
                </w:p>
              </w:tc>
              <w:tc>
                <w:tcPr>
                  <w:tcW w:w="1642"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992" w:type="dxa"/>
                  <w:vAlign w:val="center"/>
                </w:tcPr>
                <w:p>
                  <w:pPr>
                    <w:adjustRightInd w:val="0"/>
                    <w:snapToGrid w:val="0"/>
                    <w:jc w:val="center"/>
                    <w:rPr>
                      <w:color w:val="000000"/>
                      <w:szCs w:val="21"/>
                    </w:rPr>
                  </w:pPr>
                  <w:r>
                    <w:rPr>
                      <w:color w:val="000000"/>
                      <w:szCs w:val="21"/>
                    </w:rPr>
                    <w:t>10</w:t>
                  </w:r>
                </w:p>
              </w:tc>
              <w:tc>
                <w:tcPr>
                  <w:tcW w:w="1134" w:type="dxa"/>
                  <w:vAlign w:val="center"/>
                </w:tcPr>
                <w:p>
                  <w:pPr>
                    <w:adjustRightInd w:val="0"/>
                    <w:snapToGrid w:val="0"/>
                    <w:jc w:val="center"/>
                    <w:rPr>
                      <w:color w:val="000000"/>
                      <w:szCs w:val="21"/>
                    </w:rPr>
                  </w:pPr>
                  <w:r>
                    <w:rPr>
                      <w:rFonts w:hint="eastAsia"/>
                      <w:color w:val="000000"/>
                      <w:szCs w:val="21"/>
                    </w:rPr>
                    <w:t>把</w:t>
                  </w:r>
                </w:p>
              </w:tc>
              <w:tc>
                <w:tcPr>
                  <w:tcW w:w="1276" w:type="dxa"/>
                  <w:vAlign w:val="center"/>
                </w:tcPr>
                <w:p>
                  <w:pPr>
                    <w:adjustRightInd w:val="0"/>
                    <w:snapToGrid w:val="0"/>
                    <w:jc w:val="center"/>
                    <w:rPr>
                      <w:color w:val="000000"/>
                      <w:szCs w:val="21"/>
                    </w:rPr>
                  </w:pPr>
                  <w:r>
                    <w:rPr>
                      <w:color w:val="000000"/>
                      <w:szCs w:val="21"/>
                    </w:rPr>
                    <w:t>喷漆</w:t>
                  </w:r>
                </w:p>
              </w:tc>
              <w:tc>
                <w:tcPr>
                  <w:tcW w:w="1705" w:type="dxa"/>
                  <w:vAlign w:val="center"/>
                </w:tcPr>
                <w:p>
                  <w:pPr>
                    <w:adjustRightInd w:val="0"/>
                    <w:snapToGrid w:val="0"/>
                    <w:jc w:val="center"/>
                    <w:rPr>
                      <w:color w:val="000000"/>
                      <w:szCs w:val="21"/>
                    </w:rPr>
                  </w:pPr>
                  <w:r>
                    <w:rPr>
                      <w:rFonts w:hint="eastAsia"/>
                      <w:color w:val="000000"/>
                      <w:szCs w:val="21"/>
                    </w:rPr>
                    <w:t>喷漆区</w:t>
                  </w:r>
                </w:p>
              </w:tc>
            </w:tr>
          </w:tbl>
          <w:p>
            <w:pPr>
              <w:spacing w:line="360" w:lineRule="auto"/>
              <w:ind w:firstLine="472" w:firstLineChars="196"/>
              <w:rPr>
                <w:b/>
                <w:color w:val="000000" w:themeColor="text1"/>
                <w:sz w:val="24"/>
                <w14:textFill>
                  <w14:solidFill>
                    <w14:schemeClr w14:val="tx1"/>
                  </w14:solidFill>
                </w14:textFill>
              </w:rPr>
            </w:pPr>
            <w:r>
              <w:rPr>
                <w:b/>
                <w:color w:val="000000" w:themeColor="text1"/>
                <w:sz w:val="24"/>
                <w14:textFill>
                  <w14:solidFill>
                    <w14:schemeClr w14:val="tx1"/>
                  </w14:solidFill>
                </w14:textFill>
              </w:rPr>
              <w:t>5、</w:t>
            </w:r>
            <w:r>
              <w:rPr>
                <w:rFonts w:hint="eastAsia"/>
                <w:b/>
                <w:color w:val="000000" w:themeColor="text1"/>
                <w:sz w:val="24"/>
                <w14:textFill>
                  <w14:solidFill>
                    <w14:schemeClr w14:val="tx1"/>
                  </w14:solidFill>
                </w14:textFill>
              </w:rPr>
              <w:t>能源消耗</w:t>
            </w:r>
          </w:p>
          <w:p>
            <w:pPr>
              <w:tabs>
                <w:tab w:val="left" w:pos="7380"/>
              </w:tabs>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不设发电机</w:t>
            </w:r>
            <w:r>
              <w:rPr>
                <w:color w:val="000000" w:themeColor="text1"/>
                <w:sz w:val="24"/>
                <w14:textFill>
                  <w14:solidFill>
                    <w14:schemeClr w14:val="tx1"/>
                  </w14:solidFill>
                </w14:textFill>
              </w:rPr>
              <w:t>，能源消耗见下表：</w:t>
            </w:r>
          </w:p>
          <w:p>
            <w:pPr>
              <w:spacing w:line="360" w:lineRule="auto"/>
              <w:jc w:val="center"/>
              <w:rPr>
                <w:b/>
                <w:color w:val="000000" w:themeColor="text1"/>
                <w:szCs w:val="21"/>
                <w14:textFill>
                  <w14:solidFill>
                    <w14:schemeClr w14:val="tx1"/>
                  </w14:solidFill>
                </w14:textFill>
              </w:rPr>
            </w:pPr>
            <w:r>
              <w:rPr>
                <w:b/>
                <w:bCs/>
                <w:color w:val="000000" w:themeColor="text1"/>
                <w:szCs w:val="21"/>
                <w14:textFill>
                  <w14:solidFill>
                    <w14:schemeClr w14:val="tx1"/>
                  </w14:solidFill>
                </w14:textFill>
              </w:rPr>
              <w:t>表2-</w:t>
            </w:r>
            <w:r>
              <w:rPr>
                <w:rFonts w:hint="eastAsia"/>
                <w:b/>
                <w:bCs/>
                <w:color w:val="000000" w:themeColor="text1"/>
                <w:szCs w:val="21"/>
                <w14:textFill>
                  <w14:solidFill>
                    <w14:schemeClr w14:val="tx1"/>
                  </w14:solidFill>
                </w14:textFill>
              </w:rPr>
              <w:t>7</w:t>
            </w:r>
            <w:r>
              <w:rPr>
                <w:b/>
                <w:bCs/>
                <w:color w:val="000000" w:themeColor="text1"/>
                <w:szCs w:val="21"/>
                <w14:textFill>
                  <w14:solidFill>
                    <w14:schemeClr w14:val="tx1"/>
                  </w14:solidFill>
                </w14:textFill>
              </w:rPr>
              <w:t xml:space="preserve">  项目</w:t>
            </w:r>
            <w:r>
              <w:rPr>
                <w:rFonts w:hint="eastAsia"/>
                <w:b/>
                <w:bCs/>
                <w:color w:val="000000" w:themeColor="text1"/>
                <w:szCs w:val="21"/>
                <w14:textFill>
                  <w14:solidFill>
                    <w14:schemeClr w14:val="tx1"/>
                  </w14:solidFill>
                </w14:textFill>
              </w:rPr>
              <w:t>能源消耗</w:t>
            </w:r>
            <w:r>
              <w:rPr>
                <w:b/>
                <w:bCs/>
                <w:color w:val="000000" w:themeColor="text1"/>
                <w:szCs w:val="21"/>
                <w14:textFill>
                  <w14:solidFill>
                    <w14:schemeClr w14:val="tx1"/>
                  </w14:solidFill>
                </w14:textFill>
              </w:rPr>
              <w:t>一览表</w:t>
            </w:r>
          </w:p>
          <w:tbl>
            <w:tblPr>
              <w:tblStyle w:val="39"/>
              <w:tblW w:w="48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797"/>
              <w:gridCol w:w="2293"/>
              <w:gridCol w:w="1939"/>
              <w:gridCol w:w="1939"/>
              <w:gridCol w:w="1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5" w:type="pct"/>
                  <w:vAlign w:val="center"/>
                </w:tcPr>
                <w:p>
                  <w:pPr>
                    <w:pStyle w:val="55"/>
                    <w:snapToGrid w:val="0"/>
                    <w:jc w:val="center"/>
                    <w:rPr>
                      <w:b/>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序号</w:t>
                  </w:r>
                </w:p>
              </w:tc>
              <w:tc>
                <w:tcPr>
                  <w:tcW w:w="1366"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能源</w:t>
                  </w:r>
                </w:p>
              </w:tc>
              <w:tc>
                <w:tcPr>
                  <w:tcW w:w="1155"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年耗量</w:t>
                  </w:r>
                  <w:r>
                    <w:rPr>
                      <w:b/>
                      <w:color w:val="000000" w:themeColor="text1"/>
                      <w:sz w:val="21"/>
                      <w:szCs w:val="21"/>
                      <w14:textFill>
                        <w14:solidFill>
                          <w14:schemeClr w14:val="tx1"/>
                        </w14:solidFill>
                      </w14:textFill>
                    </w:rPr>
                    <w:t>（m</w:t>
                  </w:r>
                  <w:r>
                    <w:rPr>
                      <w:b/>
                      <w:color w:val="000000" w:themeColor="text1"/>
                      <w:sz w:val="21"/>
                      <w:szCs w:val="21"/>
                      <w:vertAlign w:val="superscript"/>
                      <w14:textFill>
                        <w14:solidFill>
                          <w14:schemeClr w14:val="tx1"/>
                        </w14:solidFill>
                      </w14:textFill>
                    </w:rPr>
                    <w:t>3</w:t>
                  </w:r>
                  <w:r>
                    <w:rPr>
                      <w:rFonts w:hint="eastAsia"/>
                      <w:b/>
                      <w:color w:val="000000" w:themeColor="text1"/>
                      <w:sz w:val="21"/>
                      <w:szCs w:val="21"/>
                      <w14:textFill>
                        <w14:solidFill>
                          <w14:schemeClr w14:val="tx1"/>
                        </w14:solidFill>
                      </w14:textFill>
                    </w:rPr>
                    <w:t>/a</w:t>
                  </w:r>
                  <w:r>
                    <w:rPr>
                      <w:b/>
                      <w:color w:val="000000" w:themeColor="text1"/>
                      <w:sz w:val="21"/>
                      <w:szCs w:val="21"/>
                      <w14:textFill>
                        <w14:solidFill>
                          <w14:schemeClr w14:val="tx1"/>
                        </w14:solidFill>
                      </w14:textFill>
                    </w:rPr>
                    <w:t>）</w:t>
                  </w:r>
                </w:p>
              </w:tc>
              <w:tc>
                <w:tcPr>
                  <w:tcW w:w="1155"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用途</w:t>
                  </w:r>
                </w:p>
              </w:tc>
              <w:tc>
                <w:tcPr>
                  <w:tcW w:w="849" w:type="pct"/>
                  <w:vAlign w:val="center"/>
                </w:tcPr>
                <w:p>
                  <w:pPr>
                    <w:pStyle w:val="55"/>
                    <w:snapToGrid w:val="0"/>
                    <w:jc w:val="center"/>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5"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1366"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喷枪清洗用水</w:t>
                  </w:r>
                </w:p>
              </w:tc>
              <w:tc>
                <w:tcPr>
                  <w:tcW w:w="115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1.35</w:t>
                  </w:r>
                </w:p>
              </w:tc>
              <w:tc>
                <w:tcPr>
                  <w:tcW w:w="115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生产用水</w:t>
                  </w:r>
                </w:p>
              </w:tc>
              <w:tc>
                <w:tcPr>
                  <w:tcW w:w="84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市政供水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5"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1366"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喷漆水帘柜用水</w:t>
                  </w:r>
                </w:p>
              </w:tc>
              <w:tc>
                <w:tcPr>
                  <w:tcW w:w="115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75.36</w:t>
                  </w:r>
                </w:p>
              </w:tc>
              <w:tc>
                <w:tcPr>
                  <w:tcW w:w="115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生产用水</w:t>
                  </w:r>
                </w:p>
              </w:tc>
              <w:tc>
                <w:tcPr>
                  <w:tcW w:w="84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市政供水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5"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1366"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调漆、喷漆、晾干废气处理装置水喷淋塔用水</w:t>
                  </w:r>
                </w:p>
              </w:tc>
              <w:tc>
                <w:tcPr>
                  <w:tcW w:w="115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486.68</w:t>
                  </w:r>
                </w:p>
              </w:tc>
              <w:tc>
                <w:tcPr>
                  <w:tcW w:w="115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生产用水</w:t>
                  </w:r>
                </w:p>
              </w:tc>
              <w:tc>
                <w:tcPr>
                  <w:tcW w:w="84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市政供水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5"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w:t>
                  </w:r>
                </w:p>
              </w:tc>
              <w:tc>
                <w:tcPr>
                  <w:tcW w:w="1366"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生活用水</w:t>
                  </w:r>
                </w:p>
              </w:tc>
              <w:tc>
                <w:tcPr>
                  <w:tcW w:w="115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1920</w:t>
                  </w:r>
                </w:p>
              </w:tc>
              <w:tc>
                <w:tcPr>
                  <w:tcW w:w="115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生活用水</w:t>
                  </w:r>
                </w:p>
              </w:tc>
              <w:tc>
                <w:tcPr>
                  <w:tcW w:w="84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市政供水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75" w:type="pct"/>
                  <w:vAlign w:val="center"/>
                </w:tcPr>
                <w:p>
                  <w:pPr>
                    <w:pStyle w:val="55"/>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5</w:t>
                  </w:r>
                </w:p>
              </w:tc>
              <w:tc>
                <w:tcPr>
                  <w:tcW w:w="1366" w:type="pct"/>
                  <w:vAlign w:val="center"/>
                </w:tcPr>
                <w:p>
                  <w:pPr>
                    <w:pStyle w:val="55"/>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电能（万</w:t>
                  </w:r>
                  <w:r>
                    <w:rPr>
                      <w:color w:val="000000" w:themeColor="text1"/>
                      <w:sz w:val="21"/>
                      <w:szCs w:val="21"/>
                      <w14:textFill>
                        <w14:solidFill>
                          <w14:schemeClr w14:val="tx1"/>
                        </w14:solidFill>
                      </w14:textFill>
                    </w:rPr>
                    <w:t>kW·h/a</w:t>
                  </w:r>
                  <w:r>
                    <w:rPr>
                      <w:rFonts w:hint="eastAsia"/>
                      <w:color w:val="000000" w:themeColor="text1"/>
                      <w:sz w:val="21"/>
                      <w:szCs w:val="21"/>
                      <w14:textFill>
                        <w14:solidFill>
                          <w14:schemeClr w14:val="tx1"/>
                        </w14:solidFill>
                      </w14:textFill>
                    </w:rPr>
                    <w:t>）</w:t>
                  </w:r>
                </w:p>
              </w:tc>
              <w:tc>
                <w:tcPr>
                  <w:tcW w:w="1155"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115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生产用电</w:t>
                  </w:r>
                </w:p>
              </w:tc>
              <w:tc>
                <w:tcPr>
                  <w:tcW w:w="84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市政供电</w:t>
                  </w:r>
                </w:p>
              </w:tc>
            </w:tr>
          </w:tbl>
          <w:p>
            <w:pPr>
              <w:numPr>
                <w:ilvl w:val="0"/>
                <w:numId w:val="7"/>
              </w:numPr>
              <w:spacing w:line="360" w:lineRule="auto"/>
              <w:ind w:left="630" w:hanging="42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劳动定员与工作制度</w:t>
            </w:r>
          </w:p>
          <w:p>
            <w:pPr>
              <w:pStyle w:val="2"/>
              <w:spacing w:line="360" w:lineRule="auto"/>
              <w:ind w:firstLine="482"/>
              <w:rPr>
                <w:rFonts w:eastAsia="宋体"/>
                <w:bCs/>
                <w:color w:val="000000" w:themeColor="text1"/>
                <w:sz w:val="24"/>
                <w:szCs w:val="24"/>
                <w14:textFill>
                  <w14:solidFill>
                    <w14:schemeClr w14:val="tx1"/>
                  </w14:solidFill>
                </w14:textFill>
              </w:rPr>
            </w:pPr>
            <w:r>
              <w:rPr>
                <w:rFonts w:hint="eastAsia" w:eastAsia="宋体"/>
                <w:bCs/>
                <w:color w:val="000000" w:themeColor="text1"/>
                <w:sz w:val="24"/>
                <w:szCs w:val="24"/>
                <w14:textFill>
                  <w14:solidFill>
                    <w14:schemeClr w14:val="tx1"/>
                  </w14:solidFill>
                </w14:textFill>
              </w:rPr>
              <w:t>本项目员工4</w:t>
            </w:r>
            <w:r>
              <w:rPr>
                <w:rFonts w:eastAsia="宋体"/>
                <w:bCs/>
                <w:color w:val="000000" w:themeColor="text1"/>
                <w:sz w:val="24"/>
                <w:szCs w:val="24"/>
                <w14:textFill>
                  <w14:solidFill>
                    <w14:schemeClr w14:val="tx1"/>
                  </w14:solidFill>
                </w14:textFill>
              </w:rPr>
              <w:t>0</w:t>
            </w:r>
            <w:r>
              <w:rPr>
                <w:rFonts w:hint="eastAsia" w:eastAsia="宋体"/>
                <w:bCs/>
                <w:color w:val="000000" w:themeColor="text1"/>
                <w:sz w:val="24"/>
                <w:szCs w:val="24"/>
                <w14:textFill>
                  <w14:solidFill>
                    <w14:schemeClr w14:val="tx1"/>
                  </w14:solidFill>
                </w14:textFill>
              </w:rPr>
              <w:t>人，年工作</w:t>
            </w:r>
            <w:r>
              <w:rPr>
                <w:rFonts w:eastAsia="宋体"/>
                <w:bCs/>
                <w:color w:val="000000" w:themeColor="text1"/>
                <w:sz w:val="24"/>
                <w:szCs w:val="24"/>
                <w14:textFill>
                  <w14:solidFill>
                    <w14:schemeClr w14:val="tx1"/>
                  </w14:solidFill>
                </w14:textFill>
              </w:rPr>
              <w:t>300</w:t>
            </w:r>
            <w:r>
              <w:rPr>
                <w:rFonts w:hint="eastAsia" w:eastAsia="宋体"/>
                <w:bCs/>
                <w:color w:val="000000" w:themeColor="text1"/>
                <w:sz w:val="24"/>
                <w:szCs w:val="24"/>
                <w14:textFill>
                  <w14:solidFill>
                    <w14:schemeClr w14:val="tx1"/>
                  </w14:solidFill>
                </w14:textFill>
              </w:rPr>
              <w:t>天，每天工作8小时，均在项目内食宿</w:t>
            </w:r>
            <w:r>
              <w:rPr>
                <w:rFonts w:eastAsia="宋体"/>
                <w:bCs/>
                <w:color w:val="000000" w:themeColor="text1"/>
                <w:sz w:val="24"/>
                <w:szCs w:val="24"/>
                <w14:textFill>
                  <w14:solidFill>
                    <w14:schemeClr w14:val="tx1"/>
                  </w14:solidFill>
                </w14:textFill>
              </w:rPr>
              <w:t>。</w:t>
            </w:r>
          </w:p>
          <w:p>
            <w:pPr>
              <w:numPr>
                <w:ilvl w:val="0"/>
                <w:numId w:val="7"/>
              </w:numPr>
              <w:spacing w:line="360" w:lineRule="auto"/>
              <w:ind w:left="630" w:hanging="42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公用工程及辅助设施</w:t>
            </w:r>
          </w:p>
          <w:p>
            <w:pPr>
              <w:pStyle w:val="2"/>
              <w:numPr>
                <w:ilvl w:val="0"/>
                <w:numId w:val="8"/>
              </w:numPr>
              <w:spacing w:line="360" w:lineRule="auto"/>
              <w:ind w:firstLine="482" w:firstLineChars="200"/>
              <w:rPr>
                <w:rFonts w:eastAsia="宋体"/>
                <w:b/>
                <w:color w:val="000000" w:themeColor="text1"/>
                <w:sz w:val="24"/>
                <w:szCs w:val="24"/>
                <w14:textFill>
                  <w14:solidFill>
                    <w14:schemeClr w14:val="tx1"/>
                  </w14:solidFill>
                </w14:textFill>
              </w:rPr>
            </w:pPr>
            <w:r>
              <w:rPr>
                <w:rFonts w:eastAsia="宋体"/>
                <w:b/>
                <w:color w:val="000000" w:themeColor="text1"/>
                <w:sz w:val="24"/>
                <w:szCs w:val="24"/>
                <w14:textFill>
                  <w14:solidFill>
                    <w14:schemeClr w14:val="tx1"/>
                  </w14:solidFill>
                </w14:textFill>
              </w:rPr>
              <w:t>能源使用</w:t>
            </w:r>
          </w:p>
          <w:p>
            <w:pPr>
              <w:pStyle w:val="2"/>
              <w:spacing w:line="360" w:lineRule="auto"/>
              <w:ind w:firstLine="482"/>
              <w:rPr>
                <w:rFonts w:eastAsia="宋体"/>
                <w:bCs/>
                <w:color w:val="000000" w:themeColor="text1"/>
                <w:sz w:val="24"/>
                <w:szCs w:val="24"/>
                <w14:textFill>
                  <w14:solidFill>
                    <w14:schemeClr w14:val="tx1"/>
                  </w14:solidFill>
                </w14:textFill>
              </w:rPr>
            </w:pPr>
            <w:r>
              <w:rPr>
                <w:rFonts w:eastAsia="宋体"/>
                <w:bCs/>
                <w:color w:val="000000" w:themeColor="text1"/>
                <w:sz w:val="24"/>
                <w:szCs w:val="24"/>
                <w14:textFill>
                  <w14:solidFill>
                    <w14:schemeClr w14:val="tx1"/>
                  </w14:solidFill>
                </w14:textFill>
              </w:rPr>
              <w:t>项目所有设备均使用电能，依托</w:t>
            </w:r>
            <w:r>
              <w:rPr>
                <w:rFonts w:hint="eastAsia" w:eastAsia="宋体"/>
                <w:bCs/>
                <w:color w:val="000000" w:themeColor="text1"/>
                <w:sz w:val="24"/>
                <w:szCs w:val="24"/>
                <w14:textFill>
                  <w14:solidFill>
                    <w14:schemeClr w14:val="tx1"/>
                  </w14:solidFill>
                </w14:textFill>
              </w:rPr>
              <w:t>市政</w:t>
            </w:r>
            <w:r>
              <w:rPr>
                <w:rFonts w:eastAsia="宋体"/>
                <w:bCs/>
                <w:color w:val="000000" w:themeColor="text1"/>
                <w:sz w:val="24"/>
                <w:szCs w:val="24"/>
                <w14:textFill>
                  <w14:solidFill>
                    <w14:schemeClr w14:val="tx1"/>
                  </w14:solidFill>
                </w14:textFill>
              </w:rPr>
              <w:t>电网供电。项目不设置备用发电机。</w:t>
            </w:r>
          </w:p>
          <w:p>
            <w:pPr>
              <w:pStyle w:val="2"/>
              <w:numPr>
                <w:ilvl w:val="0"/>
                <w:numId w:val="8"/>
              </w:numPr>
              <w:spacing w:line="360" w:lineRule="auto"/>
              <w:ind w:firstLine="482" w:firstLineChars="200"/>
              <w:rPr>
                <w:rFonts w:eastAsia="宋体"/>
                <w:b/>
                <w:color w:val="000000" w:themeColor="text1"/>
                <w:sz w:val="24"/>
                <w:szCs w:val="24"/>
                <w14:textFill>
                  <w14:solidFill>
                    <w14:schemeClr w14:val="tx1"/>
                  </w14:solidFill>
                </w14:textFill>
              </w:rPr>
            </w:pPr>
            <w:r>
              <w:rPr>
                <w:rFonts w:eastAsia="宋体"/>
                <w:b/>
                <w:color w:val="000000" w:themeColor="text1"/>
                <w:sz w:val="24"/>
                <w:szCs w:val="24"/>
                <w14:textFill>
                  <w14:solidFill>
                    <w14:schemeClr w14:val="tx1"/>
                  </w14:solidFill>
                </w14:textFill>
              </w:rPr>
              <w:t>给水</w:t>
            </w:r>
          </w:p>
          <w:p>
            <w:pPr>
              <w:pStyle w:val="2"/>
              <w:spacing w:line="360" w:lineRule="auto"/>
              <w:ind w:firstLine="482"/>
              <w:rPr>
                <w:rFonts w:eastAsia="宋体"/>
                <w:bCs/>
                <w:color w:val="000000" w:themeColor="text1"/>
                <w:sz w:val="24"/>
                <w:szCs w:val="24"/>
                <w14:textFill>
                  <w14:solidFill>
                    <w14:schemeClr w14:val="tx1"/>
                  </w14:solidFill>
                </w14:textFill>
              </w:rPr>
            </w:pPr>
            <w:r>
              <w:rPr>
                <w:rFonts w:eastAsia="宋体"/>
                <w:bCs/>
                <w:color w:val="000000" w:themeColor="text1"/>
                <w:sz w:val="24"/>
                <w:szCs w:val="24"/>
                <w14:textFill>
                  <w14:solidFill>
                    <w14:schemeClr w14:val="tx1"/>
                  </w14:solidFill>
                </w14:textFill>
              </w:rPr>
              <w:t>项目用水</w:t>
            </w:r>
            <w:r>
              <w:rPr>
                <w:rFonts w:hint="eastAsia" w:eastAsia="宋体"/>
                <w:bCs/>
                <w:color w:val="000000" w:themeColor="text1"/>
                <w:sz w:val="24"/>
                <w:szCs w:val="24"/>
                <w14:textFill>
                  <w14:solidFill>
                    <w14:schemeClr w14:val="tx1"/>
                  </w14:solidFill>
                </w14:textFill>
              </w:rPr>
              <w:t>包含生产用水、</w:t>
            </w:r>
            <w:r>
              <w:rPr>
                <w:rFonts w:eastAsia="宋体"/>
                <w:bCs/>
                <w:color w:val="000000" w:themeColor="text1"/>
                <w:sz w:val="24"/>
                <w:szCs w:val="24"/>
                <w14:textFill>
                  <w14:solidFill>
                    <w14:schemeClr w14:val="tx1"/>
                  </w14:solidFill>
                </w14:textFill>
              </w:rPr>
              <w:t>生活用水。</w:t>
            </w:r>
          </w:p>
          <w:p>
            <w:pPr>
              <w:numPr>
                <w:ilvl w:val="0"/>
                <w:numId w:val="9"/>
              </w:numPr>
              <w:autoSpaceDE w:val="0"/>
              <w:autoSpaceDN w:val="0"/>
              <w:adjustRightInd w:val="0"/>
              <w:spacing w:line="360" w:lineRule="auto"/>
              <w:ind w:left="0" w:firstLine="400"/>
              <w:jc w:val="left"/>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生产用水</w:t>
            </w:r>
          </w:p>
          <w:p>
            <w:pPr>
              <w:numPr>
                <w:ilvl w:val="0"/>
                <w:numId w:val="10"/>
              </w:numPr>
              <w:autoSpaceDE w:val="0"/>
              <w:autoSpaceDN w:val="0"/>
              <w:adjustRightInd w:val="0"/>
              <w:spacing w:line="360" w:lineRule="auto"/>
              <w:ind w:left="0" w:firstLine="482"/>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喷枪清洗用水：</w:t>
            </w:r>
            <w:r>
              <w:rPr>
                <w:rFonts w:hint="eastAsia"/>
                <w:color w:val="000000" w:themeColor="text1"/>
                <w:sz w:val="24"/>
                <w14:textFill>
                  <w14:solidFill>
                    <w14:schemeClr w14:val="tx1"/>
                  </w14:solidFill>
                </w14:textFill>
              </w:rPr>
              <w:t>本项目喷枪采用清水冲洗方式清洗，冲洗过程为将油漆喷枪倒置，用温水冲虹吸管，使之从喷嘴流出，将残留于喷枪内的油漆冲洗干净，清洗后将所有配件吹干即可。根据建设单位提供的资料，项目喷枪清洗频率为每天清洗一次，每次使用完毕后立即清洗，喷枪清洗过程约需要3min。因此，项目使用的喷枪清洗水用量为喷枪流量0.15L/min×3min/次×</w:t>
            </w: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把=</w:t>
            </w:r>
            <w:r>
              <w:rPr>
                <w:color w:val="000000" w:themeColor="text1"/>
                <w:sz w:val="24"/>
                <w14:textFill>
                  <w14:solidFill>
                    <w14:schemeClr w14:val="tx1"/>
                  </w14:solidFill>
                </w14:textFill>
              </w:rPr>
              <w:t>4.50</w:t>
            </w:r>
            <w:r>
              <w:rPr>
                <w:rFonts w:hint="eastAsia"/>
                <w:color w:val="000000" w:themeColor="text1"/>
                <w:sz w:val="24"/>
                <w14:textFill>
                  <w14:solidFill>
                    <w14:schemeClr w14:val="tx1"/>
                  </w14:solidFill>
                </w14:textFill>
              </w:rPr>
              <w:t>L/d，约</w:t>
            </w:r>
            <w:r>
              <w:rPr>
                <w:color w:val="000000" w:themeColor="text1"/>
                <w:sz w:val="24"/>
                <w14:textFill>
                  <w14:solidFill>
                    <w14:schemeClr w14:val="tx1"/>
                  </w14:solidFill>
                </w14:textFill>
              </w:rPr>
              <w:t>1.35</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/a。</w:t>
            </w:r>
          </w:p>
          <w:p>
            <w:pPr>
              <w:numPr>
                <w:ilvl w:val="0"/>
                <w:numId w:val="10"/>
              </w:numPr>
              <w:autoSpaceDE w:val="0"/>
              <w:autoSpaceDN w:val="0"/>
              <w:adjustRightInd w:val="0"/>
              <w:spacing w:line="360" w:lineRule="auto"/>
              <w:ind w:left="0" w:firstLine="482"/>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喷漆水帘柜用</w:t>
            </w:r>
            <w:r>
              <w:rPr>
                <w:b/>
                <w:bCs/>
                <w:color w:val="000000" w:themeColor="text1"/>
                <w:sz w:val="24"/>
                <w14:textFill>
                  <w14:solidFill>
                    <w14:schemeClr w14:val="tx1"/>
                  </w14:solidFill>
                </w14:textFill>
              </w:rPr>
              <w:t>水</w:t>
            </w: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水帘柜用水循环使用，</w:t>
            </w: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设有2个水帘柜，水帘柜大小均为水4</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m（长×宽×高）（有效水深</w:t>
            </w:r>
            <w:r>
              <w:rPr>
                <w:color w:val="000000" w:themeColor="text1"/>
                <w:sz w:val="24"/>
                <w14:textFill>
                  <w14:solidFill>
                    <w14:schemeClr w14:val="tx1"/>
                  </w14:solidFill>
                </w14:textFill>
              </w:rPr>
              <w:t>0.3</w:t>
            </w:r>
            <w:r>
              <w:rPr>
                <w:rFonts w:hint="eastAsia"/>
                <w:color w:val="000000" w:themeColor="text1"/>
                <w:sz w:val="24"/>
                <w14:textFill>
                  <w14:solidFill>
                    <w14:schemeClr w14:val="tx1"/>
                  </w14:solidFill>
                </w14:textFill>
              </w:rPr>
              <w:t>m），有效容积合计约3</w:t>
            </w:r>
            <w:r>
              <w:rPr>
                <w:color w:val="000000" w:themeColor="text1"/>
                <w:sz w:val="24"/>
                <w14:textFill>
                  <w14:solidFill>
                    <w14:schemeClr w14:val="tx1"/>
                  </w14:solidFill>
                </w14:textFill>
              </w:rPr>
              <w:t>.84m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。水帘柜内用水循环使用，根据企业提供的资料，更换周期为每</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个月一次，则水帘柜废水的产生量为</w:t>
            </w:r>
            <w:r>
              <w:rPr>
                <w:color w:val="000000" w:themeColor="text1"/>
                <w:sz w:val="24"/>
                <w14:textFill>
                  <w14:solidFill>
                    <w14:schemeClr w14:val="tx1"/>
                  </w14:solidFill>
                </w14:textFill>
              </w:rPr>
              <w:t>15.36m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（0.</w:t>
            </w:r>
            <w:r>
              <w:rPr>
                <w:color w:val="000000" w:themeColor="text1"/>
                <w:sz w:val="24"/>
                <w14:textFill>
                  <w14:solidFill>
                    <w14:schemeClr w14:val="tx1"/>
                  </w14:solidFill>
                </w14:textFill>
              </w:rPr>
              <w:t>51</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w:t>
            </w:r>
          </w:p>
          <w:p>
            <w:pPr>
              <w:autoSpaceDE w:val="0"/>
              <w:autoSpaceDN w:val="0"/>
              <w:adjustRightInd w:val="0"/>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根据《涂装车间设计手册》</w:t>
            </w:r>
            <w:r>
              <w:rPr>
                <w:color w:val="000000" w:themeColor="text1"/>
                <w:sz w:val="24"/>
                <w14:textFill>
                  <w14:solidFill>
                    <w14:schemeClr w14:val="tx1"/>
                  </w14:solidFill>
                </w14:textFill>
              </w:rPr>
              <w:t>P262</w:t>
            </w:r>
            <w:r>
              <w:rPr>
                <w:rFonts w:hint="eastAsia"/>
                <w:color w:val="000000" w:themeColor="text1"/>
                <w:sz w:val="24"/>
                <w14:textFill>
                  <w14:solidFill>
                    <w14:schemeClr w14:val="tx1"/>
                  </w14:solidFill>
                </w14:textFill>
              </w:rPr>
              <w:t xml:space="preserve">，喷漆室的循环水量可按下式计算： </w:t>
            </w:r>
          </w:p>
          <w:p>
            <w:pPr>
              <w:autoSpaceDE w:val="0"/>
              <w:autoSpaceDN w:val="0"/>
              <w:adjustRightInd w:val="0"/>
              <w:spacing w:line="360" w:lineRule="auto"/>
              <w:ind w:firstLine="480" w:firstLineChars="20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Q=VK</w:t>
            </w:r>
          </w:p>
          <w:p>
            <w:pPr>
              <w:autoSpaceDE w:val="0"/>
              <w:autoSpaceDN w:val="0"/>
              <w:adjustRightInd w:val="0"/>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式中：</w:t>
            </w:r>
            <w:r>
              <w:rPr>
                <w:color w:val="000000" w:themeColor="text1"/>
                <w:sz w:val="24"/>
                <w14:textFill>
                  <w14:solidFill>
                    <w14:schemeClr w14:val="tx1"/>
                  </w14:solidFill>
                </w14:textFill>
              </w:rPr>
              <w:t>Q=</w:t>
            </w:r>
            <w:r>
              <w:rPr>
                <w:rFonts w:hint="eastAsia"/>
                <w:color w:val="000000" w:themeColor="text1"/>
                <w:sz w:val="24"/>
                <w14:textFill>
                  <w14:solidFill>
                    <w14:schemeClr w14:val="tx1"/>
                  </w14:solidFill>
                </w14:textFill>
              </w:rPr>
              <w:t>喷漆室的每小时循环水量</w:t>
            </w:r>
            <w:r>
              <w:rPr>
                <w:color w:val="000000" w:themeColor="text1"/>
                <w:sz w:val="24"/>
                <w14:textFill>
                  <w14:solidFill>
                    <w14:schemeClr w14:val="tx1"/>
                  </w14:solidFill>
                </w14:textFill>
              </w:rPr>
              <w:t>kg/h</w:t>
            </w:r>
            <w:r>
              <w:rPr>
                <w:rFonts w:hint="eastAsia"/>
                <w:color w:val="000000" w:themeColor="text1"/>
                <w:sz w:val="24"/>
                <w14:textFill>
                  <w14:solidFill>
                    <w14:schemeClr w14:val="tx1"/>
                  </w14:solidFill>
                </w14:textFill>
              </w:rPr>
              <w:t xml:space="preserve">， </w:t>
            </w:r>
          </w:p>
          <w:p>
            <w:pPr>
              <w:autoSpaceDE w:val="0"/>
              <w:autoSpaceDN w:val="0"/>
              <w:adjustRightInd w:val="0"/>
              <w:spacing w:line="360" w:lineRule="auto"/>
              <w:ind w:firstLine="1200" w:firstLineChars="5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V=</w:t>
            </w:r>
            <w:r>
              <w:rPr>
                <w:rFonts w:hint="eastAsia"/>
                <w:color w:val="000000" w:themeColor="text1"/>
                <w:sz w:val="24"/>
                <w14:textFill>
                  <w14:solidFill>
                    <w14:schemeClr w14:val="tx1"/>
                  </w14:solidFill>
                </w14:textFill>
              </w:rPr>
              <w:t>喷漆室的每小时排风量</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w:t>
            </w:r>
            <w:r>
              <w:rPr>
                <w:rFonts w:hint="eastAsia"/>
                <w:color w:val="000000" w:themeColor="text1"/>
                <w:sz w:val="24"/>
                <w14:textFill>
                  <w14:solidFill>
                    <w14:schemeClr w14:val="tx1"/>
                  </w14:solidFill>
                </w14:textFill>
              </w:rPr>
              <w:t>，本项目取1000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w:t>
            </w:r>
            <w:r>
              <w:rPr>
                <w:rFonts w:hint="eastAsia"/>
                <w:color w:val="000000" w:themeColor="text1"/>
                <w:sz w:val="24"/>
                <w14:textFill>
                  <w14:solidFill>
                    <w14:schemeClr w14:val="tx1"/>
                  </w14:solidFill>
                </w14:textFill>
              </w:rPr>
              <w:t xml:space="preserve">。 </w:t>
            </w:r>
          </w:p>
          <w:p>
            <w:pPr>
              <w:autoSpaceDE w:val="0"/>
              <w:autoSpaceDN w:val="0"/>
              <w:adjustRightInd w:val="0"/>
              <w:spacing w:line="360" w:lineRule="auto"/>
              <w:ind w:firstLine="1200" w:firstLineChars="5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K=</w:t>
            </w:r>
            <w:r>
              <w:rPr>
                <w:rFonts w:hint="eastAsia"/>
                <w:color w:val="000000" w:themeColor="text1"/>
                <w:sz w:val="24"/>
                <w14:textFill>
                  <w14:solidFill>
                    <w14:schemeClr w14:val="tx1"/>
                  </w14:solidFill>
                </w14:textFill>
              </w:rPr>
              <w:t>消耗因数，</w:t>
            </w:r>
            <w:r>
              <w:rPr>
                <w:color w:val="000000" w:themeColor="text1"/>
                <w:sz w:val="24"/>
                <w14:textFill>
                  <w14:solidFill>
                    <w14:schemeClr w14:val="tx1"/>
                  </w14:solidFill>
                </w14:textFill>
              </w:rPr>
              <w:t>kg/m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，喷淋式小型喷漆室取</w:t>
            </w:r>
            <w:r>
              <w:rPr>
                <w:color w:val="000000" w:themeColor="text1"/>
                <w:sz w:val="24"/>
                <w14:textFill>
                  <w14:solidFill>
                    <w14:schemeClr w14:val="tx1"/>
                  </w14:solidFill>
                </w14:textFill>
              </w:rPr>
              <w:t>1~1.2</w:t>
            </w:r>
            <w:r>
              <w:rPr>
                <w:rFonts w:hint="eastAsia"/>
                <w:color w:val="000000" w:themeColor="text1"/>
                <w:sz w:val="24"/>
                <w14:textFill>
                  <w14:solidFill>
                    <w14:schemeClr w14:val="tx1"/>
                  </w14:solidFill>
                </w14:textFill>
              </w:rPr>
              <w:t>，本项目取</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w:t>
            </w:r>
          </w:p>
          <w:p>
            <w:pPr>
              <w:autoSpaceDE w:val="0"/>
              <w:autoSpaceDN w:val="0"/>
              <w:adjustRightIn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由上式计算</w:t>
            </w:r>
            <w:r>
              <w:rPr>
                <w:color w:val="000000" w:themeColor="text1"/>
                <w:sz w:val="24"/>
                <w14:textFill>
                  <w14:solidFill>
                    <w14:schemeClr w14:val="tx1"/>
                  </w14:solidFill>
                </w14:textFill>
              </w:rPr>
              <w:t>Q=</w:t>
            </w:r>
            <w:r>
              <w:rPr>
                <w:rFonts w:hint="eastAsia"/>
                <w:color w:val="000000" w:themeColor="text1"/>
                <w:sz w:val="24"/>
                <w14:textFill>
                  <w14:solidFill>
                    <w14:schemeClr w14:val="tx1"/>
                  </w14:solidFill>
                </w14:textFill>
              </w:rPr>
              <w:t>1000</w:t>
            </w:r>
            <w:r>
              <w:rPr>
                <w:color w:val="000000" w:themeColor="text1"/>
                <w:sz w:val="24"/>
                <w14:textFill>
                  <w14:solidFill>
                    <w14:schemeClr w14:val="tx1"/>
                  </w14:solidFill>
                </w14:textFill>
              </w:rPr>
              <w:t>kg/h</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2000m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），根据《涂装车间设计手册》，喷淋式每小时耗水量的百分比系数取</w:t>
            </w:r>
            <w:r>
              <w:rPr>
                <w:color w:val="000000" w:themeColor="text1"/>
                <w:sz w:val="24"/>
                <w14:textFill>
                  <w14:solidFill>
                    <w14:schemeClr w14:val="tx1"/>
                  </w14:solidFill>
                </w14:textFill>
              </w:rPr>
              <w:t>1.5%</w:t>
            </w:r>
            <w:r>
              <w:rPr>
                <w:rFonts w:hint="eastAsia"/>
                <w:color w:val="000000" w:themeColor="text1"/>
                <w:sz w:val="24"/>
                <w14:textFill>
                  <w14:solidFill>
                    <w14:schemeClr w14:val="tx1"/>
                  </w14:solidFill>
                </w14:textFill>
              </w:rPr>
              <w:t>，则每个喷漆房水帘柜水损耗量为</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12</w:t>
            </w:r>
            <w:r>
              <w:rPr>
                <w:color w:val="000000" w:themeColor="text1"/>
                <w:sz w:val="24"/>
                <w14:textFill>
                  <w14:solidFill>
                    <w14:schemeClr w14:val="tx1"/>
                  </w14:solidFill>
                </w14:textFill>
              </w:rPr>
              <w:t>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d（3</w:t>
            </w:r>
            <w:r>
              <w:rPr>
                <w:color w:val="000000" w:themeColor="text1"/>
                <w:sz w:val="24"/>
                <w14:textFill>
                  <w14:solidFill>
                    <w14:schemeClr w14:val="tx1"/>
                  </w14:solidFill>
                </w14:textFill>
              </w:rPr>
              <w:t>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），项目设置两个喷漆房，则喷漆房水帘柜水总损耗量为</w:t>
            </w:r>
            <w:r>
              <w:rPr>
                <w:color w:val="000000" w:themeColor="text1"/>
                <w:sz w:val="24"/>
                <w14:textFill>
                  <w14:solidFill>
                    <w14:schemeClr w14:val="tx1"/>
                  </w14:solidFill>
                </w14:textFill>
              </w:rPr>
              <w:t>0.240m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w:t>
            </w:r>
            <w:r>
              <w:rPr>
                <w:color w:val="000000" w:themeColor="text1"/>
                <w:sz w:val="24"/>
                <w14:textFill>
                  <w14:solidFill>
                    <w14:schemeClr w14:val="tx1"/>
                  </w14:solidFill>
                </w14:textFill>
              </w:rPr>
              <w:t>60m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），在统计水帘柜更换废水量后，水帘柜补充水量合计为</w:t>
            </w:r>
            <w:r>
              <w:rPr>
                <w:color w:val="000000" w:themeColor="text1"/>
                <w:sz w:val="24"/>
                <w14:textFill>
                  <w14:solidFill>
                    <w14:schemeClr w14:val="tx1"/>
                  </w14:solidFill>
                </w14:textFill>
              </w:rPr>
              <w:t>0.291m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/d</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75.36m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w:t>
            </w:r>
          </w:p>
          <w:p>
            <w:pPr>
              <w:numPr>
                <w:ilvl w:val="0"/>
                <w:numId w:val="10"/>
              </w:numPr>
              <w:autoSpaceDE w:val="0"/>
              <w:autoSpaceDN w:val="0"/>
              <w:adjustRightInd w:val="0"/>
              <w:spacing w:line="360" w:lineRule="auto"/>
              <w:ind w:left="0" w:firstLine="482"/>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调漆、喷漆、晾干废气处理装置水喷淋塔用</w:t>
            </w:r>
            <w:r>
              <w:rPr>
                <w:b/>
                <w:bCs/>
                <w:color w:val="000000" w:themeColor="text1"/>
                <w:sz w:val="24"/>
                <w14:textFill>
                  <w14:solidFill>
                    <w14:schemeClr w14:val="tx1"/>
                  </w14:solidFill>
                </w14:textFill>
              </w:rPr>
              <w:t>水：</w:t>
            </w: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喷漆、烘烤、补土废气</w:t>
            </w:r>
            <w:r>
              <w:rPr>
                <w:color w:val="000000" w:themeColor="text1"/>
                <w:sz w:val="24"/>
                <w14:textFill>
                  <w14:solidFill>
                    <w14:schemeClr w14:val="tx1"/>
                  </w14:solidFill>
                </w14:textFill>
              </w:rPr>
              <w:t>进入喷淋塔处理，根据《简明通风设计手册》（孙一坚主编）第527页表10-48</w:t>
            </w:r>
            <w:r>
              <w:rPr>
                <w:rFonts w:hint="eastAsia" w:ascii="宋体" w:hAnsi="宋体" w:cs="宋体"/>
                <w:color w:val="000000" w:themeColor="text1"/>
                <w:sz w:val="24"/>
                <w14:textFill>
                  <w14:solidFill>
                    <w14:schemeClr w14:val="tx1"/>
                  </w14:solidFill>
                </w14:textFill>
              </w:rPr>
              <w:t>“各种吸收装置的技术经济比较”，</w:t>
            </w:r>
            <w:r>
              <w:rPr>
                <w:color w:val="000000" w:themeColor="text1"/>
                <w:sz w:val="24"/>
                <w14:textFill>
                  <w14:solidFill>
                    <w14:schemeClr w14:val="tx1"/>
                  </w14:solidFill>
                </w14:textFill>
              </w:rPr>
              <w:t>喷淋塔气液比为0.1~1.0L/m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，项目喷淋塔循环水量根据气液比1L/m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计算，</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废气处理设施</w:t>
            </w:r>
            <w:r>
              <w:rPr>
                <w:color w:val="000000" w:themeColor="text1"/>
                <w:sz w:val="24"/>
                <w14:textFill>
                  <w14:solidFill>
                    <w14:schemeClr w14:val="tx1"/>
                  </w14:solidFill>
                </w14:textFill>
              </w:rPr>
              <w:t>风量</w:t>
            </w:r>
            <w:r>
              <w:rPr>
                <w:rFonts w:hint="eastAsia"/>
                <w:color w:val="000000" w:themeColor="text1"/>
                <w:sz w:val="24"/>
                <w14:textFill>
                  <w14:solidFill>
                    <w14:schemeClr w14:val="tx1"/>
                  </w14:solidFill>
                </w14:textFill>
              </w:rPr>
              <w:t>均为</w:t>
            </w: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000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/h，每天工作8h，年工作300天，则循环用水量</w:t>
            </w:r>
            <w:r>
              <w:rPr>
                <w:rFonts w:hint="eastAsia"/>
                <w:color w:val="000000" w:themeColor="text1"/>
                <w:sz w:val="24"/>
                <w14:textFill>
                  <w14:solidFill>
                    <w14:schemeClr w14:val="tx1"/>
                  </w14:solidFill>
                </w14:textFill>
              </w:rPr>
              <w:t>均</w:t>
            </w:r>
            <w:r>
              <w:rPr>
                <w:color w:val="000000" w:themeColor="text1"/>
                <w:sz w:val="24"/>
                <w14:textFill>
                  <w14:solidFill>
                    <w14:schemeClr w14:val="tx1"/>
                  </w14:solidFill>
                </w14:textFill>
              </w:rPr>
              <w:t>为</w:t>
            </w: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0t/h，循环水塔储水量按照10分钟的循环水量核算，则喷淋塔储水量</w:t>
            </w:r>
            <w:r>
              <w:rPr>
                <w:rFonts w:hint="eastAsia"/>
                <w:color w:val="000000" w:themeColor="text1"/>
                <w:sz w:val="24"/>
                <w14:textFill>
                  <w14:solidFill>
                    <w14:schemeClr w14:val="tx1"/>
                  </w14:solidFill>
                </w14:textFill>
              </w:rPr>
              <w:t>约</w:t>
            </w:r>
            <w:r>
              <w:rPr>
                <w:color w:val="000000" w:themeColor="text1"/>
                <w:sz w:val="24"/>
                <w14:textFill>
                  <w14:solidFill>
                    <w14:schemeClr w14:val="tx1"/>
                  </w14:solidFill>
                </w14:textFill>
              </w:rPr>
              <w:t>为1.67t，参考《建设给水排水设计规范》（GB50015-2019）中对于补充水量，一般按循环水量的1%~2%确定，本项目喷淋塔损耗量约占循环水量的2%，则每天补充新鲜水1.600t/d，损耗水量为480t/a。喷淋塔</w:t>
            </w:r>
            <w:r>
              <w:rPr>
                <w:rFonts w:hint="eastAsia"/>
                <w:color w:val="000000" w:themeColor="text1"/>
                <w:sz w:val="24"/>
                <w14:textFill>
                  <w14:solidFill>
                    <w14:schemeClr w14:val="tx1"/>
                  </w14:solidFill>
                </w14:textFill>
              </w:rPr>
              <w:t>更换水量为6</w:t>
            </w:r>
            <w:r>
              <w:rPr>
                <w:color w:val="000000" w:themeColor="text1"/>
                <w:sz w:val="24"/>
                <w14:textFill>
                  <w14:solidFill>
                    <w14:schemeClr w14:val="tx1"/>
                  </w14:solidFill>
                </w14:textFill>
              </w:rPr>
              <w:t>.68m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a（0</w:t>
            </w:r>
            <w:r>
              <w:rPr>
                <w:color w:val="000000" w:themeColor="text1"/>
                <w:sz w:val="24"/>
                <w14:textFill>
                  <w14:solidFill>
                    <w14:schemeClr w14:val="tx1"/>
                  </w14:solidFill>
                </w14:textFill>
              </w:rPr>
              <w:t>.022m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d），则喷淋塔用水量为</w:t>
            </w:r>
            <w:r>
              <w:rPr>
                <w:color w:val="000000" w:themeColor="text1"/>
                <w:sz w:val="24"/>
                <w14:textFill>
                  <w14:solidFill>
                    <w14:schemeClr w14:val="tx1"/>
                  </w14:solidFill>
                </w14:textFill>
              </w:rPr>
              <w:t>486.68m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w:t>
            </w:r>
            <w:r>
              <w:rPr>
                <w:color w:val="000000" w:themeColor="text1"/>
                <w:sz w:val="24"/>
                <w14:textFill>
                  <w14:solidFill>
                    <w14:schemeClr w14:val="tx1"/>
                  </w14:solidFill>
                </w14:textFill>
              </w:rPr>
              <w:t>1.622m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w:t>
            </w:r>
          </w:p>
          <w:p>
            <w:pPr>
              <w:numPr>
                <w:ilvl w:val="0"/>
                <w:numId w:val="9"/>
              </w:numPr>
              <w:autoSpaceDE w:val="0"/>
              <w:autoSpaceDN w:val="0"/>
              <w:adjustRightInd w:val="0"/>
              <w:spacing w:line="360" w:lineRule="auto"/>
              <w:ind w:left="0" w:firstLine="400"/>
              <w:rPr>
                <w:color w:val="000000" w:themeColor="text1"/>
                <w:sz w:val="24"/>
                <w14:textFill>
                  <w14:solidFill>
                    <w14:schemeClr w14:val="tx1"/>
                  </w14:solidFill>
                </w14:textFill>
              </w:rPr>
            </w:pPr>
            <w:r>
              <w:rPr>
                <w:b/>
                <w:bCs/>
                <w:color w:val="000000" w:themeColor="text1"/>
                <w:sz w:val="24"/>
                <w14:textFill>
                  <w14:solidFill>
                    <w14:schemeClr w14:val="tx1"/>
                  </w14:solidFill>
                </w14:textFill>
              </w:rPr>
              <w:t>生活用水：</w:t>
            </w:r>
            <w:r>
              <w:rPr>
                <w:color w:val="000000" w:themeColor="text1"/>
                <w:sz w:val="24"/>
                <w14:textFill>
                  <w14:solidFill>
                    <w14:schemeClr w14:val="tx1"/>
                  </w14:solidFill>
                </w14:textFill>
              </w:rPr>
              <w:t>本项目员工40人，年工作300天，每天工作8小时，均在项目内食宿。员工的生活用水量参考广东省《用水定额 第3部分：生活》（DB44/T1461.3-2021）</w:t>
            </w:r>
            <w:r>
              <w:rPr>
                <w:rFonts w:hint="eastAsia"/>
                <w:color w:val="000000" w:themeColor="text1"/>
                <w:sz w:val="24"/>
                <w14:textFill>
                  <w14:solidFill>
                    <w14:schemeClr w14:val="tx1"/>
                  </w14:solidFill>
                </w14:textFill>
              </w:rPr>
              <w:t>有住宿</w:t>
            </w:r>
            <w:r>
              <w:rPr>
                <w:color w:val="000000" w:themeColor="text1"/>
                <w:sz w:val="24"/>
                <w14:textFill>
                  <w14:solidFill>
                    <w14:schemeClr w14:val="tx1"/>
                  </w14:solidFill>
                </w14:textFill>
              </w:rPr>
              <w:t>的用水定额为160L/（人</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a），则员工生活用水量为1920m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（5</w:t>
            </w:r>
            <w:r>
              <w:rPr>
                <w:color w:val="000000" w:themeColor="text1"/>
                <w:sz w:val="24"/>
                <w14:textFill>
                  <w14:solidFill>
                    <w14:schemeClr w14:val="tx1"/>
                  </w14:solidFill>
                </w14:textFill>
              </w:rPr>
              <w:t>.760m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w:t>
            </w:r>
            <w:r>
              <w:rPr>
                <w:color w:val="000000" w:themeColor="text1"/>
                <w:sz w:val="24"/>
                <w14:textFill>
                  <w14:solidFill>
                    <w14:schemeClr w14:val="tx1"/>
                  </w14:solidFill>
                </w14:textFill>
              </w:rPr>
              <w:t>。</w:t>
            </w:r>
          </w:p>
          <w:p>
            <w:pPr>
              <w:numPr>
                <w:ilvl w:val="0"/>
                <w:numId w:val="7"/>
              </w:numPr>
              <w:spacing w:line="360" w:lineRule="auto"/>
              <w:ind w:left="630" w:hanging="420"/>
              <w:rPr>
                <w:b/>
                <w:color w:val="000000" w:themeColor="text1"/>
                <w:sz w:val="24"/>
                <w14:textFill>
                  <w14:solidFill>
                    <w14:schemeClr w14:val="tx1"/>
                  </w14:solidFill>
                </w14:textFill>
              </w:rPr>
            </w:pPr>
            <w:r>
              <w:rPr>
                <w:b/>
                <w:color w:val="000000" w:themeColor="text1"/>
                <w:sz w:val="24"/>
                <w14:textFill>
                  <w14:solidFill>
                    <w14:schemeClr w14:val="tx1"/>
                  </w14:solidFill>
                </w14:textFill>
              </w:rPr>
              <w:t>排水情况</w:t>
            </w:r>
          </w:p>
          <w:p>
            <w:pPr>
              <w:pStyle w:val="2"/>
              <w:spacing w:line="360" w:lineRule="auto"/>
              <w:ind w:firstLine="480" w:firstLineChars="200"/>
              <w:rPr>
                <w:bCs/>
                <w:color w:val="000000" w:themeColor="text1"/>
                <w:sz w:val="24"/>
                <w:szCs w:val="24"/>
                <w14:textFill>
                  <w14:solidFill>
                    <w14:schemeClr w14:val="tx1"/>
                  </w14:solidFill>
                </w14:textFill>
              </w:rPr>
            </w:pPr>
            <w:r>
              <w:rPr>
                <w:rFonts w:eastAsia="宋体"/>
                <w:color w:val="000000" w:themeColor="text1"/>
                <w:sz w:val="24"/>
                <w:szCs w:val="24"/>
                <w14:textFill>
                  <w14:solidFill>
                    <w14:schemeClr w14:val="tx1"/>
                  </w14:solidFill>
                </w14:textFill>
              </w:rPr>
              <w:t>厂区采取雨污分流制。</w:t>
            </w:r>
          </w:p>
          <w:p>
            <w:pPr>
              <w:numPr>
                <w:ilvl w:val="0"/>
                <w:numId w:val="11"/>
              </w:numPr>
              <w:adjustRightInd w:val="0"/>
              <w:snapToGrid w:val="0"/>
              <w:ind w:firstLine="482"/>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生产废水：</w:t>
            </w:r>
          </w:p>
          <w:p>
            <w:pPr>
              <w:numPr>
                <w:ilvl w:val="0"/>
                <w:numId w:val="12"/>
              </w:numPr>
              <w:autoSpaceDE w:val="0"/>
              <w:autoSpaceDN w:val="0"/>
              <w:adjustRightInd w:val="0"/>
              <w:spacing w:line="360" w:lineRule="auto"/>
              <w:ind w:left="0"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喷枪清洗废水：</w:t>
            </w:r>
            <w:r>
              <w:rPr>
                <w:rFonts w:hint="eastAsia"/>
                <w:color w:val="000000" w:themeColor="text1"/>
                <w:sz w:val="24"/>
                <w14:textFill>
                  <w14:solidFill>
                    <w14:schemeClr w14:val="tx1"/>
                  </w14:solidFill>
                </w14:textFill>
              </w:rPr>
              <w:t>项目使用的喷枪清洗水用量为喷枪流量0.15L/min×3min/次×</w:t>
            </w:r>
            <w:r>
              <w:rPr>
                <w:color w:val="000000" w:themeColor="text1"/>
                <w:sz w:val="24"/>
                <w14:textFill>
                  <w14:solidFill>
                    <w14:schemeClr w14:val="tx1"/>
                  </w14:solidFill>
                </w14:textFill>
              </w:rPr>
              <w:t>10</w:t>
            </w:r>
            <w:r>
              <w:rPr>
                <w:rFonts w:hint="eastAsia"/>
                <w:color w:val="000000" w:themeColor="text1"/>
                <w:sz w:val="24"/>
                <w14:textFill>
                  <w14:solidFill>
                    <w14:schemeClr w14:val="tx1"/>
                  </w14:solidFill>
                </w14:textFill>
              </w:rPr>
              <w:t>把=</w:t>
            </w:r>
            <w:r>
              <w:rPr>
                <w:color w:val="000000" w:themeColor="text1"/>
                <w:sz w:val="24"/>
                <w14:textFill>
                  <w14:solidFill>
                    <w14:schemeClr w14:val="tx1"/>
                  </w14:solidFill>
                </w14:textFill>
              </w:rPr>
              <w:t>4.50</w:t>
            </w:r>
            <w:r>
              <w:rPr>
                <w:rFonts w:hint="eastAsia"/>
                <w:color w:val="000000" w:themeColor="text1"/>
                <w:sz w:val="24"/>
                <w14:textFill>
                  <w14:solidFill>
                    <w14:schemeClr w14:val="tx1"/>
                  </w14:solidFill>
                </w14:textFill>
              </w:rPr>
              <w:t>L/d，约</w:t>
            </w:r>
            <w:r>
              <w:rPr>
                <w:color w:val="000000" w:themeColor="text1"/>
                <w:sz w:val="24"/>
                <w14:textFill>
                  <w14:solidFill>
                    <w14:schemeClr w14:val="tx1"/>
                  </w14:solidFill>
                </w14:textFill>
              </w:rPr>
              <w:t>1.35m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/a，项目废水排污系数为0.9，则喷枪清洗废水产生量约为</w:t>
            </w:r>
            <w:r>
              <w:rPr>
                <w:color w:val="000000" w:themeColor="text1"/>
                <w:sz w:val="24"/>
                <w14:textFill>
                  <w14:solidFill>
                    <w14:schemeClr w14:val="tx1"/>
                  </w14:solidFill>
                </w14:textFill>
              </w:rPr>
              <w:t>4.05</w:t>
            </w:r>
            <w:r>
              <w:rPr>
                <w:rFonts w:hint="eastAsia"/>
                <w:color w:val="000000" w:themeColor="text1"/>
                <w:sz w:val="24"/>
                <w14:textFill>
                  <w14:solidFill>
                    <w14:schemeClr w14:val="tx1"/>
                  </w14:solidFill>
                </w14:textFill>
              </w:rPr>
              <w:t>L/d（</w:t>
            </w:r>
            <w:r>
              <w:rPr>
                <w:color w:val="000000" w:themeColor="text1"/>
                <w:sz w:val="24"/>
                <w14:textFill>
                  <w14:solidFill>
                    <w14:schemeClr w14:val="tx1"/>
                  </w14:solidFill>
                </w14:textFill>
              </w:rPr>
              <w:t>1.22m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/a），废水交由有危险废物处理资质的单位处理。</w:t>
            </w:r>
          </w:p>
          <w:p>
            <w:pPr>
              <w:numPr>
                <w:ilvl w:val="0"/>
                <w:numId w:val="12"/>
              </w:numPr>
              <w:autoSpaceDE w:val="0"/>
              <w:autoSpaceDN w:val="0"/>
              <w:adjustRightInd w:val="0"/>
              <w:spacing w:line="360" w:lineRule="auto"/>
              <w:ind w:left="0" w:firstLine="482" w:firstLineChars="200"/>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喷涂水帘柜更换废水：</w:t>
            </w: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水帘柜用水循环使用，每个水帘柜有效容积合计约</w:t>
            </w:r>
            <w:r>
              <w:rPr>
                <w:color w:val="000000" w:themeColor="text1"/>
                <w:sz w:val="24"/>
                <w14:textFill>
                  <w14:solidFill>
                    <w14:schemeClr w14:val="tx1"/>
                  </w14:solidFill>
                </w14:textFill>
              </w:rPr>
              <w:t>1.92m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，水帘柜内用水循环使用，根据企业提供的资料，企业有</w:t>
            </w: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个水帘柜，更换周期为每</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个月一次，则水帘柜废水的产生量为</w:t>
            </w:r>
            <w:r>
              <w:rPr>
                <w:color w:val="000000" w:themeColor="text1"/>
                <w:sz w:val="24"/>
                <w14:textFill>
                  <w14:solidFill>
                    <w14:schemeClr w14:val="tx1"/>
                  </w14:solidFill>
                </w14:textFill>
              </w:rPr>
              <w:t>15.36m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（0.</w:t>
            </w:r>
            <w:r>
              <w:rPr>
                <w:color w:val="000000" w:themeColor="text1"/>
                <w:sz w:val="24"/>
                <w14:textFill>
                  <w14:solidFill>
                    <w14:schemeClr w14:val="tx1"/>
                  </w14:solidFill>
                </w14:textFill>
              </w:rPr>
              <w:t>051</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/d）。</w:t>
            </w:r>
          </w:p>
          <w:p>
            <w:pPr>
              <w:numPr>
                <w:ilvl w:val="0"/>
                <w:numId w:val="12"/>
              </w:numPr>
              <w:autoSpaceDE w:val="0"/>
              <w:autoSpaceDN w:val="0"/>
              <w:adjustRightInd w:val="0"/>
              <w:spacing w:line="360" w:lineRule="auto"/>
              <w:ind w:left="0" w:firstLine="482" w:firstLineChars="200"/>
              <w:jc w:val="left"/>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调漆、喷漆、晾干废气处理装置喷淋塔</w:t>
            </w:r>
            <w:r>
              <w:rPr>
                <w:b/>
                <w:bCs/>
                <w:color w:val="000000" w:themeColor="text1"/>
                <w:sz w:val="24"/>
                <w14:textFill>
                  <w14:solidFill>
                    <w14:schemeClr w14:val="tx1"/>
                  </w14:solidFill>
                </w14:textFill>
              </w:rPr>
              <w:t>废水：</w:t>
            </w:r>
            <w:r>
              <w:rPr>
                <w:rFonts w:hint="eastAsia"/>
                <w:color w:val="000000" w:themeColor="text1"/>
                <w:sz w:val="24"/>
                <w14:textFill>
                  <w14:solidFill>
                    <w14:schemeClr w14:val="tx1"/>
                  </w14:solidFill>
                </w14:textFill>
              </w:rPr>
              <w:t>调漆、喷漆、晾干废气处理装置</w:t>
            </w:r>
            <w:r>
              <w:rPr>
                <w:color w:val="000000" w:themeColor="text1"/>
                <w:sz w:val="24"/>
                <w14:textFill>
                  <w14:solidFill>
                    <w14:schemeClr w14:val="tx1"/>
                  </w14:solidFill>
                </w14:textFill>
              </w:rPr>
              <w:t>喷淋塔储水量</w:t>
            </w:r>
            <w:r>
              <w:rPr>
                <w:rFonts w:hint="eastAsia"/>
                <w:color w:val="000000" w:themeColor="text1"/>
                <w:sz w:val="24"/>
                <w14:textFill>
                  <w14:solidFill>
                    <w14:schemeClr w14:val="tx1"/>
                  </w14:solidFill>
                </w14:textFill>
              </w:rPr>
              <w:t>约</w:t>
            </w:r>
            <w:r>
              <w:rPr>
                <w:color w:val="000000" w:themeColor="text1"/>
                <w:sz w:val="24"/>
                <w14:textFill>
                  <w14:solidFill>
                    <w14:schemeClr w14:val="tx1"/>
                  </w14:solidFill>
                </w14:textFill>
              </w:rPr>
              <w:t>为1.67m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。喷淋塔水每年更换</w:t>
            </w: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次</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喷淋塔废水产生量为6.68m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a（0</w:t>
            </w:r>
            <w:r>
              <w:rPr>
                <w:color w:val="000000" w:themeColor="text1"/>
                <w:sz w:val="24"/>
                <w14:textFill>
                  <w14:solidFill>
                    <w14:schemeClr w14:val="tx1"/>
                  </w14:solidFill>
                </w14:textFill>
              </w:rPr>
              <w:t>.022 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d）</w:t>
            </w:r>
            <w:r>
              <w:rPr>
                <w:color w:val="000000" w:themeColor="text1"/>
                <w:sz w:val="24"/>
                <w14:textFill>
                  <w14:solidFill>
                    <w14:schemeClr w14:val="tx1"/>
                  </w14:solidFill>
                </w14:textFill>
              </w:rPr>
              <w:t>，更换后的废水委托有资质单位处理</w:t>
            </w:r>
            <w:r>
              <w:rPr>
                <w:rFonts w:hint="eastAsia"/>
                <w:color w:val="000000" w:themeColor="text1"/>
                <w:sz w:val="24"/>
                <w14:textFill>
                  <w14:solidFill>
                    <w14:schemeClr w14:val="tx1"/>
                  </w14:solidFill>
                </w14:textFill>
              </w:rPr>
              <w:t>。</w:t>
            </w:r>
          </w:p>
          <w:p>
            <w:pPr>
              <w:numPr>
                <w:ilvl w:val="0"/>
                <w:numId w:val="11"/>
              </w:numPr>
              <w:adjustRightInd w:val="0"/>
              <w:snapToGrid w:val="0"/>
              <w:spacing w:line="360" w:lineRule="auto"/>
              <w:ind w:firstLine="482"/>
              <w:rPr>
                <w:color w:val="000000" w:themeColor="text1"/>
                <w:sz w:val="24"/>
                <w14:textFill>
                  <w14:solidFill>
                    <w14:schemeClr w14:val="tx1"/>
                  </w14:solidFill>
                </w14:textFill>
              </w:rPr>
            </w:pPr>
            <w:r>
              <w:rPr>
                <w:b/>
                <w:bCs/>
                <w:color w:val="000000" w:themeColor="text1"/>
                <w:sz w:val="24"/>
                <w14:textFill>
                  <w14:solidFill>
                    <w14:schemeClr w14:val="tx1"/>
                  </w14:solidFill>
                </w14:textFill>
              </w:rPr>
              <w:t>生活污水：</w:t>
            </w:r>
            <w:r>
              <w:rPr>
                <w:color w:val="000000" w:themeColor="text1"/>
                <w:sz w:val="24"/>
                <w14:textFill>
                  <w14:solidFill>
                    <w14:schemeClr w14:val="tx1"/>
                  </w14:solidFill>
                </w14:textFill>
              </w:rPr>
              <w:t>项目生活用水量为6.400t/d（1920</w:t>
            </w:r>
            <w:r>
              <w:rPr>
                <w:rFonts w:hint="eastAsia"/>
                <w:color w:val="000000" w:themeColor="text1"/>
                <w:sz w:val="24"/>
                <w14:textFill>
                  <w14:solidFill>
                    <w14:schemeClr w14:val="tx1"/>
                  </w14:solidFill>
                </w14:textFill>
              </w:rPr>
              <w:t>t/a</w:t>
            </w:r>
            <w:r>
              <w:rPr>
                <w:color w:val="000000" w:themeColor="text1"/>
                <w:sz w:val="24"/>
                <w14:textFill>
                  <w14:solidFill>
                    <w14:schemeClr w14:val="tx1"/>
                  </w14:solidFill>
                </w14:textFill>
              </w:rPr>
              <w:t>），产污系数取值0.9，则生活污水产生量为5.760t/d（1728t/a）。项目位于博罗县福田镇生活污水处理厂纳污范围内，生活污水经</w:t>
            </w:r>
            <w:r>
              <w:rPr>
                <w:rFonts w:hint="eastAsia"/>
                <w:color w:val="000000" w:themeColor="text1"/>
                <w:sz w:val="24"/>
                <w14:textFill>
                  <w14:solidFill>
                    <w14:schemeClr w14:val="tx1"/>
                  </w14:solidFill>
                </w14:textFill>
              </w:rPr>
              <w:t>隔油隔渣、</w:t>
            </w:r>
            <w:r>
              <w:rPr>
                <w:color w:val="000000" w:themeColor="text1"/>
                <w:sz w:val="24"/>
                <w14:textFill>
                  <w14:solidFill>
                    <w14:schemeClr w14:val="tx1"/>
                  </w14:solidFill>
                </w14:textFill>
              </w:rPr>
              <w:t>三级化粪池预处理达到福田镇生活污水处理厂</w:t>
            </w:r>
            <w:r>
              <w:rPr>
                <w:rFonts w:hint="eastAsia"/>
                <w:color w:val="000000" w:themeColor="text1"/>
                <w:sz w:val="24"/>
                <w14:textFill>
                  <w14:solidFill>
                    <w14:schemeClr w14:val="tx1"/>
                  </w14:solidFill>
                </w14:textFill>
              </w:rPr>
              <w:t>接管</w:t>
            </w:r>
            <w:r>
              <w:rPr>
                <w:color w:val="000000" w:themeColor="text1"/>
                <w:sz w:val="24"/>
                <w14:textFill>
                  <w14:solidFill>
                    <w14:schemeClr w14:val="tx1"/>
                  </w14:solidFill>
                </w14:textFill>
              </w:rPr>
              <w:t>标准后，通过市政管网进入福田镇生活污水处理厂，经福田镇生活污水处理厂处理达标后尾水排</w:t>
            </w:r>
            <w:r>
              <w:rPr>
                <w:rFonts w:hint="eastAsia"/>
                <w:color w:val="000000" w:themeColor="text1"/>
                <w:sz w:val="24"/>
                <w14:textFill>
                  <w14:solidFill>
                    <w14:schemeClr w14:val="tx1"/>
                  </w14:solidFill>
                </w14:textFill>
              </w:rPr>
              <w:t>放</w:t>
            </w:r>
            <w:r>
              <w:rPr>
                <w:color w:val="000000" w:themeColor="text1"/>
                <w:sz w:val="24"/>
                <w14:textFill>
                  <w14:solidFill>
                    <w14:schemeClr w14:val="tx1"/>
                  </w14:solidFill>
                </w14:textFill>
              </w:rPr>
              <w:t>。</w:t>
            </w:r>
          </w:p>
          <w:p>
            <w:pPr>
              <w:pStyle w:val="2"/>
              <w:ind w:firstLine="480" w:firstLineChars="200"/>
            </w:pPr>
            <w:r>
              <w:rPr>
                <w:rFonts w:hint="eastAsia" w:eastAsia="宋体"/>
                <w:color w:val="000000" w:themeColor="text1"/>
                <w:sz w:val="24"/>
                <w:szCs w:val="24"/>
                <w14:textFill>
                  <w14:solidFill>
                    <w14:schemeClr w14:val="tx1"/>
                  </w14:solidFill>
                </w14:textFill>
              </w:rPr>
              <w:t>项目水平衡图详见图2</w:t>
            </w:r>
            <w:r>
              <w:rPr>
                <w:rFonts w:eastAsia="宋体"/>
                <w:color w:val="000000" w:themeColor="text1"/>
                <w:sz w:val="24"/>
                <w:szCs w:val="24"/>
                <w14:textFill>
                  <w14:solidFill>
                    <w14:schemeClr w14:val="tx1"/>
                  </w14:solidFill>
                </w14:textFill>
              </w:rPr>
              <w:t>-1</w:t>
            </w:r>
            <w:r>
              <w:rPr>
                <w:rFonts w:hint="eastAsia" w:eastAsia="宋体"/>
                <w:color w:val="000000" w:themeColor="text1"/>
                <w:sz w:val="24"/>
                <w:szCs w:val="24"/>
                <w14:textFill>
                  <w14:solidFill>
                    <w14:schemeClr w14:val="tx1"/>
                  </w14:solidFill>
                </w14:textFill>
              </w:rPr>
              <w:t>。</w:t>
            </w:r>
          </w:p>
          <w:p>
            <w:pPr>
              <w:spacing w:line="360" w:lineRule="auto"/>
              <w:ind w:firstLine="482" w:firstLineChars="200"/>
              <w:outlineLvl w:val="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6</w:t>
            </w:r>
            <w:r>
              <w:rPr>
                <w:b/>
                <w:color w:val="000000" w:themeColor="text1"/>
                <w:sz w:val="24"/>
                <w14:textFill>
                  <w14:solidFill>
                    <w14:schemeClr w14:val="tx1"/>
                  </w14:solidFill>
                </w14:textFill>
              </w:rPr>
              <w:t>、项目四至情况及平面布局</w:t>
            </w:r>
          </w:p>
          <w:p>
            <w:pPr>
              <w:pStyle w:val="30"/>
              <w:snapToGrid/>
              <w:spacing w:line="360" w:lineRule="auto"/>
              <w:ind w:firstLine="46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（1）四至情况</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w:t>
            </w:r>
            <w:r>
              <w:rPr>
                <w:rFonts w:hint="eastAsia"/>
                <w:color w:val="000000" w:themeColor="text1"/>
                <w:sz w:val="24"/>
                <w:lang w:val="zh-CN"/>
                <w14:textFill>
                  <w14:solidFill>
                    <w14:schemeClr w14:val="tx1"/>
                  </w14:solidFill>
                </w14:textFill>
              </w:rPr>
              <w:t>项目东</w:t>
            </w:r>
            <w:r>
              <w:rPr>
                <w:rFonts w:hint="eastAsia"/>
                <w:color w:val="000000" w:themeColor="text1"/>
                <w:sz w:val="24"/>
                <w14:textFill>
                  <w14:solidFill>
                    <w14:schemeClr w14:val="tx1"/>
                  </w14:solidFill>
                </w14:textFill>
              </w:rPr>
              <w:t>面为惠州市尚隆食品有限公司</w:t>
            </w:r>
            <w:r>
              <w:rPr>
                <w:rFonts w:hint="eastAsia"/>
                <w:color w:val="000000" w:themeColor="text1"/>
                <w:sz w:val="24"/>
                <w:lang w:val="zh-CN"/>
                <w14:textFill>
                  <w14:solidFill>
                    <w14:schemeClr w14:val="tx1"/>
                  </w14:solidFill>
                </w14:textFill>
              </w:rPr>
              <w:t>、南门为</w:t>
            </w:r>
            <w:r>
              <w:rPr>
                <w:rFonts w:hint="eastAsia"/>
                <w:color w:val="000000" w:themeColor="text1"/>
                <w:sz w:val="24"/>
                <w14:textFill>
                  <w14:solidFill>
                    <w14:schemeClr w14:val="tx1"/>
                  </w14:solidFill>
                </w14:textFill>
              </w:rPr>
              <w:t>南面惠州市凯盛实业有限公司、西面、北面均为惠州顺兴食品有限公司。</w:t>
            </w:r>
          </w:p>
          <w:p>
            <w:pPr>
              <w:spacing w:line="360" w:lineRule="auto"/>
              <w:ind w:firstLine="480" w:firstLineChars="200"/>
              <w:rPr>
                <w:color w:val="000000" w:themeColor="text1"/>
                <w14:textFill>
                  <w14:solidFill>
                    <w14:schemeClr w14:val="tx1"/>
                  </w14:solidFill>
                </w14:textFill>
              </w:rPr>
            </w:pPr>
            <w:r>
              <w:rPr>
                <w:color w:val="000000" w:themeColor="text1"/>
                <w:sz w:val="24"/>
                <w14:textFill>
                  <w14:solidFill>
                    <w14:schemeClr w14:val="tx1"/>
                  </w14:solidFill>
                </w14:textFill>
              </w:rPr>
              <w:t>本项目四至情况如附图2所示。</w:t>
            </w:r>
          </w:p>
          <w:p>
            <w:pPr>
              <w:pStyle w:val="30"/>
              <w:snapToGrid/>
              <w:spacing w:line="360" w:lineRule="auto"/>
              <w:ind w:firstLine="46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（2）平面布局</w:t>
            </w:r>
          </w:p>
          <w:p>
            <w:pPr>
              <w:spacing w:line="360" w:lineRule="auto"/>
              <w:ind w:firstLine="480" w:firstLineChars="200"/>
            </w:pPr>
            <w:r>
              <w:rPr>
                <w:rFonts w:hint="eastAsia"/>
                <w:color w:val="000000" w:themeColor="text1"/>
                <w:sz w:val="24"/>
                <w14:textFill>
                  <w14:solidFill>
                    <w14:schemeClr w14:val="tx1"/>
                  </w14:solidFill>
                </w14:textFill>
              </w:rPr>
              <w:t>本项目所在生产车间为一栋一层的建筑，建设单位租用该厂房作为生产车间，内部主要主要设置木工区、焊接区、材料区、喷漆区、晾干区、仓库等区域，生产车间内部还设有仓库、空压机房等，另设一栋两层的办公室。详见附图3。</w:t>
            </w:r>
          </w:p>
          <w:p>
            <w:pPr>
              <w:pStyle w:val="47"/>
              <w:spacing w:line="360" w:lineRule="auto"/>
              <w:jc w:val="center"/>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mc:AlternateContent>
                <mc:Choice Requires="wpc">
                  <w:drawing>
                    <wp:inline distT="0" distB="0" distL="0" distR="0">
                      <wp:extent cx="4849495" cy="3524250"/>
                      <wp:effectExtent l="0" t="0" r="8255" b="0"/>
                      <wp:docPr id="47" name="画布 171"/>
                      <wp:cNvGraphicFramePr/>
                      <a:graphic xmlns:a="http://schemas.openxmlformats.org/drawingml/2006/main">
                        <a:graphicData uri="http://schemas.microsoft.com/office/word/2010/wordprocessingCanvas">
                          <wpc:wpc>
                            <wpc:bg/>
                            <wpc:whole>
                              <a:ln>
                                <a:noFill/>
                              </a:ln>
                            </wpc:whole>
                            <wps:wsp>
                              <wps:cNvPr id="1" name="矩形 1"/>
                              <wps:cNvSpPr/>
                              <wps:spPr>
                                <a:xfrm>
                                  <a:off x="159562" y="1225706"/>
                                  <a:ext cx="305435" cy="876300"/>
                                </a:xfrm>
                                <a:prstGeom prst="rect">
                                  <a:avLst/>
                                </a:prstGeom>
                                <a:gradFill flip="none" rotWithShape="0">
                                  <a:gsLst>
                                    <a:gs pos="0">
                                      <a:srgbClr val="FFFFFF"/>
                                    </a:gs>
                                    <a:gs pos="100000">
                                      <a:srgbClr val="FFFFFF"/>
                                    </a:gs>
                                  </a:gsLst>
                                  <a:lin ang="0" scaled="0"/>
                                </a:gradFill>
                                <a:ln>
                                  <a:noFill/>
                                </a:ln>
                              </wps:spPr>
                              <wps:txbx>
                                <w:txbxContent>
                                  <w:p>
                                    <w:r>
                                      <w:rPr>
                                        <w:rFonts w:hint="eastAsia"/>
                                      </w:rPr>
                                      <w:t>市政供水</w:t>
                                    </w:r>
                                  </w:p>
                                </w:txbxContent>
                              </wps:txbx>
                              <wps:bodyPr upright="1"/>
                            </wps:wsp>
                            <wps:wsp>
                              <wps:cNvPr id="2" name="直接连接符 2"/>
                              <wps:cNvCnPr/>
                              <wps:spPr>
                                <a:xfrm>
                                  <a:off x="1123268" y="614549"/>
                                  <a:ext cx="31859" cy="2770564"/>
                                </a:xfrm>
                                <a:prstGeom prst="line">
                                  <a:avLst/>
                                </a:prstGeom>
                                <a:ln w="15875" cap="flat" cmpd="sng">
                                  <a:solidFill>
                                    <a:srgbClr val="000000"/>
                                  </a:solidFill>
                                  <a:prstDash val="solid"/>
                                  <a:round/>
                                  <a:headEnd type="none" w="med" len="med"/>
                                  <a:tailEnd type="none" w="med" len="med"/>
                                </a:ln>
                              </wps:spPr>
                              <wps:bodyPr/>
                            </wps:wsp>
                            <wps:wsp>
                              <wps:cNvPr id="3" name="直接连接符 3"/>
                              <wps:cNvCnPr/>
                              <wps:spPr>
                                <a:xfrm>
                                  <a:off x="1158417" y="2576351"/>
                                  <a:ext cx="431800" cy="0"/>
                                </a:xfrm>
                                <a:prstGeom prst="line">
                                  <a:avLst/>
                                </a:prstGeom>
                                <a:ln w="15875" cap="flat" cmpd="sng">
                                  <a:solidFill>
                                    <a:srgbClr val="000000"/>
                                  </a:solidFill>
                                  <a:prstDash val="solid"/>
                                  <a:round/>
                                  <a:headEnd type="none" w="med" len="med"/>
                                  <a:tailEnd type="triangle" w="med" len="med"/>
                                </a:ln>
                              </wps:spPr>
                              <wps:bodyPr/>
                            </wps:wsp>
                            <wps:wsp>
                              <wps:cNvPr id="4" name="矩形 4"/>
                              <wps:cNvSpPr/>
                              <wps:spPr>
                                <a:xfrm>
                                  <a:off x="3324412" y="508764"/>
                                  <a:ext cx="1417954" cy="276225"/>
                                </a:xfrm>
                                <a:prstGeom prst="rect">
                                  <a:avLst/>
                                </a:prstGeom>
                                <a:gradFill flip="none" rotWithShape="0">
                                  <a:gsLst>
                                    <a:gs pos="0">
                                      <a:srgbClr val="FFFFFF"/>
                                    </a:gs>
                                    <a:gs pos="100000">
                                      <a:srgbClr val="FFFFFF"/>
                                    </a:gs>
                                  </a:gsLst>
                                  <a:lin ang="0" scaled="0"/>
                                </a:gradFill>
                                <a:ln>
                                  <a:noFill/>
                                </a:ln>
                              </wps:spPr>
                              <wps:txbx>
                                <w:txbxContent>
                                  <w:p>
                                    <w:r>
                                      <w:rPr>
                                        <w:rFonts w:hint="eastAsia"/>
                                      </w:rPr>
                                      <w:t>交由有资质单位处置</w:t>
                                    </w:r>
                                  </w:p>
                                </w:txbxContent>
                              </wps:txbx>
                              <wps:bodyPr upright="1"/>
                            </wps:wsp>
                            <wps:wsp>
                              <wps:cNvPr id="5" name="矩形 5"/>
                              <wps:cNvSpPr/>
                              <wps:spPr>
                                <a:xfrm>
                                  <a:off x="1633852" y="365526"/>
                                  <a:ext cx="1255325" cy="680352"/>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pPr>
                                      <w:jc w:val="center"/>
                                    </w:pPr>
                                    <w:r>
                                      <w:rPr>
                                        <w:rFonts w:hint="eastAsia"/>
                                      </w:rPr>
                                      <w:t>调漆、喷漆、晾干废气处理装置喷淋塔用水</w:t>
                                    </w:r>
                                  </w:p>
                                </w:txbxContent>
                              </wps:txbx>
                              <wps:bodyPr upright="1"/>
                            </wps:wsp>
                            <wps:wsp>
                              <wps:cNvPr id="6" name="直接连接符 6"/>
                              <wps:cNvCnPr/>
                              <wps:spPr>
                                <a:xfrm>
                                  <a:off x="1123268" y="614622"/>
                                  <a:ext cx="495363" cy="0"/>
                                </a:xfrm>
                                <a:prstGeom prst="line">
                                  <a:avLst/>
                                </a:prstGeom>
                                <a:ln w="15875" cap="flat" cmpd="sng">
                                  <a:solidFill>
                                    <a:srgbClr val="000000"/>
                                  </a:solidFill>
                                  <a:prstDash val="solid"/>
                                  <a:round/>
                                  <a:headEnd type="none" w="med" len="med"/>
                                  <a:tailEnd type="triangle" w="med" len="med"/>
                                </a:ln>
                              </wps:spPr>
                              <wps:bodyPr/>
                            </wps:wsp>
                            <wps:wsp>
                              <wps:cNvPr id="7" name="矩形 7"/>
                              <wps:cNvSpPr/>
                              <wps:spPr>
                                <a:xfrm>
                                  <a:off x="1567992" y="1452402"/>
                                  <a:ext cx="780415" cy="285750"/>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r>
                                      <w:rPr>
                                        <w:rFonts w:hint="eastAsia"/>
                                      </w:rPr>
                                      <w:t>生活用水</w:t>
                                    </w:r>
                                  </w:p>
                                </w:txbxContent>
                              </wps:txbx>
                              <wps:bodyPr upright="1"/>
                            </wps:wsp>
                            <wps:wsp>
                              <wps:cNvPr id="8" name="矩形 8"/>
                              <wps:cNvSpPr/>
                              <wps:spPr>
                                <a:xfrm>
                                  <a:off x="3826357" y="1442822"/>
                                  <a:ext cx="992504" cy="285750"/>
                                </a:xfrm>
                                <a:prstGeom prst="rect">
                                  <a:avLst/>
                                </a:prstGeom>
                                <a:gradFill flip="none" rotWithShape="0">
                                  <a:gsLst>
                                    <a:gs pos="0">
                                      <a:srgbClr val="FFFFFF"/>
                                    </a:gs>
                                    <a:gs pos="100000">
                                      <a:srgbClr val="FFFFFF"/>
                                    </a:gs>
                                  </a:gsLst>
                                  <a:lin ang="0" scaled="0"/>
                                </a:gradFill>
                                <a:ln>
                                  <a:noFill/>
                                </a:ln>
                              </wps:spPr>
                              <wps:txbx>
                                <w:txbxContent>
                                  <w:p>
                                    <w:r>
                                      <w:rPr>
                                        <w:rFonts w:hint="eastAsia"/>
                                      </w:rPr>
                                      <w:t>市政污水管网</w:t>
                                    </w:r>
                                  </w:p>
                                </w:txbxContent>
                              </wps:txbx>
                              <wps:bodyPr upright="1"/>
                            </wps:wsp>
                            <wps:wsp>
                              <wps:cNvPr id="9" name="曲线连接符 9"/>
                              <wps:cNvCnPr/>
                              <wps:spPr>
                                <a:xfrm flipV="1">
                                  <a:off x="1865807" y="1334291"/>
                                  <a:ext cx="230505" cy="118110"/>
                                </a:xfrm>
                                <a:prstGeom prst="curvedConnector3">
                                  <a:avLst>
                                    <a:gd name="adj1" fmla="val 50139"/>
                                  </a:avLst>
                                </a:prstGeom>
                                <a:ln w="15875" cap="flat" cmpd="sng">
                                  <a:solidFill>
                                    <a:srgbClr val="000000"/>
                                  </a:solidFill>
                                  <a:prstDash val="dash"/>
                                  <a:round/>
                                  <a:headEnd type="none" w="med" len="med"/>
                                  <a:tailEnd type="triangle" w="med" len="med"/>
                                </a:ln>
                              </wps:spPr>
                              <wps:bodyPr/>
                            </wps:wsp>
                            <wps:wsp>
                              <wps:cNvPr id="10" name="矩形 10"/>
                              <wps:cNvSpPr/>
                              <wps:spPr>
                                <a:xfrm>
                                  <a:off x="2072817" y="1099976"/>
                                  <a:ext cx="867893" cy="314325"/>
                                </a:xfrm>
                                <a:prstGeom prst="rect">
                                  <a:avLst/>
                                </a:prstGeom>
                                <a:ln>
                                  <a:noFill/>
                                </a:ln>
                              </wps:spPr>
                              <wps:txbx>
                                <w:txbxContent>
                                  <w:p>
                                    <w:r>
                                      <w:rPr>
                                        <w:rFonts w:hint="eastAsia"/>
                                      </w:rPr>
                                      <w:t>损耗0.</w:t>
                                    </w:r>
                                    <w:r>
                                      <w:t>640</w:t>
                                    </w:r>
                                  </w:p>
                                </w:txbxContent>
                              </wps:txbx>
                              <wps:bodyPr upright="1"/>
                            </wps:wsp>
                            <wps:wsp>
                              <wps:cNvPr id="11" name="矩形 11"/>
                              <wps:cNvSpPr/>
                              <wps:spPr>
                                <a:xfrm>
                                  <a:off x="479602" y="1341911"/>
                                  <a:ext cx="911225" cy="328295"/>
                                </a:xfrm>
                                <a:prstGeom prst="rect">
                                  <a:avLst/>
                                </a:prstGeom>
                                <a:ln>
                                  <a:noFill/>
                                </a:ln>
                              </wps:spPr>
                              <wps:txbx>
                                <w:txbxContent>
                                  <w:p>
                                    <w:pPr>
                                      <w:rPr>
                                        <w:color w:val="000000" w:themeColor="text1"/>
                                        <w14:textFill>
                                          <w14:solidFill>
                                            <w14:schemeClr w14:val="tx1"/>
                                          </w14:solidFill>
                                        </w14:textFill>
                                      </w:rPr>
                                    </w:pPr>
                                    <w:r>
                                      <w:rPr>
                                        <w:color w:val="000000" w:themeColor="text1"/>
                                        <w14:textFill>
                                          <w14:solidFill>
                                            <w14:schemeClr w14:val="tx1"/>
                                          </w14:solidFill>
                                        </w14:textFill>
                                      </w:rPr>
                                      <w:t>8.318</w:t>
                                    </w:r>
                                  </w:p>
                                </w:txbxContent>
                              </wps:txbx>
                              <wps:bodyPr upright="1"/>
                            </wps:wsp>
                            <wps:wsp>
                              <wps:cNvPr id="12" name="直接连接符 12"/>
                              <wps:cNvCnPr>
                                <a:endCxn id="18" idx="1"/>
                              </wps:cNvCnPr>
                              <wps:spPr>
                                <a:xfrm>
                                  <a:off x="2367856" y="1585413"/>
                                  <a:ext cx="438107" cy="4762"/>
                                </a:xfrm>
                                <a:prstGeom prst="line">
                                  <a:avLst/>
                                </a:prstGeom>
                                <a:ln w="15875" cap="flat" cmpd="sng">
                                  <a:solidFill>
                                    <a:srgbClr val="000000"/>
                                  </a:solidFill>
                                  <a:prstDash val="solid"/>
                                  <a:round/>
                                  <a:headEnd type="none" w="med" len="med"/>
                                  <a:tailEnd type="triangle" w="med" len="med"/>
                                </a:ln>
                              </wps:spPr>
                              <wps:bodyPr/>
                            </wps:wsp>
                            <wps:wsp>
                              <wps:cNvPr id="13" name="直接连接符 13"/>
                              <wps:cNvCnPr/>
                              <wps:spPr>
                                <a:xfrm flipV="1">
                                  <a:off x="416737" y="1624486"/>
                                  <a:ext cx="706755" cy="635"/>
                                </a:xfrm>
                                <a:prstGeom prst="line">
                                  <a:avLst/>
                                </a:prstGeom>
                                <a:ln w="15875" cap="flat" cmpd="sng">
                                  <a:solidFill>
                                    <a:srgbClr val="000000"/>
                                  </a:solidFill>
                                  <a:prstDash val="solid"/>
                                  <a:round/>
                                  <a:headEnd type="none" w="med" len="med"/>
                                  <a:tailEnd type="triangle" w="med" len="med"/>
                                </a:ln>
                              </wps:spPr>
                              <wps:bodyPr/>
                            </wps:wsp>
                            <wps:wsp>
                              <wps:cNvPr id="14" name="曲线连接符 14"/>
                              <wps:cNvCnPr/>
                              <wps:spPr>
                                <a:xfrm flipV="1">
                                  <a:off x="1902303" y="162335"/>
                                  <a:ext cx="241300" cy="203199"/>
                                </a:xfrm>
                                <a:prstGeom prst="curvedConnector3">
                                  <a:avLst>
                                    <a:gd name="adj1" fmla="val 50130"/>
                                  </a:avLst>
                                </a:prstGeom>
                                <a:ln w="15875" cap="flat" cmpd="sng">
                                  <a:solidFill>
                                    <a:srgbClr val="000000"/>
                                  </a:solidFill>
                                  <a:prstDash val="dash"/>
                                  <a:round/>
                                  <a:headEnd type="none" w="med" len="med"/>
                                  <a:tailEnd type="triangle" w="med" len="med"/>
                                </a:ln>
                              </wps:spPr>
                              <wps:bodyPr/>
                            </wps:wsp>
                            <wps:wsp>
                              <wps:cNvPr id="15" name="矩形 15"/>
                              <wps:cNvSpPr/>
                              <wps:spPr>
                                <a:xfrm>
                                  <a:off x="2082468" y="36810"/>
                                  <a:ext cx="1231900" cy="276225"/>
                                </a:xfrm>
                                <a:prstGeom prst="rect">
                                  <a:avLst/>
                                </a:prstGeom>
                                <a:ln>
                                  <a:noFill/>
                                </a:ln>
                              </wps:spPr>
                              <wps:txbx>
                                <w:txbxContent>
                                  <w:p>
                                    <w:r>
                                      <w:rPr>
                                        <w:rFonts w:hint="eastAsia"/>
                                      </w:rPr>
                                      <w:t>蒸发损耗</w:t>
                                    </w:r>
                                    <w:r>
                                      <w:t>1.600</w:t>
                                    </w:r>
                                  </w:p>
                                </w:txbxContent>
                              </wps:txbx>
                              <wps:bodyPr upright="1"/>
                            </wps:wsp>
                            <wps:wsp>
                              <wps:cNvPr id="16" name="矩形 16"/>
                              <wps:cNvSpPr/>
                              <wps:spPr>
                                <a:xfrm>
                                  <a:off x="2875433" y="402468"/>
                                  <a:ext cx="514985" cy="309244"/>
                                </a:xfrm>
                                <a:prstGeom prst="rect">
                                  <a:avLst/>
                                </a:prstGeom>
                                <a:ln>
                                  <a:noFill/>
                                </a:ln>
                              </wps:spPr>
                              <wps:txbx>
                                <w:txbxContent>
                                  <w:p>
                                    <w:r>
                                      <w:rPr>
                                        <w:rFonts w:hint="eastAsia"/>
                                      </w:rPr>
                                      <w:t>0.0</w:t>
                                    </w:r>
                                    <w:r>
                                      <w:t>22</w:t>
                                    </w:r>
                                  </w:p>
                                </w:txbxContent>
                              </wps:txbx>
                              <wps:bodyPr upright="1"/>
                            </wps:wsp>
                            <wps:wsp>
                              <wps:cNvPr id="17" name="直接连接符 17"/>
                              <wps:cNvCnPr/>
                              <wps:spPr>
                                <a:xfrm>
                                  <a:off x="1139367" y="1614326"/>
                                  <a:ext cx="431799" cy="0"/>
                                </a:xfrm>
                                <a:prstGeom prst="line">
                                  <a:avLst/>
                                </a:prstGeom>
                                <a:ln w="15875" cap="flat" cmpd="sng">
                                  <a:solidFill>
                                    <a:srgbClr val="000000"/>
                                  </a:solidFill>
                                  <a:prstDash val="solid"/>
                                  <a:round/>
                                  <a:headEnd type="none" w="med" len="med"/>
                                  <a:tailEnd type="triangle" w="med" len="med"/>
                                </a:ln>
                              </wps:spPr>
                              <wps:bodyPr/>
                            </wps:wsp>
                            <wps:wsp>
                              <wps:cNvPr id="18" name="矩形 18"/>
                              <wps:cNvSpPr/>
                              <wps:spPr>
                                <a:xfrm>
                                  <a:off x="2806242" y="1442876"/>
                                  <a:ext cx="613410" cy="295275"/>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r>
                                      <w:rPr>
                                        <w:rFonts w:hint="eastAsia"/>
                                      </w:rPr>
                                      <w:t>化粪池</w:t>
                                    </w:r>
                                  </w:p>
                                </w:txbxContent>
                              </wps:txbx>
                              <wps:bodyPr upright="1"/>
                            </wps:wsp>
                            <wps:wsp>
                              <wps:cNvPr id="19" name="直接连接符 19"/>
                              <wps:cNvCnPr>
                                <a:endCxn id="4" idx="1"/>
                              </wps:cNvCnPr>
                              <wps:spPr>
                                <a:xfrm flipV="1">
                                  <a:off x="2904201" y="646658"/>
                                  <a:ext cx="419880" cy="5500"/>
                                </a:xfrm>
                                <a:prstGeom prst="line">
                                  <a:avLst/>
                                </a:prstGeom>
                                <a:ln w="15875" cap="flat" cmpd="sng">
                                  <a:solidFill>
                                    <a:srgbClr val="000000"/>
                                  </a:solidFill>
                                  <a:prstDash val="solid"/>
                                  <a:round/>
                                  <a:headEnd type="none" w="med" len="med"/>
                                  <a:tailEnd type="triangle" w="med" len="med"/>
                                </a:ln>
                              </wps:spPr>
                              <wps:bodyPr/>
                            </wps:wsp>
                            <wps:wsp>
                              <wps:cNvPr id="20" name="直接连接符 20"/>
                              <wps:cNvCnPr>
                                <a:stCxn id="18" idx="3"/>
                              </wps:cNvCnPr>
                              <wps:spPr>
                                <a:xfrm>
                                  <a:off x="3419312" y="1590175"/>
                                  <a:ext cx="455884" cy="14921"/>
                                </a:xfrm>
                                <a:prstGeom prst="line">
                                  <a:avLst/>
                                </a:prstGeom>
                                <a:ln w="15875" cap="flat" cmpd="sng">
                                  <a:solidFill>
                                    <a:srgbClr val="000000"/>
                                  </a:solidFill>
                                  <a:prstDash val="solid"/>
                                  <a:round/>
                                  <a:headEnd type="none" w="med" len="med"/>
                                  <a:tailEnd type="triangle" w="med" len="med"/>
                                </a:ln>
                              </wps:spPr>
                              <wps:bodyPr/>
                            </wps:wsp>
                            <wps:wsp>
                              <wps:cNvPr id="21" name="矩形 21"/>
                              <wps:cNvSpPr/>
                              <wps:spPr>
                                <a:xfrm>
                                  <a:off x="1644192" y="2395376"/>
                                  <a:ext cx="1000125" cy="276225"/>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r>
                                      <w:rPr>
                                        <w:rFonts w:hint="eastAsia"/>
                                      </w:rPr>
                                      <w:t>喷漆清洗废水</w:t>
                                    </w:r>
                                  </w:p>
                                </w:txbxContent>
                              </wps:txbx>
                              <wps:bodyPr upright="1"/>
                            </wps:wsp>
                            <wps:wsp>
                              <wps:cNvPr id="22" name="矩形 22"/>
                              <wps:cNvSpPr/>
                              <wps:spPr>
                                <a:xfrm>
                                  <a:off x="1101267" y="1328576"/>
                                  <a:ext cx="635000" cy="371475"/>
                                </a:xfrm>
                                <a:prstGeom prst="rect">
                                  <a:avLst/>
                                </a:prstGeom>
                                <a:ln>
                                  <a:noFill/>
                                </a:ln>
                              </wps:spPr>
                              <wps:txbx>
                                <w:txbxContent>
                                  <w:p>
                                    <w:pPr>
                                      <w:rPr>
                                        <w:color w:val="000000" w:themeColor="text1"/>
                                        <w14:textFill>
                                          <w14:solidFill>
                                            <w14:schemeClr w14:val="tx1"/>
                                          </w14:solidFill>
                                        </w14:textFill>
                                      </w:rPr>
                                    </w:pPr>
                                    <w:r>
                                      <w:rPr>
                                        <w:color w:val="000000" w:themeColor="text1"/>
                                        <w14:textFill>
                                          <w14:solidFill>
                                            <w14:schemeClr w14:val="tx1"/>
                                          </w14:solidFill>
                                        </w14:textFill>
                                      </w:rPr>
                                      <w:t>6.400</w:t>
                                    </w:r>
                                  </w:p>
                                </w:txbxContent>
                              </wps:txbx>
                              <wps:bodyPr upright="1"/>
                            </wps:wsp>
                            <wps:wsp>
                              <wps:cNvPr id="23" name="矩形 23"/>
                              <wps:cNvSpPr/>
                              <wps:spPr>
                                <a:xfrm>
                                  <a:off x="3377142" y="1347735"/>
                                  <a:ext cx="685800" cy="299720"/>
                                </a:xfrm>
                                <a:prstGeom prst="rect">
                                  <a:avLst/>
                                </a:prstGeom>
                                <a:ln>
                                  <a:noFill/>
                                </a:ln>
                              </wps:spPr>
                              <wps:txbx>
                                <w:txbxContent>
                                  <w:p>
                                    <w:pPr>
                                      <w:rPr>
                                        <w:color w:val="000000" w:themeColor="text1"/>
                                        <w14:textFill>
                                          <w14:solidFill>
                                            <w14:schemeClr w14:val="tx1"/>
                                          </w14:solidFill>
                                        </w14:textFill>
                                      </w:rPr>
                                    </w:pPr>
                                    <w:r>
                                      <w:rPr>
                                        <w:color w:val="000000" w:themeColor="text1"/>
                                        <w14:textFill>
                                          <w14:solidFill>
                                            <w14:schemeClr w14:val="tx1"/>
                                          </w14:solidFill>
                                        </w14:textFill>
                                      </w:rPr>
                                      <w:t>5.760</w:t>
                                    </w:r>
                                  </w:p>
                                </w:txbxContent>
                              </wps:txbx>
                              <wps:bodyPr upright="1"/>
                            </wps:wsp>
                            <wps:wsp>
                              <wps:cNvPr id="24" name="矩形 24"/>
                              <wps:cNvSpPr/>
                              <wps:spPr>
                                <a:xfrm>
                                  <a:off x="1158417" y="2333147"/>
                                  <a:ext cx="635000" cy="338454"/>
                                </a:xfrm>
                                <a:prstGeom prst="rect">
                                  <a:avLst/>
                                </a:prstGeom>
                                <a:ln>
                                  <a:noFill/>
                                </a:ln>
                              </wps:spPr>
                              <wps:txbx>
                                <w:txbxContent>
                                  <w:p>
                                    <w:pPr>
                                      <w:rPr>
                                        <w:color w:val="000000" w:themeColor="text1"/>
                                        <w14:textFill>
                                          <w14:solidFill>
                                            <w14:schemeClr w14:val="tx1"/>
                                          </w14:solidFill>
                                        </w14:textFill>
                                      </w:rPr>
                                    </w:pPr>
                                    <w:r>
                                      <w:rPr>
                                        <w:color w:val="000000" w:themeColor="text1"/>
                                        <w14:textFill>
                                          <w14:solidFill>
                                            <w14:schemeClr w14:val="tx1"/>
                                          </w14:solidFill>
                                        </w14:textFill>
                                      </w:rPr>
                                      <w:t>0.291</w:t>
                                    </w:r>
                                  </w:p>
                                </w:txbxContent>
                              </wps:txbx>
                              <wps:bodyPr upright="1"/>
                            </wps:wsp>
                            <wps:wsp>
                              <wps:cNvPr id="25" name="直接连接符 25"/>
                              <wps:cNvCnPr/>
                              <wps:spPr>
                                <a:xfrm>
                                  <a:off x="2658287" y="2533172"/>
                                  <a:ext cx="461010" cy="8889"/>
                                </a:xfrm>
                                <a:prstGeom prst="line">
                                  <a:avLst/>
                                </a:prstGeom>
                                <a:ln w="15875" cap="flat" cmpd="sng">
                                  <a:solidFill>
                                    <a:srgbClr val="000000"/>
                                  </a:solidFill>
                                  <a:prstDash val="solid"/>
                                  <a:round/>
                                  <a:headEnd type="none" w="med" len="med"/>
                                  <a:tailEnd type="triangle" w="med" len="med"/>
                                </a:ln>
                              </wps:spPr>
                              <wps:bodyPr/>
                            </wps:wsp>
                            <wps:wsp>
                              <wps:cNvPr id="26" name="矩形 26"/>
                              <wps:cNvSpPr/>
                              <wps:spPr>
                                <a:xfrm>
                                  <a:off x="3149142" y="2347751"/>
                                  <a:ext cx="1417955" cy="333375"/>
                                </a:xfrm>
                                <a:prstGeom prst="rect">
                                  <a:avLst/>
                                </a:prstGeom>
                                <a:gradFill flip="none" rotWithShape="0">
                                  <a:gsLst>
                                    <a:gs pos="0">
                                      <a:srgbClr val="FFFFFF"/>
                                    </a:gs>
                                    <a:gs pos="100000">
                                      <a:srgbClr val="FFFFFF"/>
                                    </a:gs>
                                  </a:gsLst>
                                  <a:lin ang="0" scaled="0"/>
                                </a:gradFill>
                                <a:ln>
                                  <a:noFill/>
                                </a:ln>
                              </wps:spPr>
                              <wps:txbx>
                                <w:txbxContent>
                                  <w:p>
                                    <w:r>
                                      <w:rPr>
                                        <w:rFonts w:hint="eastAsia"/>
                                      </w:rPr>
                                      <w:t>交由有资质单位处置</w:t>
                                    </w:r>
                                  </w:p>
                                </w:txbxContent>
                              </wps:txbx>
                              <wps:bodyPr upright="1"/>
                            </wps:wsp>
                            <wps:wsp>
                              <wps:cNvPr id="27" name="矩形 27"/>
                              <wps:cNvSpPr/>
                              <wps:spPr>
                                <a:xfrm>
                                  <a:off x="2615742" y="2300126"/>
                                  <a:ext cx="635000" cy="338455"/>
                                </a:xfrm>
                                <a:prstGeom prst="rect">
                                  <a:avLst/>
                                </a:prstGeom>
                                <a:ln>
                                  <a:noFill/>
                                </a:ln>
                              </wps:spPr>
                              <wps:txbx>
                                <w:txbxContent>
                                  <w:p>
                                    <w:pPr>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051</w:t>
                                    </w:r>
                                  </w:p>
                                  <w:p/>
                                </w:txbxContent>
                              </wps:txbx>
                              <wps:bodyPr upright="1"/>
                            </wps:wsp>
                            <wps:wsp>
                              <wps:cNvPr id="28" name="直接连接符 28"/>
                              <wps:cNvCnPr/>
                              <wps:spPr>
                                <a:xfrm flipV="1">
                                  <a:off x="416737" y="1624486"/>
                                  <a:ext cx="706755" cy="635"/>
                                </a:xfrm>
                                <a:prstGeom prst="line">
                                  <a:avLst/>
                                </a:prstGeom>
                                <a:ln w="15875" cap="flat" cmpd="sng">
                                  <a:solidFill>
                                    <a:srgbClr val="000000"/>
                                  </a:solidFill>
                                  <a:prstDash val="solid"/>
                                  <a:round/>
                                  <a:headEnd type="none" w="med" len="med"/>
                                  <a:tailEnd type="triangle" w="med" len="med"/>
                                </a:ln>
                              </wps:spPr>
                              <wps:bodyPr/>
                            </wps:wsp>
                            <wps:wsp>
                              <wps:cNvPr id="29" name="矩形 29"/>
                              <wps:cNvSpPr/>
                              <wps:spPr>
                                <a:xfrm>
                                  <a:off x="1644192" y="2395376"/>
                                  <a:ext cx="1000125" cy="276225"/>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r>
                                      <w:rPr>
                                        <w:rFonts w:hint="eastAsia"/>
                                      </w:rPr>
                                      <w:t>水帘柜用水</w:t>
                                    </w:r>
                                  </w:p>
                                </w:txbxContent>
                              </wps:txbx>
                              <wps:bodyPr upright="1"/>
                            </wps:wsp>
                            <wps:wsp>
                              <wps:cNvPr id="30" name="直接连接符 30"/>
                              <wps:cNvCnPr/>
                              <wps:spPr>
                                <a:xfrm flipV="1">
                                  <a:off x="416737" y="1624486"/>
                                  <a:ext cx="706755" cy="635"/>
                                </a:xfrm>
                                <a:prstGeom prst="line">
                                  <a:avLst/>
                                </a:prstGeom>
                                <a:ln w="15875" cap="flat" cmpd="sng">
                                  <a:solidFill>
                                    <a:srgbClr val="000000"/>
                                  </a:solidFill>
                                  <a:prstDash val="solid"/>
                                  <a:round/>
                                  <a:headEnd type="none" w="med" len="med"/>
                                  <a:tailEnd type="triangle" w="med" len="med"/>
                                </a:ln>
                              </wps:spPr>
                              <wps:bodyPr/>
                            </wps:wsp>
                            <wps:wsp>
                              <wps:cNvPr id="31" name="矩形 31"/>
                              <wps:cNvSpPr/>
                              <wps:spPr>
                                <a:xfrm>
                                  <a:off x="3149142" y="2347751"/>
                                  <a:ext cx="1417955" cy="333375"/>
                                </a:xfrm>
                                <a:prstGeom prst="rect">
                                  <a:avLst/>
                                </a:prstGeom>
                                <a:gradFill flip="none" rotWithShape="0">
                                  <a:gsLst>
                                    <a:gs pos="0">
                                      <a:srgbClr val="FFFFFF"/>
                                    </a:gs>
                                    <a:gs pos="100000">
                                      <a:srgbClr val="FFFFFF"/>
                                    </a:gs>
                                  </a:gsLst>
                                  <a:lin ang="0" scaled="0"/>
                                </a:gradFill>
                                <a:ln>
                                  <a:noFill/>
                                </a:ln>
                              </wps:spPr>
                              <wps:txbx>
                                <w:txbxContent>
                                  <w:p>
                                    <w:r>
                                      <w:rPr>
                                        <w:rFonts w:hint="eastAsia"/>
                                      </w:rPr>
                                      <w:t>交由有资质单位处置</w:t>
                                    </w:r>
                                  </w:p>
                                </w:txbxContent>
                              </wps:txbx>
                              <wps:bodyPr upright="1"/>
                            </wps:wsp>
                            <wps:wsp>
                              <wps:cNvPr id="32" name="矩形 32"/>
                              <wps:cNvSpPr/>
                              <wps:spPr>
                                <a:xfrm>
                                  <a:off x="1052372" y="337342"/>
                                  <a:ext cx="634999" cy="271144"/>
                                </a:xfrm>
                                <a:prstGeom prst="rect">
                                  <a:avLst/>
                                </a:prstGeom>
                                <a:ln>
                                  <a:noFill/>
                                </a:ln>
                              </wps:spPr>
                              <wps:txbx>
                                <w:txbxContent>
                                  <w:p>
                                    <w:r>
                                      <w:t>1.622</w:t>
                                    </w:r>
                                  </w:p>
                                </w:txbxContent>
                              </wps:txbx>
                              <wps:bodyPr upright="1"/>
                            </wps:wsp>
                            <wps:wsp>
                              <wps:cNvPr id="33" name="直接连接符 33"/>
                              <wps:cNvCnPr/>
                              <wps:spPr>
                                <a:xfrm flipV="1">
                                  <a:off x="1155127" y="3366079"/>
                                  <a:ext cx="461125" cy="1905"/>
                                </a:xfrm>
                                <a:prstGeom prst="line">
                                  <a:avLst/>
                                </a:prstGeom>
                                <a:ln w="15875" cap="flat" cmpd="sng">
                                  <a:solidFill>
                                    <a:srgbClr val="000000"/>
                                  </a:solidFill>
                                  <a:prstDash val="solid"/>
                                  <a:round/>
                                  <a:headEnd type="none" w="med" len="med"/>
                                  <a:tailEnd type="triangle" w="med" len="med"/>
                                </a:ln>
                              </wps:spPr>
                              <wps:bodyPr/>
                            </wps:wsp>
                            <wps:wsp>
                              <wps:cNvPr id="34" name="矩形 34"/>
                              <wps:cNvSpPr/>
                              <wps:spPr>
                                <a:xfrm>
                                  <a:off x="1091106" y="3052601"/>
                                  <a:ext cx="685800" cy="299719"/>
                                </a:xfrm>
                                <a:prstGeom prst="rect">
                                  <a:avLst/>
                                </a:prstGeom>
                                <a:ln>
                                  <a:noFill/>
                                </a:ln>
                              </wps:spPr>
                              <wps:txbx>
                                <w:txbxContent>
                                  <w:p>
                                    <w:pPr>
                                      <w:rPr>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color w:val="000000" w:themeColor="text1"/>
                                        <w14:textFill>
                                          <w14:solidFill>
                                            <w14:schemeClr w14:val="tx1"/>
                                          </w14:solidFill>
                                        </w14:textFill>
                                      </w:rPr>
                                      <w:t>45</w:t>
                                    </w:r>
                                  </w:p>
                                </w:txbxContent>
                              </wps:txbx>
                              <wps:bodyPr upright="1"/>
                            </wps:wsp>
                            <wps:wsp>
                              <wps:cNvPr id="35" name="矩形 35"/>
                              <wps:cNvSpPr/>
                              <wps:spPr>
                                <a:xfrm>
                                  <a:off x="1620062" y="3206906"/>
                                  <a:ext cx="1000125" cy="276225"/>
                                </a:xfrm>
                                <a:prstGeom prst="rect">
                                  <a:avLst/>
                                </a:prstGeom>
                                <a:gradFill flip="none" rotWithShape="0">
                                  <a:gsLst>
                                    <a:gs pos="0">
                                      <a:srgbClr val="FFFFFF"/>
                                    </a:gs>
                                    <a:gs pos="100000">
                                      <a:srgbClr val="FFFFFF"/>
                                    </a:gs>
                                  </a:gsLst>
                                  <a:lin ang="0" scaled="0"/>
                                </a:gradFill>
                                <a:ln w="15875" cap="flat" cmpd="sng">
                                  <a:solidFill>
                                    <a:srgbClr val="000000"/>
                                  </a:solidFill>
                                  <a:prstDash val="solid"/>
                                  <a:miter/>
                                  <a:headEnd type="none" w="med" len="med"/>
                                  <a:tailEnd type="none" w="med" len="med"/>
                                </a:ln>
                              </wps:spPr>
                              <wps:txbx>
                                <w:txbxContent>
                                  <w:p>
                                    <w:r>
                                      <w:rPr>
                                        <w:rFonts w:hint="eastAsia"/>
                                      </w:rPr>
                                      <w:t>喷枪清洗用水</w:t>
                                    </w:r>
                                  </w:p>
                                </w:txbxContent>
                              </wps:txbx>
                              <wps:bodyPr upright="1"/>
                            </wps:wsp>
                            <wps:wsp>
                              <wps:cNvPr id="36" name="直接连接符 36"/>
                              <wps:cNvCnPr/>
                              <wps:spPr>
                                <a:xfrm>
                                  <a:off x="2622092" y="3359306"/>
                                  <a:ext cx="454660" cy="3810"/>
                                </a:xfrm>
                                <a:prstGeom prst="line">
                                  <a:avLst/>
                                </a:prstGeom>
                                <a:ln w="15875" cap="flat" cmpd="sng">
                                  <a:solidFill>
                                    <a:srgbClr val="000000"/>
                                  </a:solidFill>
                                  <a:prstDash val="solid"/>
                                  <a:round/>
                                  <a:headEnd type="none" w="med" len="med"/>
                                  <a:tailEnd type="triangle" w="med" len="med"/>
                                </a:ln>
                              </wps:spPr>
                              <wps:bodyPr/>
                            </wps:wsp>
                            <wps:wsp>
                              <wps:cNvPr id="37" name="矩形 37"/>
                              <wps:cNvSpPr/>
                              <wps:spPr>
                                <a:xfrm>
                                  <a:off x="3189782" y="3191951"/>
                                  <a:ext cx="1417954" cy="333375"/>
                                </a:xfrm>
                                <a:prstGeom prst="rect">
                                  <a:avLst/>
                                </a:prstGeom>
                                <a:gradFill flip="none" rotWithShape="0">
                                  <a:gsLst>
                                    <a:gs pos="0">
                                      <a:srgbClr val="FFFFFF"/>
                                    </a:gs>
                                    <a:gs pos="100000">
                                      <a:srgbClr val="FFFFFF"/>
                                    </a:gs>
                                  </a:gsLst>
                                  <a:lin ang="0" scaled="0"/>
                                </a:gradFill>
                                <a:ln>
                                  <a:noFill/>
                                </a:ln>
                              </wps:spPr>
                              <wps:txbx>
                                <w:txbxContent>
                                  <w:p>
                                    <w:r>
                                      <w:rPr>
                                        <w:rFonts w:hint="eastAsia"/>
                                      </w:rPr>
                                      <w:t>交由有资质单位处置</w:t>
                                    </w:r>
                                  </w:p>
                                </w:txbxContent>
                              </wps:txbx>
                              <wps:bodyPr upright="1"/>
                            </wps:wsp>
                            <wps:wsp>
                              <wps:cNvPr id="38" name="矩形 38"/>
                              <wps:cNvSpPr/>
                              <wps:spPr>
                                <a:xfrm>
                                  <a:off x="2638602" y="3090701"/>
                                  <a:ext cx="685800" cy="299720"/>
                                </a:xfrm>
                                <a:prstGeom prst="rect">
                                  <a:avLst/>
                                </a:prstGeom>
                                <a:ln>
                                  <a:noFill/>
                                </a:ln>
                              </wps:spPr>
                              <wps:txbx>
                                <w:txbxContent>
                                  <w:p>
                                    <w:r>
                                      <w:rPr>
                                        <w:rFonts w:hint="eastAsia"/>
                                      </w:rPr>
                                      <w:t>0.00</w:t>
                                    </w:r>
                                    <w:r>
                                      <w:t>405</w:t>
                                    </w:r>
                                  </w:p>
                                  <w:p/>
                                </w:txbxContent>
                              </wps:txbx>
                              <wps:bodyPr upright="1"/>
                            </wps:wsp>
                            <wps:wsp>
                              <wps:cNvPr id="39" name="曲线连接符 39"/>
                              <wps:cNvCnPr/>
                              <wps:spPr>
                                <a:xfrm flipV="1">
                                  <a:off x="1950261" y="3021944"/>
                                  <a:ext cx="215038" cy="170357"/>
                                </a:xfrm>
                                <a:prstGeom prst="curvedConnector3">
                                  <a:avLst>
                                    <a:gd name="adj1" fmla="val 50000"/>
                                  </a:avLst>
                                </a:prstGeom>
                                <a:ln w="15875" cap="flat" cmpd="sng">
                                  <a:solidFill>
                                    <a:srgbClr val="000000"/>
                                  </a:solidFill>
                                  <a:prstDash val="dash"/>
                                  <a:round/>
                                  <a:headEnd type="none" w="med" len="med"/>
                                  <a:tailEnd type="triangle" w="med" len="med"/>
                                </a:ln>
                              </wps:spPr>
                              <wps:bodyPr/>
                            </wps:wsp>
                            <wps:wsp>
                              <wps:cNvPr id="40" name="矩形 40"/>
                              <wps:cNvSpPr/>
                              <wps:spPr>
                                <a:xfrm>
                                  <a:off x="2105632" y="2795553"/>
                                  <a:ext cx="1271423" cy="314325"/>
                                </a:xfrm>
                                <a:prstGeom prst="rect">
                                  <a:avLst/>
                                </a:prstGeom>
                                <a:ln>
                                  <a:noFill/>
                                </a:ln>
                              </wps:spPr>
                              <wps:txbx>
                                <w:txbxContent>
                                  <w:p>
                                    <w:r>
                                      <w:rPr>
                                        <w:rFonts w:hint="eastAsia"/>
                                      </w:rPr>
                                      <w:t>蒸发损耗0.000</w:t>
                                    </w:r>
                                    <w:r>
                                      <w:t>45</w:t>
                                    </w:r>
                                  </w:p>
                                  <w:p/>
                                </w:txbxContent>
                              </wps:txbx>
                              <wps:bodyPr upright="1"/>
                            </wps:wsp>
                            <wps:wsp>
                              <wps:cNvPr id="186" name="曲线连接符 14"/>
                              <wps:cNvCnPr/>
                              <wps:spPr>
                                <a:xfrm flipV="1">
                                  <a:off x="1933116" y="2176302"/>
                                  <a:ext cx="241300" cy="203199"/>
                                </a:xfrm>
                                <a:prstGeom prst="curvedConnector3">
                                  <a:avLst>
                                    <a:gd name="adj1" fmla="val 50130"/>
                                  </a:avLst>
                                </a:prstGeom>
                                <a:ln w="15875" cap="flat" cmpd="sng">
                                  <a:solidFill>
                                    <a:srgbClr val="000000"/>
                                  </a:solidFill>
                                  <a:prstDash val="dash"/>
                                  <a:round/>
                                  <a:headEnd type="none" w="med" len="med"/>
                                  <a:tailEnd type="triangle" w="med" len="med"/>
                                </a:ln>
                              </wps:spPr>
                              <wps:bodyPr/>
                            </wps:wsp>
                            <wps:wsp>
                              <wps:cNvPr id="187" name="矩形 187"/>
                              <wps:cNvSpPr/>
                              <wps:spPr>
                                <a:xfrm>
                                  <a:off x="2174416" y="2009423"/>
                                  <a:ext cx="1231900" cy="276225"/>
                                </a:xfrm>
                                <a:prstGeom prst="rect">
                                  <a:avLst/>
                                </a:prstGeom>
                                <a:ln>
                                  <a:noFill/>
                                </a:ln>
                              </wps:spPr>
                              <wps:txbx>
                                <w:txbxContent>
                                  <w:p>
                                    <w:r>
                                      <w:rPr>
                                        <w:rFonts w:hint="eastAsia"/>
                                      </w:rPr>
                                      <w:t>蒸发损耗</w:t>
                                    </w:r>
                                    <w:r>
                                      <w:t>0.240</w:t>
                                    </w:r>
                                  </w:p>
                                </w:txbxContent>
                              </wps:txbx>
                              <wps:bodyPr upright="1"/>
                            </wps:wsp>
                          </wpc:wpc>
                        </a:graphicData>
                      </a:graphic>
                    </wp:inline>
                  </w:drawing>
                </mc:Choice>
                <mc:Fallback>
                  <w:pict>
                    <v:group id="画布 171" o:spid="_x0000_s1026" o:spt="203" style="height:277.5pt;width:381.85pt;" coordsize="4849495,3524250" editas="canvas"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AKBrk7/gkAAOxYAAAOAAAAZHJzL2Uyb0RvYy54bWztXMuO&#10;48YV3QfIPxDaZ7oeLLIoTI8XM57ZBIkB57HmSJTEgCIJkv2YdfZZZWcgAQw4QICsgiyCBIa/xm5/&#10;Rk49SErVUkvqDtQti71QS3zXrXNf597i689ul5l3nVR1WuSXI/qKjLwknxTTNJ9fjn77m/e/kCOv&#10;buJ8GmdFnlyOPiX16LM3P//Z65tynLBiUWTTpPJwkbwe35SXo0XTlOOLi3qySJZx/aookxw7Z0W1&#10;jBv8rOYX0yq+wdWX2QUjJLi4KappWRWTpK6x9Z3ZObJXrPa5YDGbpZPkXTG5WiZ5Y65aJVncYEj1&#10;Ii3r0Rv9tLNZMml+PZvVSeNllyOMtNGfuAm+f1SfF29ex+N5FZeLdGIfId7nEZwxLeM0x027S72L&#10;m9i7qtJ7l1qmk6qoi1nzalIsL8xAtEQwCkoc2XyoiqtSj2U+vpmXndAxUY7UH33Zya+uv6i8dHo5&#10;8sORl8dLzPjdn//7/b//6NGQKvHclPMxjvpQlV+WX1R2w9z8UiO+nVVL9R9j8W61YD91gk1uG2+C&#10;jb70Iz8SI2+CfVwwnwkr+skC83PvvMni8x1nXrQ3vlDP1z3OTQlQ1r2k6qdJ6stFXCZ6AmolAysp&#10;2gnqr3///tuvPSsmfUgno3pcQ1wbBERFJAI28iAJypgISWBA2MqKE+FzKyoZBpxoSXXjjcdlVTcf&#10;kmLpqS+XowoY19CLr39ZN5gfHNoeYhE5fZ9mmTfLUqhrDqUeeVXR/D5tFnp8arb0gTXON1+8soDk&#10;zOa6mn98m1XedQwVeq//1APjLvN69WhK1J++0sOn6DPtrbI092JleKCP9STOEgCxHS+0Uj+4ukmW&#10;q8+8UAMxN1dbMPetmNW35vbjrcZnPf5YTD9htq7KKp0vICQ9RfpwoENh+ggwwRxbffrqXz/86Zsf&#10;v/sLPu/+8TePGbXSeHmbW51qB9LiulMoShlnAYwyABNQX/iRgxcqRWQ0i4UhEYFvp6dVzBYMFi8Q&#10;uYJ0PN6Clyz3biAwIUMFwhiQmcGy4uuyxOTU+dxMcZGl3eyszbeGQTuH9eph6kHexfXCQEnvMkOB&#10;mcunmLl4vEji6ef51Gs+lTBEBqt4mmUyHXlZAn+lvukjmzjN9jkSaNsAFYMPhSQLhSNhgm/DBFej&#10;Us8CM7MPJoT0KQw2MAETEnChAR6PWyPicyqhjNretnNxTnhoqhRmJYOl24Sel4UJv8OEcSdafy0U&#10;drsTzpnvU+NPBIHD0Kf3SKDASSRwD+V6WRjA5TxsHwZ/oty2kv8L8ycwx9afGJzoedwbJzTgXAqD&#10;Ex4IwZywgzIhOLChcRJIgihtwAlcx9Gd4TJtkuqozvCF4TzocO7ETRqxB/jItbgJhk/huTeMyEd4&#10;AH+s7OLgIt0A62W5yD41NaYvVFO5v+kTQRhFNuXykX0SBwqhJD61po9JEZrkFCLYEjKdiYscTN+x&#10;0wNkeWsuXh6Ecy4ZMgGTFVDfZ9I1eVACQdpQcMB5lil/cIrUAvJ9g5Mfvvrn3X++66kFzQ087CI1&#10;D/Q7RYmo0VvWjspASGKhw7nPIiehZKCliDWRlEpKd7jMyVV1nUzfFnkOeqqoeM84qLvOp/b54+kf&#10;wKbNlhlIVxBMniCU6zHA+Gp+4h6ddayIbAqiwgQMT2cnTikbxcSu2yAz03s7W0ZCJi01QUkURaGT&#10;aMgglJGNuzj1Vc4BZ/54Z3uK+kvvUciHcch+GAUIYjSHzH0a4XprsS02qDxfx7YcfgDU+/nJGPLZ&#10;zL+CLenDR0W26bQgn769zXUlhMINp1OULbRUNUNoWTkTdG4h9hkHsgWyFyQUoE+FTzWpt5JxcEmV&#10;jVUZhw8m5uE5+UnytCdlCbeStWZiH+FmfRqE3HrZALyddGwjikGhaDkYFIEeVNoBIJaney4yn3bM&#10;rRuGYc+6hbG/Vi3H5jgsIoi0ADxlQwLGDQZ6E8JgVFpenxFOozZY2pKpPiEMawO8IQzTFbojF4oU&#10;HbGWCmJDD6ndZQFGJPNt1ZAH8Dvq7B5HqCnSqAPS/6EqcJJRWM802kL+KsO4h4xRIvW5UVZwSkrc&#10;a0IW1I9kG4WRCPZe7T+zSBfebksUtkri7VPy5BECLGsZVd7g+E6UPMHyDXzuKZQ8VYS9bt0OY7qY&#10;JAifWkYXTJebZAYUaZGtfyP7YehleJLqtb0oJ95EMzC6x2Z0aUfV3TnVLOwBJFeSCCcLRXC5bxK6&#10;MZRkEfHRU6gNZuAH4PfWvRNoAymtigiBWOBBBRmSjWdONljPyzlAwp77QKqbe2yGZiP2ZjMUrcRt&#10;XwlaFgk1JrQPIX0hpLTFBAQ6zJAlW2tmA4CeG0Au52hmbG9ilwboM7JVVMZRPHd9rmoARReJicCG&#10;TiN0qiqLfqx6xUo75dl3kKDuuR5emkLo/lCnAHKba4A/R4fluu9EmVX1Oht+PaT+U8PLU8yeWU+P&#10;muwZG3o/tDt75jyE5LoiRhi6XFcgUZLsYvgoNH7uvNJn1lGMd1bIq8zibiFTFCK6RmHOUW/TWXfv&#10;xdeQzCXayx+OA3e1vpwkknuuzQ2tVkm33RwFQ5CNXFSH3ExA2qHTaOQHsCwW0lLKHeTtEDI9d8jk&#10;EoSGc9rbj0DdotbEMe6Hodumb5qzW4oQ+vlUR/IT4SlU4HRii316ntMa6lV6c7ehZgEVofWGqACp&#10;+OOBkEMZ6icyWidpqHva0DXUq/zhFkO9kSUZKrJu5288Xl9adUole9azbVYLV0m23Vo45LhmXefB&#10;qzMHYvnYxDLfygdiT5+HDbZQrUA1rvS8Gjm5y/dhQ4+L3bZwCF4faQtPL3jlLl+GDYdAhRLBOHJd&#10;1bWEHAbt40bh2tXIAffRCNwSwxRrE9T+82JyVJ/I5kYI7OmFfYi9BrkjKDN0A+dBQEId7fTkDuiG&#10;jpBHu8+OjGGgG56ZbuAu2YcNPTJ2W2y022NdhmlAxnINFqD6i/N7PLiMqilBn5ke9mSfSREM7bw3&#10;p4OuTLzEyNo6RoLIfX/LUAZrWwlaMmoog60uJTjeC2h4T186dAn29IZli8tRs2ZXhzEsnkb/ovXv&#10;IuIu5lE2gPux9TDbbLrdrAyO5rkdjUtWYk1Cj4fdjgYvl4lCafGA1UfRZl7bNoeA1h54bWMD1edp&#10;8dq8p1ytu1xlWndDBSuSZbtUjZOIhLtiknOs8mLJq80N3IUkZjGsDU62GOqNvDZ0kqCmYEw2YTQy&#10;OVcfCzIqiJpctRiNhnjdizYB2432o1eSqEYJGBdceVhJ8hwrSfyeKDQajA2HGHuG7D5QDAGAwvAq&#10;KbwmSJ3fIwkpKIqcSG8VlM52RS+W8m3R4ScsBkMLATX5HKPqVZAOrzKsBgMMH/vKwFOqa1HVVOIs&#10;mDgsZAN+0L5psURIpBTW0eKXvSIMjcv6JbjakyCzVC/sVW/ZXf2N76svKX7z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4MAABbQ29udGVudF9U&#10;eXBlc10ueG1sUEsBAhQACgAAAAAAh07iQAAAAAAAAAAAAAAAAAYAAAAAAAAAAAAQAAAAUAsAAF9y&#10;ZWxzL1BLAQIUABQAAAAIAIdO4kCKFGY80QAAAJQBAAALAAAAAAAAAAEAIAAAAHQLAABfcmVscy8u&#10;cmVsc1BLAQIUAAoAAAAAAIdO4kAAAAAAAAAAAAAAAAAEAAAAAAAAAAAAEAAAAAAAAABkcnMvUEsB&#10;AhQAFAAAAAgAh07iQF8yB/TXAAAABQEAAA8AAAAAAAAAAQAgAAAAIgAAAGRycy9kb3ducmV2Lnht&#10;bFBLAQIUABQAAAAIAIdO4kAKBrk7/gkAAOxYAAAOAAAAAAAAAAEAIAAAACYBAABkcnMvZTJvRG9j&#10;LnhtbFBLBQYAAAAABgAGAFkBAACWDQAAAAA=&#10;">
                      <o:lock v:ext="edit" aspectratio="f"/>
                      <v:shape id="画布 171" o:spid="_x0000_s1026" style="position:absolute;left:0;top:0;height:3524250;width:4849495;"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DEe6lszQkAAFNYAAAOAAAAZHJzL2Uyb0RvYy54bWztXMuO&#10;47gV3QeYfxC8n7ZIinoYXT2L6nQ2QTLA5LFW2bKtgSwZkurRP5EfGCABBkiAAFkFWQUI5msync+Y&#10;c0nKktnlkt3uuMpj9cKt0pvk4bn3nnup1189rDLnLimrtMivRuyVO3KSfFrM0nxxNfr97959GY6c&#10;qo7zWZwVeXI1ep9Uo6/efPGL1/frScKLZZHNktLBTfJqcr++Gi3rej0Zj6vpMlnF1atineQ4OC/K&#10;VVzjz3IxnpXxPe6+ysbcdf3xfVHO1mUxTaoKe9/qgyNzx3KfGxbzeTpN3hbT21WS1/quZZLFNZpU&#10;LdN1NXqj3nY+T6b1b+fzKqmd7GqEltbqFw/B9g39jt+8jieLMl4v06l5hXifV7DatIrTHA/d3Opt&#10;XMfObZl+dKtVOi2LqpjXr6bFaqwbonoErWCu1TfXcX4X68ZM0dfNC2LrM973ZoE+wC0n9xjahNqQ&#10;5fSbF+/SLMOxsd4z7pxzv8bYV+sNCqrj3uebZbxO1JhVk+lv7r4unXQGaI6cPF4BgR/+8vf//ud7&#10;h9Fg0ZNxyjfrr0vzV4VNet+Hebmi/9GnzgOulpH0+ch5j03OZeD6eqyTh9qZ4rhwpSfkyJnihDDw&#10;hauwgLY291mXVf2rpFg5tHE1KgElNcLx3a+rWndLcwo9FhiaUYc58yzFrMgxd0ZOWdR/TOulah+h&#10;TZ1Y4Xq94awL9JzeXZWLm+usdO5iIPWd+kcvjBdaVN2zmUv/1J2evkRdaR6VpbkT0/wG7KtpnCXo&#10;3qa9zYvTQ3aOfDXR3UzdXz/cPJi+vylm7zFat+syXSzRSWqIABSFDj1Y/3eYYIwNTL77149/+uv/&#10;fvgzfj/8428O7+DlOu/FC+OC++A+4MFnnvQiCy8slJGGCw8CV/qeGZ4deEGXE6TjyQ68ZLlzTygN&#10;AwJhDMjMQWDYXK0xOFW+0ENcZKmCFd1pa7wVDJoxrLqnESrfxtVSQ0kd0k0pi9t8hpGLJ8sknv0y&#10;nzn1+zXml8Yq3maVzEZOlsAs0JY6s47TbJ8zW5LoQkXjg2B8WkyIXZgQ1CrDIftgQoYeCxQmQCG+&#10;kArg8aQhEU+wEJNRkUgzFpeEh7pMQSsZmO4x9LwsTHgbTGhzouavgUK/ORGCex7T9kS6MBjq8hYJ&#10;DDiJJJ5B9oQHPkzO0/ww2BMy29T/L8yegI633A41jnvjhPlChFLjRPhScsvtYFxKAWwonPihK3Au&#10;8eOl+x0nN4artE5KZeJOZQxfGM79Dc4tv0kh9gAbueU3gfgIzy0xepEUPuwx8eJgIm0H62WZSHg6&#10;W9QX0FDuT33SD6LIhFye5J5rQSEIXY8Z6uOhDGQPHi7ERA7Ud+rwAFHeFs7Dg3AuQo5IQEcFzPN4&#10;aFMeJoF0G1dwwHmWkT04R2kB8b7GyY/f/fPDv39opQWlDTxtIpUO9AeSRKj1jSgV+jJ0DXSE8Hhk&#10;BZQcspRrKJKxkLEeipzelnfJ7LrIc8hTRSlaxYGeupiZ949n30JNm68yaJsQmBzpMqHaAPuj9Anl&#10;gXblrFPJEzMIFdphOF6dOKdoFAO7zUF6pPc2ttwNeGikCeZGURRYgUboB2Fk/C7BPIo5joozznH+&#10;so8k5MM0ZC+IfDgxSkMWHotwvy3fFjsozle+rYAdiC6xj9E/xphacQTUktZ9JLFNhQX57Poh1/o+&#10;zHA6I6leIbNDp9rp3CHscwFkS0QvCCggn0qPKVGvE3GIkBHHUsThQYl5Gvc/S532rJhwp1irB7aD&#10;CwOnLjAeNbMe8wNhrKwP3S60uBHJoEA2GgySQE8S4wAQo9M9l5jPNsqt7YbhyDbD7AsQFrnwtAA8&#10;4hCfC42BlkI4SKXR9bkrWNQ4SzvE/SPcsMbBG9wwlaE7caKI5IitUBA7Wkj1pwW4G3LPZA2FD7tD&#10;V7c4Qk4RUDMJos+RFThLL6xVGk0iv6sw7tHHSJF6Qk9WaErU3VudLJkXhY0X5kbgezr+6Yr6WfYx&#10;rN0OL6wr4u2T8hQRHCzDjBQ3WLYTKU+ofIOeew4pT2YLXdhxELuFLtynRtGF0mUHmT5DWNTQWyQ5&#10;ahmOmnpNLcqZF9EMiu6pFV22keo+2FGordVZUSicy32D0EdjDR65Hkr3FGH6ng99b9s6QTYIQzNF&#10;pIQv8OQEGYKNZw42eKvLWUDCkZY7Gzmjqj9SM5QaodxY1Cnq8yiE7QatBEGjCJOsJExdCUoWXaYp&#10;tHUhPSnD0CQT4OhwLZbsLBcYAPTcALI1Rz1iRsXo93aZjzojk0XlAslz2+ZSASiqSLQH9jliisHo&#10;Um24+mfIeb9yyouvIEHeswk6dGCnE6H7Q50ByE2sAf0cFZbbthNpVgyL0dcD5h3rXp5jZMdbedR0&#10;creGtZ9PhAjQc5skRhDYWpcfIiW58eGjQNu5ywqf+UZiNGsNsKM19v2dzJCI2BQKC4F8m4q6Wyu+&#10;hWQRorzcUM0OQbGv9OUskdxqbbZr1RXd+jUKDicbsahyublEbwdWoZHng1kMpMMw7BFvB5fpuV0m&#10;WyDUmtPedgTTLWoojgsvCOwyfV2c3UiEmJ/HGpKfictEccgjy7yaYIUG4IUVrfJW5zTWsCtv9hM1&#10;95kMjDVEBoj8jydcDiLqIxWtsyTqVja0ibqrH+4g6kdVkiEja1f+xpPtpVXnlLLnrdpmZmFXZOuf&#10;hUOMq9d1Hrw6cxCWTy0si516II60IcLAhbQCVZvSyyrkFLbehx0tLvq5cHBeP5ELz895FbZehh2H&#10;QIW5kgvEulS1hBgG5eN6wjWrkX3hoRC4EYYZ1ibQ8ctScqhO5PFCCBxpO/sQvoa4IxkFHqrbfd8N&#10;lLfTijuQGzaCPMp9eiKGQW54ZrlB2GIfdrTI6GdslNtjXYYuQMZyDe4j+4vrWzzYiiqS05c3D1ux&#10;T4cIWnbeW9NBVSa+FWS4jrt+ZH+/ZUiDNaUEjRhFEDzVsp3OV0UuPg0mWvnSkktwpCWWHSaHRs3U&#10;AnAsnkb9ojE0MhI25pE2gPkx+TBTbLrbvA+G5rkNjS1WYk1Ci4d+Q4OPy0RBaPCA1UfR47q2KQ6B&#10;rD3o2poD6fe8dG3RSq7GXHaV1n6oYEVy2CxVE27kBn0+ySVmebHk1cQG9kISvRjWOCc7iPpRXRtz&#10;0kVOQVO2y1mkY67WF+RMujS4tBiNBfjci6KA3aT9yStJqFBCe5nDSpLnWEnitUKhnsHYcQjZc0T3&#10;PikEAArHp6TwmSC6vkUSQlAkORHeEpQudkUvlvLtmMNHLAZDCQHT8Rxn9ClIS1cZVoMBhp/6laRz&#10;ymsxKirZXg6GPYfN4gDlmwZLrhvRhLVm8cteEYbCZfWpWaUbIrKk7+LSx2y7f2O7+y3gN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PQwAAFtD&#10;b250ZW50X1R5cGVzXS54bWxQSwECFAAKAAAAAACHTuJAAAAAAAAAAAAAAAAABgAAAAAAAAAAABAA&#10;AAAfCwAAX3JlbHMvUEsBAhQAFAAAAAgAh07iQIoUZjzRAAAAlAEAAAsAAAAAAAAAAQAgAAAAQwsA&#10;AF9yZWxzLy5yZWxzUEsBAhQACgAAAAAAh07iQAAAAAAAAAAAAAAAAAQAAAAAAAAAAAAQAAAAAAAA&#10;AGRycy9QSwECFAAUAAAACACHTuJAXzIH9NcAAAAFAQAADwAAAAAAAAABACAAAAAiAAAAZHJzL2Rv&#10;d25yZXYueG1sUEsBAhQAFAAAAAgAh07iQMR7qWzNCQAAU1gAAA4AAAAAAAAAAQAgAAAAJgEAAGRy&#10;cy9lMm9Eb2MueG1sUEsFBgAAAAAGAAYAWQEAAGUNAAAAAA==&#10;">
                        <v:fill on="f" focussize="0,0"/>
                        <v:stroke on="f"/>
                        <v:imagedata o:title=""/>
                        <o:lock v:ext="edit" aspectratio="f"/>
                      </v:shape>
                      <v:rect id="_x0000_s1026" o:spid="_x0000_s1026" o:spt="1" style="position:absolute;left:159562;top:1225706;height:876300;width:305435;" fillcolor="#FFFFFF" filled="t" stroked="f" coordsize="21600,21600" o:gfxdata="UEsDBAoAAAAAAIdO4kAAAAAAAAAAAAAAAAAEAAAAZHJzL1BLAwQUAAAACACHTuJAN4KzHtgAAAAF&#10;AQAADwAAAGRycy9kb3ducmV2LnhtbE2PzU7DMBCE70h9B2srcamonaK0KI1TISQkxAHRwAFuTryN&#10;o9rrELs/vD2mF7isNJrRzLfl5uwsO+IYek8SsrkAhtR63VMn4f3t8eYOWIiKtLKeUMI3BthUk6tS&#10;FdqfaIvHOnYslVAolAQT41BwHlqDToW5H5CSt/OjUzHJseN6VKdU7ixfCLHkTvWUFowa8MFgu68P&#10;TkL/gc+ZEbvZ7Ov+5XXb2EX99OmkvJ5mYg0s4jn+heEXP6FDlZgafyAdmJWQHomXm7zV8nYFrJGQ&#10;57kAXpX8P331A1BLAwQUAAAACACHTuJArj12Yf4BAAAFBAAADgAAAGRycy9lMm9Eb2MueG1srVNL&#10;btswEN0X6B0I7mvJdu2khuUsaribog2QFF3TFCUR4A8ztC2fpkB3PUSPU/QaHVLKBykQZBEtqCE5&#10;82bem+H6qreGHRWg9q7i00nJmXLS19q1Ff92u3t3yRlG4WphvFMVPyvkV5u3b9ansFIz33lTK2AE&#10;4nB1ChXvYgyrokDZKStw4oNydNl4sCLSFtqiBnEidGuKWVkui5OHOoCXCpFOt8MlHxHhJYC+abRU&#10;Wy8PVrk4oIIyIhIl7HRAvsnVNo2S8WvToIrMVJyYxrxSErL3aS02a7FqQYROy7EE8ZISnnCyQjtK&#10;eg+1FVGwA+j/oKyW4NE3cSK9LQYiWRFiMS2faHPTiaAyF5Iaw73o+Hqw8svxGpiuaRI4c8JSw//+&#10;+PXn9082TdqcAq7I5SZcw7hDMhPRvgGb/kSB9RS9+LBYzjg7kzmbLS7K5SCt6iOTdD8vF+/nC84k&#10;OVxeLOdllr54wAmA8ZPyliWj4kCdy4KK42eMlJtc71xGneudNoY1RtMQOhpVzsDH7zp2WbbU3OyI&#10;FD8YLHhSbjhGaPcfDbCjoMHY5S8VTFlafOw9LdOXkZ4PyZFjKqMdE+k50ZShFEaRvHd8adZy4SmJ&#10;cWl1PhEZkqeTIok+yJys2O/7Ufu9r8/UrUMA3XYkUm5RdqfpGIofJjmN3+N9Bn14vZ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N4KzHtgAAAAFAQAADwAAAAAAAAABACAAAAAiAAAAZHJzL2Rvd25y&#10;ZXYueG1sUEsBAhQAFAAAAAgAh07iQK49dmH+AQAABQQAAA4AAAAAAAAAAQAgAAAAJwEAAGRycy9l&#10;Mm9Eb2MueG1sUEsFBgAAAAAGAAYAWQEAAJcFAAAAAA==&#10;">
                        <v:fill type="gradient" on="t" color2="#FFFFFF" angle="90" focus="100%" focussize="0,0">
                          <o:fill type="gradientUnscaled" v:ext="backwardCompatible"/>
                        </v:fill>
                        <v:stroke on="f"/>
                        <v:imagedata o:title=""/>
                        <o:lock v:ext="edit" aspectratio="f"/>
                        <v:textbox>
                          <w:txbxContent>
                            <w:p>
                              <w:r>
                                <w:rPr>
                                  <w:rFonts w:hint="eastAsia"/>
                                </w:rPr>
                                <w:t>市政供水</w:t>
                              </w:r>
                            </w:p>
                          </w:txbxContent>
                        </v:textbox>
                      </v:rect>
                      <v:line id="_x0000_s1026" o:spid="_x0000_s1026" o:spt="20" style="position:absolute;left:1123268;top:614549;height:2770564;width:31859;" filled="f" stroked="t" coordsize="21600,21600" o:gfxdata="UEsDBAoAAAAAAIdO4kAAAAAAAAAAAAAAAAAEAAAAZHJzL1BLAwQUAAAACACHTuJAd62D4tYAAAAF&#10;AQAADwAAAGRycy9kb3ducmV2LnhtbE2PzWrDMBCE74W+g9hCb42UtI6L43UIgUIvTUnSB1CsjW1i&#10;rYyl/DhPX7WX5LIwzDDzbT6/2FacqPeNY4TxSIEgLp1puEL42X68vIPwQbPRrWNCGMjDvHh8yHVm&#10;3JnXdNqESsQS9plGqEPoMil9WZPVfuQ64ujtXW91iLKvpOn1OZbbVk6UmkqrG44Lte5oWVN52Bwt&#10;wnrpVumie/v+XIWvfXq9DlRWA+Lz01jNQAS6hFsY/vAjOhSRaeeObLxoEeIj4f9GL52+piB2CEmS&#10;KJBFLu/pi19QSwMEFAAAAAgAh07iQE+LeBwCAgAA8gMAAA4AAABkcnMvZTJvRG9jLnhtbK1TS44T&#10;MRDdI3EHy3vSSU9+00pnFhOGDYJIwAEc25225J9cTjq5BBdAYgcrluznNgzHoOzOfBg2WZCFU3aV&#10;X9V7/by4OhhN9jKAcramo8GQEmm5E8pua/rp482rOSUQmRVMOytrepRAr5YvXyw6X8nStU4LGQiC&#10;WKg6X9M2Rl8VBfBWGgYD56XFZOOCYRG3YVuIwDpEN7ooh8Np0bkgfHBcAuDpqk/SE2I4B9A1jeJy&#10;5fjOSBt71CA1i0gJWuWBLvO0TSN5fN80ICPRNUWmMa/YBONNWovlglXbwHyr+GkEds4IzzgZpiw2&#10;fYBascjILqh/oIziwYFr4oA7U/REsiLIYjR8ps2HlnmZuaDU4B9Eh/8Hy9/t14EoUdOSEssMfvC7&#10;Lz9/ff72+/Yrrnc/vpMyidR5qLD22q7DaQd+HRLjQxNM+kcu5ICGGpUX5RQ9dKzpdDSejC97jeUh&#10;Eo75i9F8ckkJx3Q5mw0n03HKF484PkB8I50hKaipVjZJwCq2fwuxL70vScfakg67TuazCaIyNGSD&#10;RsDQeCQFdpsvg9NK3Cit0xUI2821DmTPkiny7zTDX2Wpy4pB29flVE8luJ0VOAmrWsnEaytIPHoU&#10;zuJ7oWkaIwUlWuLzSlGujEzpcypRCG1Rj6R3r3CKNk4cs/D5HK2QFTvZNnnt6T7ffnyqy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3rYPi1gAAAAUBAAAPAAAAAAAAAAEAIAAAACIAAABkcnMvZG93&#10;bnJldi54bWxQSwECFAAUAAAACACHTuJAT4t4HAICAADyAwAADgAAAAAAAAABACAAAAAlAQAAZHJz&#10;L2Uyb0RvYy54bWxQSwUGAAAAAAYABgBZAQAAmQUAAAAA&#10;">
                        <v:fill on="f" focussize="0,0"/>
                        <v:stroke weight="1.25pt" color="#000000" joinstyle="round"/>
                        <v:imagedata o:title=""/>
                        <o:lock v:ext="edit" aspectratio="f"/>
                      </v:line>
                      <v:line id="_x0000_s1026" o:spid="_x0000_s1026" o:spt="20" style="position:absolute;left:1158417;top:2576351;height:0;width:431800;" filled="f" stroked="t" coordsize="21600,21600" o:gfxdata="UEsDBAoAAAAAAIdO4kAAAAAAAAAAAAAAAAAEAAAAZHJzL1BLAwQUAAAACACHTuJAAvbj8dUAAAAF&#10;AQAADwAAAGRycy9kb3ducmV2LnhtbE2PwU7DMBBE70j8g7VI3KhdUJoqxKkEElzgUErVXrfxNoka&#10;ryPbacvf4/YCl5VGM5p5Wy7OthdH8qFzrGE6USCIa2c6bjSsv98e5iBCRDbYOyYNPxRgUd3elFgY&#10;d+IvOq5iI1IJhwI1tDEOhZShbslimLiBOHl75y3GJH0jjcdTKre9fFRqJi12nBZaHOi1pfqwGq2G&#10;rc94+amkfd8PtMH8ozm8jEut7++m6hlEpHP8C8MFP6FDlZh2bmQTRK8hPRKvN3n57CkHsdOQZZkC&#10;WZXyP331C1BLAwQUAAAACACHTuJA1yMHeggCAADyAwAADgAAAGRycy9lMm9Eb2MueG1srVNLjhMx&#10;EN0jcQfLe9LpZDKJWunMYsKwQRAJOEDFdndb8k+2k04uwQWQ2MGKJXtuw3AMyu4wmRmENAuycMr2&#10;q1f1XpeXVwetyF74IK2paTkaUyIMs1yatqYf3t+8WFASIhgOyhpR06MI9Gr1/Nmyd5WY2M4qLjxB&#10;EhOq3tW0i9FVRRFYJzSEkXXC4GVjvYaIW98W3EOP7FoVk/H4suit585bJkLA0/VwSU+M/imEtmkk&#10;E2vLdlqYOLB6oSCipNBJF+gqd9s0gsW3TRNEJKqmqDTmFYtgvE1rsVpC1XpwnWSnFuApLTzSpEEa&#10;LHpHtYYIZOflX1RaMm+DbeKIWV0MQrIjqKIcP/LmXQdOZC1odXB3pof/R8ve7DeeSF7TKSUGNH7w&#10;20/ff3788uvHZ1xvv30l02RS70KF2Guz8addcBufFB8ar9M/aiEHHKhytrgo55QcazqZzS+ns3Iw&#10;WRwiYQi4mJaLMdrPEJD9L84czof4SlhNUlBTJU2SDxXsX4eIdRH6B5KOlSE9Vpwt5jPkAxzGBocA&#10;Q+1QUDBtTg5WSX4jlUopwbfba+XJHtJA5F9qD4kfwFKVNYRuwOWrQYW3O8MxAapOAH9pOIlHh6YZ&#10;fCs0daMFp0QJfFopysgIUp2R0UswrfoHGhtRBvtJfg8Op2hr+TEbn89xFHLHp7FNs3Z/n7PPT3X1&#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L24/HVAAAABQEAAA8AAAAAAAAAAQAgAAAAIgAAAGRy&#10;cy9kb3ducmV2LnhtbFBLAQIUABQAAAAIAIdO4kDXIwd6CAIAAPIDAAAOAAAAAAAAAAEAIAAAACQB&#10;AABkcnMvZTJvRG9jLnhtbFBLBQYAAAAABgAGAFkBAACeBQAAAAA=&#10;">
                        <v:fill on="f" focussize="0,0"/>
                        <v:stroke weight="1.25pt" color="#000000" joinstyle="round" endarrow="block"/>
                        <v:imagedata o:title=""/>
                        <o:lock v:ext="edit" aspectratio="f"/>
                      </v:line>
                      <v:rect id="_x0000_s1026" o:spid="_x0000_s1026" o:spt="1" style="position:absolute;left:3324412;top:508764;height:276225;width:1417954;" fillcolor="#FFFFFF" filled="t" stroked="f" coordsize="21600,21600" o:gfxdata="UEsDBAoAAAAAAIdO4kAAAAAAAAAAAAAAAAAEAAAAZHJzL1BLAwQUAAAACACHTuJAN4KzHtgAAAAF&#10;AQAADwAAAGRycy9kb3ducmV2LnhtbE2PzU7DMBCE70h9B2srcamonaK0KI1TISQkxAHRwAFuTryN&#10;o9rrELs/vD2mF7isNJrRzLfl5uwsO+IYek8SsrkAhtR63VMn4f3t8eYOWIiKtLKeUMI3BthUk6tS&#10;FdqfaIvHOnYslVAolAQT41BwHlqDToW5H5CSt/OjUzHJseN6VKdU7ixfCLHkTvWUFowa8MFgu68P&#10;TkL/gc+ZEbvZ7Ov+5XXb2EX99OmkvJ5mYg0s4jn+heEXP6FDlZgafyAdmJWQHomXm7zV8nYFrJGQ&#10;57kAXpX8P331A1BLAwQUAAAACACHTuJAp7E3OQACAAAGBAAADgAAAGRycy9lMm9Eb2MueG1srVPL&#10;jtMwFN0j8Q+W9zSPSdshajoLqrJBMNKAWLuOk1jyS9dum34NEjs+gs9B/AbXTuahQUKzIAvn2j4+&#10;957j683NqBU5CfDSmoYWi5wSYbhtpekb+uXz/s01JT4w0zJljWjoRXh6s339anN2tSjtYFUrgCCJ&#10;8fXZNXQIwdVZ5vkgNPML64TBzc6CZgGn0GctsDOya5WVeb7KzhZaB5YL73F1N23SmRFeQmi7TnKx&#10;s/yohQkTKwjFAkryg3SeblO1XSd4+NR1XgSiGopKQxoxCcaHOGbbDat7YG6QfC6BvaSEZ5o0kwaT&#10;PlDtWGDkCPIvKi05WG+7sOBWZ5OQ5AiqKPJn3twNzImkBa327sF0//9o+cfTLRDZNrSixDCNF/77&#10;249fP7+TKnpzdr5GyJ27hXnmMYxCxw50/KMEMjb06qqsqqKk5NLQZX69XqXjrBZjIBz3i6pYv11i&#10;Do6Acr0qy2Xkzx6JHPjwXlhNYtBQwKtLjrLTBx8m6D1kNrrdS6VIpyR2ocFepQRs+CrDkHyLt5uA&#10;Hs9PAXEWrZuWPfSHdwrIiWFn7NM3F9T7p+gij19i+vcRlNLfp1LSEBbfE7aZ50wJ9Df1WgQBS4XH&#10;JMrE0dgoZJIYV7Lo+uRzjMJ4GGfzD7a94HUdHch+QJOKVHIEYXskN+dWjv33dJ5IH5/v9g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3grMe2AAAAAUBAAAPAAAAAAAAAAEAIAAAACIAAABkcnMvZG93&#10;bnJldi54bWxQSwECFAAUAAAACACHTuJAp7E3OQACAAAGBAAADgAAAAAAAAABACAAAAAnAQAAZHJz&#10;L2Uyb0RvYy54bWxQSwUGAAAAAAYABgBZAQAAmQUAAAAA&#10;">
                        <v:fill type="gradient" on="t" color2="#FFFFFF" angle="90" focus="100%" focussize="0,0">
                          <o:fill type="gradientUnscaled" v:ext="backwardCompatible"/>
                        </v:fill>
                        <v:stroke on="f"/>
                        <v:imagedata o:title=""/>
                        <o:lock v:ext="edit" aspectratio="f"/>
                        <v:textbox>
                          <w:txbxContent>
                            <w:p>
                              <w:r>
                                <w:rPr>
                                  <w:rFonts w:hint="eastAsia"/>
                                </w:rPr>
                                <w:t>交由有资质单位处置</w:t>
                              </w:r>
                            </w:p>
                          </w:txbxContent>
                        </v:textbox>
                      </v:rect>
                      <v:rect id="_x0000_s1026" o:spid="_x0000_s1026" o:spt="1" style="position:absolute;left:1633852;top:365526;height:680352;width:1255325;" fillcolor="#FFFFFF" filled="t" stroked="t" coordsize="21600,21600" o:gfxdata="UEsDBAoAAAAAAIdO4kAAAAAAAAAAAAAAAAAEAAAAZHJzL1BLAwQUAAAACACHTuJAEQN7QdYAAAAF&#10;AQAADwAAAGRycy9kb3ducmV2LnhtbE2PwU7DMBBE70j9B2uRuCBqtygtTeNUAokbFaVFnN14m4TG&#10;6yjeNOHvMVzgstJoRjNvs83oGnHBLtSeNMymCgRS4W1NpYb3w/PdA4jAhqxpPKGGLwywySdXmUmt&#10;H+gNL3suRSyhkBoNFXObShmKCp0JU98iRe/kO2c4yq6UtjNDLHeNnCu1kM7UFBcq0+JThcV53zsN&#10;B/xQ9ae6fWn7+Xa1fXzdnXgctL65nqk1CMaR/8Lwgx/RIY9MR9+TDaLREB/h3xu95eJ+CeKoIUkS&#10;BTLP5H/6/BtQSwMEFAAAAAgAh07iQD14qJNLAgAAxgQAAA4AAABkcnMvZTJvRG9jLnhtbK1UzY7T&#10;MBC+I/EOlu80aaqUKmq6B0q5IFhpQZxdx0ks+U8et02fBokbD8HjIF6DsZN2l0VCPZBDMonH38z3&#10;zees7watyFF4kNbUdD7LKRGG20aarqafP+1erSiBwEzDlDWipmcB9G7z8sX65CpR2N6qRniCIAaq&#10;k6tpH4Krsgx4LzSDmXXC4GJrvWYBX32XNZ6dEF2rrMjzZXayvnHecgGAX7fjIp0Q/S2Atm0lF1vL&#10;D1qYMKJ6oVhAStBLB3STum1bwcPHtgURiKopMg3pjkUw3sd7tlmzqvPM9ZJPLbBbWnjGSTNpsOgV&#10;assCIwcv/4LSknsLtg0zbnU2EkmKIIt5/kybh545kbig1OCuosP/g+UfjveeyKamJSWGaRz4r6/f&#10;f/74RsqozclBhSkP7t5Pb4BhJDq0XscnUiAD+mi5WKzKgpJzTRfLsiyWo7RiCITH9aIsFwXW4Jiw&#10;XOULzEXE7BHIeQjvhNUkBjX1OLqkKDu+hzCmXlImoZudVIq0SqILDXqVEm/DFxn6pFucbkoE3D8G&#10;xFmUbvwMvtu/UZ4cGTpjl66poQ6eZs/zeCWkf29BKt2llJKGsHie0GbAmRKob/JaTPIsNR6LKENO&#10;qE25eh2VYcijRRdjqB3uANONda2S1y1/NJF6uwDD07Qo1ZZBP/JLS+NAtAzCo5ys6gVr3pqGhLPD&#10;qY8CYjdaNJQogf+GGKXMwKS6JRPZKYNDja4ZfRKjMOwHhInh3jZntNvBedn1OOR5kjyuoL2TG6aj&#10;GM/P0/cE+vj72fw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EQN7QdYAAAAFAQAADwAAAAAAAAAB&#10;ACAAAAAiAAAAZHJzL2Rvd25yZXYueG1sUEsBAhQAFAAAAAgAh07iQD14qJNLAgAAxgQAAA4AAAAA&#10;AAAAAQAgAAAAJQEAAGRycy9lMm9Eb2MueG1sUEsFBgAAAAAGAAYAWQEAAOIFAAAAAA==&#10;">
                        <v:fill type="gradient" on="t" color2="#FFFFFF" angle="90" focus="100%" focussize="0,0">
                          <o:fill type="gradientUnscaled" v:ext="backwardCompatible"/>
                        </v:fill>
                        <v:stroke weight="1.25pt" color="#000000" joinstyle="miter"/>
                        <v:imagedata o:title=""/>
                        <o:lock v:ext="edit" aspectratio="f"/>
                        <v:textbox>
                          <w:txbxContent>
                            <w:p>
                              <w:pPr>
                                <w:jc w:val="center"/>
                              </w:pPr>
                              <w:r>
                                <w:rPr>
                                  <w:rFonts w:hint="eastAsia"/>
                                </w:rPr>
                                <w:t>调漆、喷漆、晾干废气处理装置喷淋塔用水</w:t>
                              </w:r>
                            </w:p>
                          </w:txbxContent>
                        </v:textbox>
                      </v:rect>
                      <v:line id="_x0000_s1026" o:spid="_x0000_s1026" o:spt="20" style="position:absolute;left:1123268;top:614622;height:0;width:495363;" filled="f" stroked="t" coordsize="21600,21600" o:gfxdata="UEsDBAoAAAAAAIdO4kAAAAAAAAAAAAAAAAAEAAAAZHJzL1BLAwQUAAAACACHTuJAAvbj8dUAAAAF&#10;AQAADwAAAGRycy9kb3ducmV2LnhtbE2PwU7DMBBE70j8g7VI3KhdUJoqxKkEElzgUErVXrfxNoka&#10;ryPbacvf4/YCl5VGM5p5Wy7OthdH8qFzrGE6USCIa2c6bjSsv98e5iBCRDbYOyYNPxRgUd3elFgY&#10;d+IvOq5iI1IJhwI1tDEOhZShbslimLiBOHl75y3GJH0jjcdTKre9fFRqJi12nBZaHOi1pfqwGq2G&#10;rc94+amkfd8PtMH8ozm8jEut7++m6hlEpHP8C8MFP6FDlZh2bmQTRK8hPRKvN3n57CkHsdOQZZkC&#10;WZXyP331C1BLAwQUAAAACACHTuJARXYqIQYCAADxAwAADgAAAGRycy9lMm9Eb2MueG1srVNLjhMx&#10;EN0jcQfLe9JJZ9IMrXRmMWHYIIgEHKBiu7st+SfbSSeX4AJI7GDFkj23YTgGZXeYwCCkWZCFU3aV&#10;X733ury8OmhF9sIHaU1DZ5MpJcIwy6XpGvru7c2TS0pCBMNBWSMaehSBXq0eP1oOrhal7a3iwhME&#10;MaEeXEP7GF1dFIH1QkOYWCcMJlvrNUTc+q7gHgZE16oop9OqGKznzlsmQsDT9ZikJ0T/EEDbtpKJ&#10;tWU7LUwcUb1QEFFS6KULdJXZtq1g8XXbBhGJaigqjXnFJhhv01qsllB3Hlwv2YkCPITCPU0apMGm&#10;d1BriEB2Xv4FpSXzNtg2TpjVxSgkO4IqZtN73rzpwYmsBa0O7s708P9g2av9xhPJG1pRYkDjB7/9&#10;8PX7+08/vn3E9fbLZ1IlkwYXaqy9Nht/2gW38UnxofU6/aMWcsCBmpXzssIZOiLk7KIqy9FjcYiE&#10;Yf7i2WJezSlhmM/2F2cI50N8IawmKWiokiaphxr2L0PEtlj6qyQdK0MGbLi4fLpAPMBZbHEGMNQO&#10;9QTT5cvBKslvpFLpSvDd9lp5soc0D/mX6CHwH2WpyxpCP9bl1KjC253heAHqXgB/bjiJR4eeGXwq&#10;NLHRglOiBL6sFOXKCFKdK6OXYDr1j2okogzySXaPBqdoa/kx+57PcRIy49PUplH7fZ9vn1/q6i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C9uPx1QAAAAUBAAAPAAAAAAAAAAEAIAAAACIAAABkcnMv&#10;ZG93bnJldi54bWxQSwECFAAUAAAACACHTuJARXYqIQYCAADxAwAADgAAAAAAAAABACAAAAAkAQAA&#10;ZHJzL2Uyb0RvYy54bWxQSwUGAAAAAAYABgBZAQAAnAUAAAAA&#10;">
                        <v:fill on="f" focussize="0,0"/>
                        <v:stroke weight="1.25pt" color="#000000" joinstyle="round" endarrow="block"/>
                        <v:imagedata o:title=""/>
                        <o:lock v:ext="edit" aspectratio="f"/>
                      </v:line>
                      <v:rect id="_x0000_s1026" o:spid="_x0000_s1026" o:spt="1" style="position:absolute;left:1567992;top:1452402;height:285750;width:780415;" fillcolor="#FFFFFF" filled="t" stroked="t" coordsize="21600,21600" o:gfxdata="UEsDBAoAAAAAAIdO4kAAAAAAAAAAAAAAAAAEAAAAZHJzL1BLAwQUAAAACACHTuJAEQN7QdYAAAAF&#10;AQAADwAAAGRycy9kb3ducmV2LnhtbE2PwU7DMBBE70j9B2uRuCBqtygtTeNUAokbFaVFnN14m4TG&#10;6yjeNOHvMVzgstJoRjNvs83oGnHBLtSeNMymCgRS4W1NpYb3w/PdA4jAhqxpPKGGLwywySdXmUmt&#10;H+gNL3suRSyhkBoNFXObShmKCp0JU98iRe/kO2c4yq6UtjNDLHeNnCu1kM7UFBcq0+JThcV53zsN&#10;B/xQ9ae6fWn7+Xa1fXzdnXgctL65nqk1CMaR/8Lwgx/RIY9MR9+TDaLREB/h3xu95eJ+CeKoIUkS&#10;BTLP5H/6/BtQSwMEFAAAAAgAh07iQOL+PA5MAgAAxgQAAA4AAABkcnMvZTJvRG9jLnhtbK1UzY7T&#10;MBC+I/EOlu80adVuu9Wme6CUC4KVdhFn13ESS/6Tx23Sp0HixkPwOIjXYGy33bJIqAdySCbx+Jv5&#10;vvmcu/tBK7IXHqQ1FR2PSkqE4baWpq3o56fNmwUlEJipmbJGVPQggN6vXr+6691STGxnVS08QRAD&#10;y95VtAvBLYsCeCc0g5F1wuBiY71mAV99W9Se9YiuVTEpy5uit7523nIBgF/XeZEeEf01gLZpJBdr&#10;y3damJBRvVAsICXopAO6St02jeDhU9OACERVFJmGdMciGG/jvVjdsWXrmeskP7bArmnhBSfNpMGi&#10;Z6g1C4zsvPwLSkvuLdgmjLjVRSaSFEEW4/KFNo8dcyJxQanBnUWH/wfLP+4fPJF1ReeUGKZx4L++&#10;fv/54xuZR216B0tMeXQP/vgGGEaiQ+N1fCIFMqCPZjfz29sJJQeMp7PJtJxkbcUQCMeE+aKcjmeU&#10;cEyYLGbzWdK+eAZyHsJ7YTWJQUU9ji4pyvYfIGBxTD2lHIWuN1Ip0iiJLjToVUq8DV9k6JJucbop&#10;EXB/DoizKF3+DL7dvlWe7Bk6Y5Ou2DBWaeEye1zGKyH9e0vaeSylpCEsnie0GXCmBOp74otmS43H&#10;IsqQPmq3mEdlGPJo0MUYaoc7wLS5rlXyvOWPJlJvJ2C4TItSrRl0mV9ayvPQMog4S7bsBKvfmZqE&#10;g8OpZwGxGy1qSpTAf0OMUmZgUl2TiRIogxpG12SfxCgM2wFhYri19QHttnNeth0OeZwkjyto7yx+&#10;Porx/Fy+J9Dn38/qN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BEDe0HWAAAABQEAAA8AAAAAAAAA&#10;AQAgAAAAIgAAAGRycy9kb3ducmV2LnhtbFBLAQIUABQAAAAIAIdO4kDi/jwOTAIAAMYEAAAOAAAA&#10;AAAAAAEAIAAAACUBAABkcnMvZTJvRG9jLnhtbFBLBQYAAAAABgAGAFkBAADjBQAAAAA=&#10;">
                        <v:fill type="gradient" on="t" color2="#FFFFFF" angle="90" focus="100%" focussize="0,0">
                          <o:fill type="gradientUnscaled" v:ext="backwardCompatible"/>
                        </v:fill>
                        <v:stroke weight="1.25pt" color="#000000" joinstyle="miter"/>
                        <v:imagedata o:title=""/>
                        <o:lock v:ext="edit" aspectratio="f"/>
                        <v:textbox>
                          <w:txbxContent>
                            <w:p>
                              <w:r>
                                <w:rPr>
                                  <w:rFonts w:hint="eastAsia"/>
                                </w:rPr>
                                <w:t>生活用水</w:t>
                              </w:r>
                            </w:p>
                          </w:txbxContent>
                        </v:textbox>
                      </v:rect>
                      <v:rect id="_x0000_s1026" o:spid="_x0000_s1026" o:spt="1" style="position:absolute;left:3826357;top:1442822;height:285750;width:992504;" fillcolor="#FFFFFF" filled="t" stroked="f" coordsize="21600,21600" o:gfxdata="UEsDBAoAAAAAAIdO4kAAAAAAAAAAAAAAAAAEAAAAZHJzL1BLAwQUAAAACACHTuJAN4KzHtgAAAAF&#10;AQAADwAAAGRycy9kb3ducmV2LnhtbE2PzU7DMBCE70h9B2srcamonaK0KI1TISQkxAHRwAFuTryN&#10;o9rrELs/vD2mF7isNJrRzLfl5uwsO+IYek8SsrkAhtR63VMn4f3t8eYOWIiKtLKeUMI3BthUk6tS&#10;FdqfaIvHOnYslVAolAQT41BwHlqDToW5H5CSt/OjUzHJseN6VKdU7ixfCLHkTvWUFowa8MFgu68P&#10;TkL/gc+ZEbvZ7Ov+5XXb2EX99OmkvJ5mYg0s4jn+heEXP6FDlZgafyAdmJWQHomXm7zV8nYFrJGQ&#10;57kAXpX8P331A1BLAwQUAAAACACHTuJAEgZhDQECAAAGBAAADgAAAGRycy9lMm9Eb2MueG1srVNL&#10;btswEN0X6B0I7mvJip0oguUsaribog2QFF3TFCUR4A8c2pJPU6C7HqLHKXqNDinlgxQosqgW1JAa&#10;vpn35mlzM2pFTsKDtKamy0VOiTDcNtJ0Nf1yv39XUgKBmYYpa0RNzwLozfbtm83gKlHY3qpGeIIg&#10;BqrB1bQPwVVZBrwXmsHCOmHwY2u9ZgG3vssazwZE1yor8vwyG6xvnLdcAODpbvpIZ0T/GkDbtpKL&#10;neVHLUyYUL1QLCAl6KUDuk3dtq3g4XPbgghE1RSZhrRiEYwPcc22G1Z1nrle8rkF9poWXnDSTBos&#10;+gi1Y4GRo5d/QWnJvQXbhgW3OpuIJEWQxTJ/oc1dz5xIXFBqcI+iw/+D5Z9Ot57IpqY4dsM0Dvz3&#10;tx+/fn4nZdRmcFBhyp279fMOMIxEx9br+EYKZKzpRVlcXqyvKDmjp1aroiyKSVsxBsIx4fq6WOcr&#10;SjgmFOX6ap20z56AnIfwQVhNYlBTj6NLirLTRwhYHFMfUmahm71UirRKogsNepUSb8NXGfqkW5xu&#10;SgS8PwXEWZRuOgbfHd4rT04MnbFPT2wYq3TwPHuZxych/ftKujmXUtIQFv8ntBlwpgTq+8AXzZYa&#10;j0WUiauxkchUPJ5kUfVJ5xiF8TDO4h9sc8ZxHZ2XXY8iLVPLMQntMTU/WTn67/k+gT79vt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4KzHtgAAAAFAQAADwAAAAAAAAABACAAAAAiAAAAZHJzL2Rv&#10;d25yZXYueG1sUEsBAhQAFAAAAAgAh07iQBIGYQ0BAgAABgQAAA4AAAAAAAAAAQAgAAAAJwEAAGRy&#10;cy9lMm9Eb2MueG1sUEsFBgAAAAAGAAYAWQEAAJoFAAAAAA==&#10;">
                        <v:fill type="gradient" on="t" color2="#FFFFFF" angle="90" focus="100%" focussize="0,0">
                          <o:fill type="gradientUnscaled" v:ext="backwardCompatible"/>
                        </v:fill>
                        <v:stroke on="f"/>
                        <v:imagedata o:title=""/>
                        <o:lock v:ext="edit" aspectratio="f"/>
                        <v:textbox>
                          <w:txbxContent>
                            <w:p>
                              <w:r>
                                <w:rPr>
                                  <w:rFonts w:hint="eastAsia"/>
                                </w:rPr>
                                <w:t>市政污水管网</w:t>
                              </w:r>
                            </w:p>
                          </w:txbxContent>
                        </v:textbox>
                      </v:rect>
                      <v:shape id="_x0000_s1026" o:spid="_x0000_s1026" o:spt="38" type="#_x0000_t38" style="position:absolute;left:1865807;top:1334291;flip:y;height:118110;width:230505;" filled="f" stroked="t" coordsize="21600,21600" o:gfxdata="UEsDBAoAAAAAAIdO4kAAAAAAAAAAAAAAAAAEAAAAZHJzL1BLAwQUAAAACACHTuJAIHUtWtQAAAAF&#10;AQAADwAAAGRycy9kb3ducmV2LnhtbE2PzU7DMBCE70i8g7VI3KhTIC0KcaqqCHriQOHAcRsvcYS9&#10;juLtH0+P4QKXlUYzmvm2XhyDV3saUx/ZwHRSgCJuo+25M/D2+nh1ByoJskUfmQycKMGiOT+rsbLx&#10;wC+030incgmnCg04kaHSOrWOAqZJHIiz9xHHgJLl2Gk74iGXB6+vi2KmA/acFxwOtHLUfm52wcBX&#10;6NZP+LBcp+fb1XtcijuJd8ZcXkyLe1BCR/kLww9+RocmM23jjm1S3kB+RH5v9uazmzmorYGyLAvQ&#10;Ta3/0zffUEsDBBQAAAAIAIdO4kCWfyYjMwIAADkEAAAOAAAAZHJzL2Uyb0RvYy54bWytU7uOEzEU&#10;7ZH4B8s9mZmE7CZRJlskLA2CSDx6x48ZI79kO5nkJ/gBJDqoqChp9m92+QyuPcMuLELagimsa8/1&#10;ueece728OGqFDtwHaU2Nq1GJETfUMmmaGr99c/lkhlGIxDCirOE1PvGAL1aPHy07t+Bj21rFuEcA&#10;YsKiczVuY3SLogi05ZqEkXXcwE9hvSYRtr4pmCcdoGtVjMvyrOisZ85bykOA003/Ew+I/iGAVghJ&#10;+cbSveYm9qieKxJBUmilC3iV2QrBaXwlROARqRqD0phXKALxLq3FakkWjSeulXSgQB5C4Z4mTaSB&#10;ordQGxIJ2nv5F5SW1NtgRRxRq4teSHYEVFTlPW9et8TxrAWsDu7W9PD/YOnLw9YjyWo8x8gQDQ2/&#10;/vjt5vvVj6tP1x8+33z9gubJpM6FBeSuzdYPu+C2Pik+Cq+RUNK9g2nKHoAqdITN7Gw6K88xOkE8&#10;mTwdz6vebn6MiELCeFJOyylGNCVUs6rK7Sh6yATtfIjPudUoBTWme3/gbG2NgbZaP8nFyOFFiNl5&#10;NvAn7H2FkdAKGnkgCk3LapI1APKQDdEv7HRVGdQBhensPLEhMNQChglC7cCYYJpcKVgl2aVUKl0J&#10;vtmtlUdQAMYof0kcAP+RlqpsSGj7PAZRb4G3e8Py7LWcsGeGoXhy4L2BJ4cTGc0ZRorDC01RzoxE&#10;qrvM6CUxjfpHNvBQBuiktvWNStHOslPuXz6HicqEh+lPI/v7Pt++e/Gr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CB1LVrUAAAABQEAAA8AAAAAAAAAAQAgAAAAIgAAAGRycy9kb3ducmV2LnhtbFBL&#10;AQIUABQAAAAIAIdO4kCWfyYjMwIAADkEAAAOAAAAAAAAAAEAIAAAACMBAABkcnMvZTJvRG9jLnht&#10;bFBLBQYAAAAABgAGAFkBAADIBQAAAAA=&#10;" adj="10830">
                        <v:fill on="f" focussize="0,0"/>
                        <v:stroke weight="1.25pt" color="#000000" joinstyle="round" dashstyle="dash" endarrow="block"/>
                        <v:imagedata o:title=""/>
                        <o:lock v:ext="edit" aspectratio="f"/>
                      </v:shape>
                      <v:rect id="_x0000_s1026" o:spid="_x0000_s1026" o:spt="1" style="position:absolute;left:2072817;top:1099976;height:314325;width:867893;"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CsZw9vrAEAAEMDAAAOAAAAZHJzL2Uyb0RvYy54bWytUktu&#10;2zAQ3RfoHQjuY0py649gORsj3RRtgLQHoCnSIsAfOLQln6ZAdz1Ej1P0Gh1KalKkmyyyGQ45gzfv&#10;veHudrCGXGQE7V1Dy0VBiXTCt9qdGvr1y93NhhJI3LXceCcbepVAb/dv3+z6UMvKd960MhIEcVD3&#10;oaFdSqFmDEQnLYeFD9JhUfloecJrPLE28h7RrWFVUaxY72MbohcSAF8PU5HOiPElgF4pLeTBi7OV&#10;Lk2oURqeUBJ0OgDdj2yVkiJ9VgpkIqahqDSNEYdgfsyR7Xe8PkUeOi1mCvwlFJ5pslw7HPoIdeCJ&#10;k3PU/0FZLaIHr9JCeMsmIaMjqKIsnnnz0PEgRy1oNYRH0+H1YMWny30kusWfgJY4bnHjv7/9+PXz&#10;O8EHdKcPUGPTQ7iP8w0wzVIHFW0+UQQZGloV62pTrim5ZqztdrteTe7KIRGBDZvVerNdUiKwYVm+&#10;W1bvc509AYUI6YP0luSkoRGXN3rKLx8hTa1/W/Jc43J0/k4bM1XzC8uEJ4o5S8NxmHkffXtFrecQ&#10;9alD/HIcn5vQ25HI/A/y8v69j6BPf3//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8yB/TXAAAA&#10;BQEAAA8AAAAAAAAAAQAgAAAAIgAAAGRycy9kb3ducmV2LnhtbFBLAQIUABQAAAAIAIdO4kCsZw9v&#10;rAEAAEMDAAAOAAAAAAAAAAEAIAAAACYBAABkcnMvZTJvRG9jLnhtbFBLBQYAAAAABgAGAFkBAABE&#10;BQAAAAA=&#10;">
                        <v:fill on="f" focussize="0,0"/>
                        <v:stroke on="f"/>
                        <v:imagedata o:title=""/>
                        <o:lock v:ext="edit" aspectratio="f"/>
                        <v:textbox>
                          <w:txbxContent>
                            <w:p>
                              <w:r>
                                <w:rPr>
                                  <w:rFonts w:hint="eastAsia"/>
                                </w:rPr>
                                <w:t>损耗0.</w:t>
                              </w:r>
                              <w:r>
                                <w:t>640</w:t>
                              </w:r>
                            </w:p>
                          </w:txbxContent>
                        </v:textbox>
                      </v:rect>
                      <v:rect id="_x0000_s1026" o:spid="_x0000_s1026" o:spt="1" style="position:absolute;left:479602;top:1341911;height:328295;width:911225;"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Cs1ab7qgEAAEIDAAAOAAAAZHJzL2Uyb0RvYy54bWytUktu&#10;2zAQ3RfoHQjua8rKp7FgORsj2QRtgDQHoCnSIsAfOLQln6ZAdz1Ej1P0Gh1SygfpJotuqOHM6M17&#10;b7i+Hq0hRxlBe9fS5aKiRDrhO+32LX38dvPpihJI3HXceCdbepJArzcfP6yH0Mja9950MhIEcdAM&#10;oaV9SqFhDEQvLYeFD9JhUfloecJr3LMu8gHRrWF1VV2ywccuRC8kAGa3U5HOiPE9gF4pLeTWi4OV&#10;Lk2oURqeUBL0OgDdFLZKSZG+KgUyEdNSVJrKiUMw3uWTbda82Uceei1mCvw9FN5oslw7HPoMteWJ&#10;k0PU/0BZLaIHr9JCeMsmIcURVLGs3njz0PMgixa0GsKz6fD/YMWX430kusOXsKTEcYsb//P95+9f&#10;Pwgm0J0hQINND+E+zjfAMEsdVbT5iyLI2NLzz6vLqqbkhFBn58vV9Dtv5JiIwDom6vqCEoENZ/VV&#10;vbrI8OwFJ0RIt9JbkoOWRtxdsZQf7yBNrU8teaxx+XT+RhszVXOGZb4TwxylcTfOtHe+O6HUQ4h6&#10;3yN+UVfa0dpCZH4GeXev7wX05elv/g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fMgf01wAAAAUB&#10;AAAPAAAAAAAAAAEAIAAAACIAAABkcnMvZG93bnJldi54bWxQSwECFAAUAAAACACHTuJArNWm+6oB&#10;AABCAwAADgAAAAAAAAABACAAAAAmAQAAZHJzL2Uyb0RvYy54bWxQSwUGAAAAAAYABgBZAQAAQgUA&#10;AAAA&#10;">
                        <v:fill on="f" focussize="0,0"/>
                        <v:stroke on="f"/>
                        <v:imagedata o:title=""/>
                        <o:lock v:ext="edit" aspectratio="f"/>
                        <v:textbox>
                          <w:txbxContent>
                            <w:p>
                              <w:pPr>
                                <w:rPr>
                                  <w:color w:val="000000" w:themeColor="text1"/>
                                  <w14:textFill>
                                    <w14:solidFill>
                                      <w14:schemeClr w14:val="tx1"/>
                                    </w14:solidFill>
                                  </w14:textFill>
                                </w:rPr>
                              </w:pPr>
                              <w:r>
                                <w:rPr>
                                  <w:color w:val="000000" w:themeColor="text1"/>
                                  <w14:textFill>
                                    <w14:solidFill>
                                      <w14:schemeClr w14:val="tx1"/>
                                    </w14:solidFill>
                                  </w14:textFill>
                                </w:rPr>
                                <w:t>8.318</w:t>
                              </w:r>
                            </w:p>
                          </w:txbxContent>
                        </v:textbox>
                      </v:rect>
                      <v:line id="_x0000_s1026" o:spid="_x0000_s1026" o:spt="20" style="position:absolute;left:2367856;top:1585413;height:4762;width:438107;" filled="f" stroked="t" coordsize="21600,21600" o:gfxdata="UEsDBAoAAAAAAIdO4kAAAAAAAAAAAAAAAAAEAAAAZHJzL1BLAwQUAAAACACHTuJAAvbj8dUAAAAF&#10;AQAADwAAAGRycy9kb3ducmV2LnhtbE2PwU7DMBBE70j8g7VI3KhdUJoqxKkEElzgUErVXrfxNoka&#10;ryPbacvf4/YCl5VGM5p5Wy7OthdH8qFzrGE6USCIa2c6bjSsv98e5iBCRDbYOyYNPxRgUd3elFgY&#10;d+IvOq5iI1IJhwI1tDEOhZShbslimLiBOHl75y3GJH0jjcdTKre9fFRqJi12nBZaHOi1pfqwGq2G&#10;rc94+amkfd8PtMH8ozm8jEut7++m6hlEpHP8C8MFP6FDlZh2bmQTRK8hPRKvN3n57CkHsdOQZZkC&#10;WZXyP331C1BLAwQUAAAACACHTuJAI75PVRgCAAAfBAAADgAAAGRycy9lMm9Eb2MueG1srVNLjhMx&#10;EN0jcQfLe9L5J2qlM4uEYYNgJOAAFdvdbck/2U46uQQXQGIHK5bsuQ3DMSi7k5lhENIs6IVld716&#10;Ve+5vLo6akUOwgdpTUVHgyElwjDLpWkq+uH99YslJSGC4aCsERU9iUCv1s+frTpXirFtreLCEyQx&#10;oexcRdsYXVkUgbVCQxhYJwwGa+s1RDz6puAeOmTXqhgPh/Ois547b5kIAf9u+yA9M/qnENq6lkxs&#10;LdtrYWLP6oWCiJJCK12g69xtXQsW39Z1EJGoiqLSmFcsgvtdWov1CsrGg2slO7cAT2nhkSYN0mDR&#10;O6otRCB7L/+i0pJ5G2wdB8zqoheSHUEVo+Ejb9614ETWglYHd2d6+H+07M3hxhPJcRLGlBjQeOO3&#10;n77//Pjl14/PuN5++0owgjZ1LpSI3pgbn4QKwzdH02fixEh+RIqEK/4ApkNwfcqx9jqlomqC6PFk&#10;vljO5pScMHO2nE1Hk/46xDEShoDpZDkaLihhCJgu5rmLAsoLjfMhvhJWk7SpqJImeQUlHF6HmBqB&#10;8gJJv5UhXS60mCEl4OTWODG41Q7VB9Pk5GCV5NdSqZQSfLPbKE8OkKYnf1khRh7CUpUthLbH5VAv&#10;xNu94XnCWgH8peEknhwabPBh0dSNFpwSJfAdpl1GRpDqHhm9BNOof6BRoTJnx3uTk907y083/nIT&#10;ODfZivOMp8F8eM7Z9+96/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C9uPx1QAAAAUBAAAPAAAA&#10;AAAAAAEAIAAAACIAAABkcnMvZG93bnJldi54bWxQSwECFAAUAAAACACHTuJAI75PVRgCAAAfBAAA&#10;DgAAAAAAAAABACAAAAAkAQAAZHJzL2Uyb0RvYy54bWxQSwUGAAAAAAYABgBZAQAArgUAAAAA&#10;">
                        <v:fill on="f" focussize="0,0"/>
                        <v:stroke weight="1.25pt" color="#000000" joinstyle="round" endarrow="block"/>
                        <v:imagedata o:title=""/>
                        <o:lock v:ext="edit" aspectratio="f"/>
                      </v:line>
                      <v:line id="_x0000_s1026" o:spid="_x0000_s1026" o:spt="20" style="position:absolute;left:416737;top:1624486;flip:y;height:635;width:706755;" filled="f" stroked="t" coordsize="21600,21600" o:gfxdata="UEsDBAoAAAAAAIdO4kAAAAAAAAAAAAAAAAAEAAAAZHJzL1BLAwQUAAAACACHTuJAiYrIVNYAAAAF&#10;AQAADwAAAGRycy9kb3ducmV2LnhtbE2PwU7DMBBE70j8g7VI3KidQpo2xOkBqYITqAW11228JFHj&#10;dRS7aenXY7jAZaXRjGbeFsuz7cRIg28da0gmCgRx5UzLtYaP99XdHIQPyAY7x6Thizwsy+urAnPj&#10;TrymcRNqEUvY56ihCaHPpfRVQxb9xPXE0ft0g8UQ5VBLM+AplttOTpWaSYstx4UGe3pqqDpsjlbD&#10;5eGwSEZ82WVbj6+L6Wp7eXu2Wt/eJOoRRKBz+AvDD35EhzIy7d2RjRedhvhI+L3Ry2b3GYi9hjRN&#10;FciykP/py29QSwMEFAAAAAgAh07iQCAQmz8OAgAA/wMAAA4AAABkcnMvZTJvRG9jLnhtbK1TS44T&#10;MRDdI3EHy3vS+XaiVjqzmDBsEIzEZ1+x3d2W/JPtpJNLcAEkdrBiyX5uw3AMyu4wA4OQZkEvrLLr&#10;+VW91+X1xVErchA+SGtqOhmNKRGGWS5NW9N3b6+erSgJEQwHZY2o6UkEerF5+mTdu0pMbWcVF54g&#10;iQlV72raxeiqogisExrCyDphMNlYryHi1rcF99Aju1bFdDwui9567rxlIgQ83Q5Jemb0jyG0TSOZ&#10;2Fq218LEgdULBRElhU66QDe526YRLL5umiAiUTVFpTGvWATjXVqLzRqq1oPrJDu3AI9p4YEmDdJg&#10;0TuqLUQgey//otKSeRtsE0fM6mIQkh1BFZPxA2/edOBE1oJWB3dnevh/tOzV4doTyXESZpQY0PjH&#10;bz9++/7h84+bT7jefv1CMIM29S5UiL401/68C+7aJ83HxmvSKOneI0t2AXWRY03nk3I5W1JywvNy&#10;Op+vysFvcYyEYX45LpeLBSUMAeVskZLFQJdonQ/xhbCapKCmSprkBVRweBniAP0FScfKkB7rLFbL&#10;xAg4mQ1OBIbaobpg2nw5WCX5lVQqXQm+3V0qTw6QpiN/5x7+gKUqWwjdgMupQYe3e8OxE6g6Afy5&#10;4SSeHBpo8OHQ1I0WnBIl8J2lKCMjSHWPjF6CadU/0GiGMuhJsn4wO0U7y0/5H+RznIvs2nmG0+D9&#10;vs+379/t5i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JishU1gAAAAUBAAAPAAAAAAAAAAEAIAAA&#10;ACIAAABkcnMvZG93bnJldi54bWxQSwECFAAUAAAACACHTuJAIBCbPw4CAAD/AwAADgAAAAAAAAAB&#10;ACAAAAAlAQAAZHJzL2Uyb0RvYy54bWxQSwUGAAAAAAYABgBZAQAApQUAAAAA&#10;">
                        <v:fill on="f" focussize="0,0"/>
                        <v:stroke weight="1.25pt" color="#000000" joinstyle="round" endarrow="block"/>
                        <v:imagedata o:title=""/>
                        <o:lock v:ext="edit" aspectratio="f"/>
                      </v:line>
                      <v:shape id="_x0000_s1026" o:spid="_x0000_s1026" o:spt="38" type="#_x0000_t38" style="position:absolute;left:1902303;top:162335;flip:y;height:203199;width:241300;" filled="f" stroked="t" coordsize="21600,21600" o:gfxdata="UEsDBAoAAAAAAIdO4kAAAAAAAAAAAAAAAAAEAAAAZHJzL1BLAwQUAAAACACHTuJAYDxpDdQAAAAF&#10;AQAADwAAAGRycy9kb3ducmV2LnhtbE2PwU7DMBBE70j8g7VI3KhdUFoIcXpA4oKEEEk/YBMvSdR4&#10;HWwnKX+P4QKXlUYzmnlbHM52FAv5MDjWsN0oEMStMwN3Go718809iBCRDY6OScMXBTiUlxcF5sat&#10;/E5LFTuRSjjkqKGPccqlDG1PFsPGTcTJ+3DeYkzSd9J4XFO5HeWtUjtpceC00ONETz21p2q2Gl5p&#10;efh8iV65Zn1z9ek411M1a319tVWPICKd418YfvATOpSJqXEzmyBGDemR+HuTt9/d7UE0GrIsUyDL&#10;Qv6nL78BUEsDBBQAAAAIAIdO4kCbC8TgMgIAADoEAAAOAAAAZHJzL2Uyb0RvYy54bWytU81uEzEQ&#10;viPxDpbvZDe7TWmibHpIKBcElfi5O/7ZNfKfbCebvAQvgMQNTpw4cunbtDwGY+/SQhFSD+xhNeMZ&#10;f9/MN+Pl+UErtOc+SGsaPJ2UGHFDLZOmbfDbNxdPzjAKkRhGlDW8wUce8Pnq8aNl7xa8sp1VjHsE&#10;ICYsetfgLka3KIpAO65JmFjHDQSF9ZpEcH1bME96QNeqqMrytOitZ85bykOA080QxCOifwigFUJS&#10;vrF0p7mJA6rnikRoKXTSBbzK1QrBaXwlROARqQZDpzH/gQTsbfoXqyVZtJ64TtKxBPKQEu71pIk0&#10;QHoLtSGRoJ2Xf0FpSb0NVsQJtboYGsmKQBfT8p42rzvieO4FpA7uVvTw/2Dpy/2lR5LBJpxgZIiG&#10;iV9//Hbz/erH1afrD59vvn5BEAGZehcWkL02l370grv0qeeD8BoJJd07QMkqQF/oAM68rOqyxugI&#10;9mlV17NBb36IiEK8OpnWJUyCQrwq6+l8nuLFgJiQnQ/xObcaJaPBdOf3nK2tMTBX6+vMRfYvQszS&#10;s7F+wt5PMRJawST3RKFZCTQj8pgNHL+w01VlUA8lzs6ezqAaAlstYJvA1A6UCabNTMEqyS6kUulK&#10;8O12rTwCAtij/I0Uf6Qllg0J3ZDHwBok8HZnWF6+jhP2zDAUjw60N/DmcCpGc4aR4vBEk5UzI5Hq&#10;LjN6SUyr/pENDSoDWqapDXNK1tayYx5fPoeVymqP65929nc/37578q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YDxpDdQAAAAFAQAADwAAAAAAAAABACAAAAAiAAAAZHJzL2Rvd25yZXYueG1sUEsB&#10;AhQAFAAAAAgAh07iQJsLxOAyAgAAOgQAAA4AAAAAAAAAAQAgAAAAIwEAAGRycy9lMm9Eb2MueG1s&#10;UEsFBgAAAAAGAAYAWQEAAMcFAAAAAA==&#10;" adj="10828">
                        <v:fill on="f" focussize="0,0"/>
                        <v:stroke weight="1.25pt" color="#000000" joinstyle="round" dashstyle="dash" endarrow="block"/>
                        <v:imagedata o:title=""/>
                        <o:lock v:ext="edit" aspectratio="f"/>
                      </v:shape>
                      <v:rect id="_x0000_s1026" o:spid="_x0000_s1026" o:spt="1" style="position:absolute;left:2082468;top:36810;height:276225;width:1231900;"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AKrqcgqgEAAEIDAAAOAAAAZHJzL2Uyb0RvYy54bWytUktu&#10;2zAQ3RfoHQjua0pK67qC5WyMdFO0AdIegKZIiwB/GNKWfJoC3fUQPU7Ra3RIqUmRbLLIZjg/vJn3&#10;ONvryRpylhC1dx2tVxUl0gnfa3fs6LevN282lMTEXc+Nd7KjFxnp9e71q+0YWtn4wZteAkEQF9sx&#10;dHRIKbSMRTFIy+PKB+mwqDxYnjCEI+uBj4huDWuqas1GD30AL2SMmN3PRbogwnMAvVJayL0XJytd&#10;mlFBGp6QUhx0iHRXtlVKivRFqSgTMR1FpqlYHIL+IVu22/L2CDwMWiwr8Oes8IiT5drh0HuoPU+c&#10;nEA/gbJagI9epZXwls1EiiLIoq4eaXM38CALF5Q6hnvR48vBis/nWyC6x0t4R4njFn/8z/efv3/9&#10;IJhAdcYQW2y6C7ewRBHdTHVSYPOLJMjU0abaNG/XeDyXjl6tN/WirZwSEVium6v6Q4WyC6w379dN&#10;U+DZA06AmD5Kb0l2Ogr4d0VSfv4UE87G1n8teaxx2Tp/o42ZqznD8r7zhtlL02Fa1j74/oJUTwH0&#10;cUD8OrMr7ShtQV/OIP/d/3Hpejj93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BfMgf01wAAAAUB&#10;AAAPAAAAAAAAAAEAIAAAACIAAABkcnMvZG93bnJldi54bWxQSwECFAAUAAAACACHTuJACq6nIKoB&#10;AABCAwAADgAAAAAAAAABACAAAAAmAQAAZHJzL2Uyb0RvYy54bWxQSwUGAAAAAAYABgBZAQAAQgUA&#10;AAAA&#10;">
                        <v:fill on="f" focussize="0,0"/>
                        <v:stroke on="f"/>
                        <v:imagedata o:title=""/>
                        <o:lock v:ext="edit" aspectratio="f"/>
                        <v:textbox>
                          <w:txbxContent>
                            <w:p>
                              <w:r>
                                <w:rPr>
                                  <w:rFonts w:hint="eastAsia"/>
                                </w:rPr>
                                <w:t>蒸发损耗</w:t>
                              </w:r>
                              <w:r>
                                <w:t>1.600</w:t>
                              </w:r>
                            </w:p>
                          </w:txbxContent>
                        </v:textbox>
                      </v:rect>
                      <v:rect id="_x0000_s1026" o:spid="_x0000_s1026" o:spt="1" style="position:absolute;left:2875433;top:402468;height:309244;width:514985;"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BEBFeorQEAAEIDAAAOAAAAZHJzL2Uyb0RvYy54bWytUktu&#10;2zAQ3RfoHQjua8qy7DqC5WyMdFO0AdIcgKZIiwB/GNKWfJoC3fUQPU7Ra3QoqUmRbrLoZjjkDN68&#10;94a728EacpEQtXcNXS4KSqQTvtXu1NDHL3fvtpTExF3LjXeyoVcZ6e3+7ZtdH2pZ+s6bVgJBEBfr&#10;PjS0SynUjEXRScvjwgfpsKg8WJ7wCifWAu8R3RpWFsWG9R7aAF7IGPH1MBXpjAivAfRKaSEPXpyt&#10;dGlCBWl4Qkmx0yHS/chWKSnSZ6WiTMQ0FJWmMeIQzI85sv2O1yfgodNipsBfQ+GFJsu1w6FPUAee&#10;ODmD/gfKagE+epUWwls2CRkdQRXL4oU3Dx0PctSCVsfwZHr8f7Di0+UeiG7xJ2wocdzixn99/f7z&#10;xzeCD+hOH2KNTQ/hHuZbxDRLHRTYfKIIMjS03L5fV6sVJdeGVkVZbbaTuXJIRGB9vaxutmtKBNZX&#10;xU1ZVbnOnnECxPRBekty0lDA3Y2W8svHmKbWPy15rHE5On+njZmq+YVlvhPDnKXhOMy0j769otRz&#10;AH3qEH85js9NaO1IZP4GeXd/30fQ56+//w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fMgf01wAA&#10;AAUBAAAPAAAAAAAAAAEAIAAAACIAAABkcnMvZG93bnJldi54bWxQSwECFAAUAAAACACHTuJARARX&#10;qK0BAABCAwAADgAAAAAAAAABACAAAAAmAQAAZHJzL2Uyb0RvYy54bWxQSwUGAAAAAAYABgBZAQAA&#10;RQUAAAAA&#10;">
                        <v:fill on="f" focussize="0,0"/>
                        <v:stroke on="f"/>
                        <v:imagedata o:title=""/>
                        <o:lock v:ext="edit" aspectratio="f"/>
                        <v:textbox>
                          <w:txbxContent>
                            <w:p>
                              <w:r>
                                <w:rPr>
                                  <w:rFonts w:hint="eastAsia"/>
                                </w:rPr>
                                <w:t>0.0</w:t>
                              </w:r>
                              <w:r>
                                <w:t>22</w:t>
                              </w:r>
                            </w:p>
                          </w:txbxContent>
                        </v:textbox>
                      </v:rect>
                      <v:line id="_x0000_s1026" o:spid="_x0000_s1026" o:spt="20" style="position:absolute;left:1139367;top:1614326;height:0;width:431799;" filled="f" stroked="t" coordsize="21600,21600" o:gfxdata="UEsDBAoAAAAAAIdO4kAAAAAAAAAAAAAAAAAEAAAAZHJzL1BLAwQUAAAACACHTuJAAvbj8dUAAAAF&#10;AQAADwAAAGRycy9kb3ducmV2LnhtbE2PwU7DMBBE70j8g7VI3KhdUJoqxKkEElzgUErVXrfxNoka&#10;ryPbacvf4/YCl5VGM5p5Wy7OthdH8qFzrGE6USCIa2c6bjSsv98e5iBCRDbYOyYNPxRgUd3elFgY&#10;d+IvOq5iI1IJhwI1tDEOhZShbslimLiBOHl75y3GJH0jjcdTKre9fFRqJi12nBZaHOi1pfqwGq2G&#10;rc94+amkfd8PtMH8ozm8jEut7++m6hlEpHP8C8MFP6FDlZh2bmQTRK8hPRKvN3n57CkHsdOQZZkC&#10;WZXyP331C1BLAwQUAAAACACHTuJAcU+yQggCAAD0AwAADgAAAGRycy9lMm9Eb2MueG1srVNLjhMx&#10;EN0jcQfLe9LpZCaZtNKZxYRhgyAScICK7e625J9sJ51cggsgsYMVS/bchuEYlN1hAoOQZkEv3GX7&#10;+VW95/Ly+qAV2QsfpDU1LUdjSoRhlkvT1vTd29tnV5SECIaDskbU9CgCvV49fbLsXSUmtrOKC0+Q&#10;xISqdzXtYnRVUQTWCQ1hZJ0wuNlYryHi1LcF99Aju1bFZDyeFb313HnLRAi4uh426YnRP4bQNo1k&#10;Ym3ZTgsTB1YvFESUFDrpAl3laptGsPi6aYKIRNUUlcY8YhKMt2ksVkuoWg+uk+xUAjymhAeaNEiD&#10;Se+p1hCB7Lz8i0pL5m2wTRwxq4tBSHYEVZTjB9686cCJrAWtDu7e9PD/aNmr/cYTybET5pQY0Hjj&#10;dx++fn//6ce3jzjefflMcAdt6l2oEH1jNv40C27jk+ZD43X6oxpyQKJyupjOkO2I8ay8mE5mg83i&#10;EAlDwMW0nC8WlDAE5BsozhzOh/hCWE1SUFMlTTIAKti/DBHzIvQXJC0rQ3rMcnk1v0Q+wHZssA0w&#10;1A4lBdPmw8EqyW+lUulI8O32Rnmyh9QS+UvlIfEfsJRlDaEbcHlrUOHtznA8AFUngD83nMSjQ9cM&#10;vhaaqtGCU6IEPq4UZWQEqc7I6CWYVv0DjYUog/UkvweHU7S1/JiNz+vYDLniU+Ombvt9nk+fH+vq&#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L24/HVAAAABQEAAA8AAAAAAAAAAQAgAAAAIgAAAGRy&#10;cy9kb3ducmV2LnhtbFBLAQIUABQAAAAIAIdO4kBxT7JCCAIAAPQDAAAOAAAAAAAAAAEAIAAAACQB&#10;AABkcnMvZTJvRG9jLnhtbFBLBQYAAAAABgAGAFkBAACeBQAAAAA=&#10;">
                        <v:fill on="f" focussize="0,0"/>
                        <v:stroke weight="1.25pt" color="#000000" joinstyle="round" endarrow="block"/>
                        <v:imagedata o:title=""/>
                        <o:lock v:ext="edit" aspectratio="f"/>
                      </v:line>
                      <v:rect id="_x0000_s1026" o:spid="_x0000_s1026" o:spt="1" style="position:absolute;left:2806242;top:1442876;height:295275;width:613410;" fillcolor="#FFFFFF" filled="t" stroked="t" coordsize="21600,21600" o:gfxdata="UEsDBAoAAAAAAIdO4kAAAAAAAAAAAAAAAAAEAAAAZHJzL1BLAwQUAAAACACHTuJAEQN7QdYAAAAF&#10;AQAADwAAAGRycy9kb3ducmV2LnhtbE2PwU7DMBBE70j9B2uRuCBqtygtTeNUAokbFaVFnN14m4TG&#10;6yjeNOHvMVzgstJoRjNvs83oGnHBLtSeNMymCgRS4W1NpYb3w/PdA4jAhqxpPKGGLwywySdXmUmt&#10;H+gNL3suRSyhkBoNFXObShmKCp0JU98iRe/kO2c4yq6UtjNDLHeNnCu1kM7UFBcq0+JThcV53zsN&#10;B/xQ9ae6fWn7+Xa1fXzdnXgctL65nqk1CMaR/8Lwgx/RIY9MR9+TDaLREB/h3xu95eJ+CeKoIUkS&#10;BTLP5H/6/BtQSwMEFAAAAAgAh07iQFiu9BNOAgAAyAQAAA4AAABkcnMvZTJvRG9jLnhtbK1Uy27U&#10;MBTdI/EPlvc0M2E6HUbNdMFQNggqFcTa4ziJJb/k687ja5DY8RF8DuI3euxMHxQJdUEWybV9fXzP&#10;ucc5v9hbw7Yqkvau4dOTCWfKSd9q1zf8y+fLVwvOKAnXCuOdavhBEb9YvXxxvgtLVfvBm1ZFBhBH&#10;y11o+JBSWFYVyUFZQSc+KIfFzkcrEoaxr9oodkC3pqonk3m187EN0UtFhNn1uMiPiPE5gL7rtFRr&#10;L2+scmlEjcqIBEo06EB8VartOiXTp64jlZhpOJim8sYhiDf5Xa3OxbKPIgxaHksQzynhCScrtMOh&#10;91BrkQS7ifovKKtl9OS7dCK9rUYiRRGwmE6eaHM9iKAKF0hN4V50+n+w8uP2KjLdwgnouxMWHf/9&#10;7cevn98ZJqDOLtASSdfhKh5HhDBT3XfR5i9IsH3D68VkXs9qzg7Ams3qxdl8VFftE5NImE9fz6bQ&#10;XSKhfnNan53m9eoBKERK75W3LAcNj2he0VRsP1AaU+9SjlK3l9oY1hkNHzq4lbPo01edhqJc7m9J&#10;JOwfAxY8xBunKfabtyayrYA3LstzLKinx9nTSX4K0r+3gEp/d5TRjol8o0CYpDAKChe35aQoSuH5&#10;EOPYDnqdLqAGkwI8OvgYoQ3YQa4fz/VG32/5o4hS2x0wPU7LUq0FDSO/sjT2w+qkIuQUy0GJ9p1r&#10;WToEtH0UENVY1XJmFP4OOSqZSWjznEywMw5Nza4ZfZKjtN/sAZPDjW8PMNxNiLof0ORpkTyvwODF&#10;DcfLmG/Q43EBffgBrW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EQN7QdYAAAAFAQAADwAAAAAA&#10;AAABACAAAAAiAAAAZHJzL2Rvd25yZXYueG1sUEsBAhQAFAAAAAgAh07iQFiu9BNOAgAAyAQAAA4A&#10;AAAAAAAAAQAgAAAAJQEAAGRycy9lMm9Eb2MueG1sUEsFBgAAAAAGAAYAWQEAAOUFAAAAAA==&#10;">
                        <v:fill type="gradient" on="t" color2="#FFFFFF" angle="90" focus="100%" focussize="0,0">
                          <o:fill type="gradientUnscaled" v:ext="backwardCompatible"/>
                        </v:fill>
                        <v:stroke weight="1.25pt" color="#000000" joinstyle="miter"/>
                        <v:imagedata o:title=""/>
                        <o:lock v:ext="edit" aspectratio="f"/>
                        <v:textbox>
                          <w:txbxContent>
                            <w:p>
                              <w:r>
                                <w:rPr>
                                  <w:rFonts w:hint="eastAsia"/>
                                </w:rPr>
                                <w:t>化粪池</w:t>
                              </w:r>
                            </w:p>
                          </w:txbxContent>
                        </v:textbox>
                      </v:rect>
                      <v:line id="_x0000_s1026" o:spid="_x0000_s1026" o:spt="20" style="position:absolute;left:2904201;top:646658;flip:y;height:5500;width:419880;" filled="f" stroked="t" coordsize="21600,21600" o:gfxdata="UEsDBAoAAAAAAIdO4kAAAAAAAAAAAAAAAAAEAAAAZHJzL1BLAwQUAAAACACHTuJAiYrIVNYAAAAF&#10;AQAADwAAAGRycy9kb3ducmV2LnhtbE2PwU7DMBBE70j8g7VI3KidQpo2xOkBqYITqAW11228JFHj&#10;dRS7aenXY7jAZaXRjGbeFsuz7cRIg28da0gmCgRx5UzLtYaP99XdHIQPyAY7x6Thizwsy+urAnPj&#10;TrymcRNqEUvY56ihCaHPpfRVQxb9xPXE0ft0g8UQ5VBLM+AplttOTpWaSYstx4UGe3pqqDpsjlbD&#10;5eGwSEZ82WVbj6+L6Wp7eXu2Wt/eJOoRRKBz+AvDD35EhzIy7d2RjRedhvhI+L3Ry2b3GYi9hjRN&#10;FciykP/py29QSwMEFAAAAAgAh07iQIj31AEfAgAAJwQAAA4AAABkcnMvZTJvRG9jLnhtbK1TS44T&#10;MRDdI3EHy3vSnSgJSSudWSQMGwSR+OwrtjttyT/ZTjq5BBdAYgcrluznNgzHoOwOk2EQ0izIwrG7&#10;Xj3Xe1VeXB21Igfhg7SmpsNBSYkwzHJpdjV9/+762YySEMFwUNaImp5EoFfLp08WnavEyLZWceEJ&#10;kphQda6mbYyuKorAWqEhDKwTBoON9RoiHv2u4B46ZNeqGJXltOis585bJkLAr+s+SM+M/jGEtmkk&#10;E2vL9lqY2LN6oSCipNBKF+gyV9s0gsU3TRNEJKqmqDTmFS/B/TatxXIB1c6DayU7lwCPKeGBJg3S&#10;4KV3VGuIQPZe/kWlJfM22CYOmNVFLyQ7giqG5QNv3rbgRNaCVgd3Z3r4f7Ts9WHjieQ4CXNKDGjs&#10;+O2n7z8+fvl58xnX229fCUbQps6FCtErs/FJqDB8dTQ5c0zx74gMCVb8gUuH4PqMY+M1aZR0HxI0&#10;caB8gnmjeTlG9ZScajodT6eTWd8WcYyEYXw8nM9m2DCG8cmkzE0roEp8icX5EF8Kq0na1FRJkzyD&#10;Cg6vQkwVXSDpszKkwwIms+cTpASc4AYnB7faoQvB7HJysErya6lUSgl+t10pTw6Qpij/slSM3Iel&#10;+9cQ2h6XQ70Qb/eG50lrBfAXhpN4cmi0wQdGUzVacEqUwPeYdhkZQaoLMnoJZqf+gUaFypyt791O&#10;vm8tP23875bg/GQrzrOeBvT+OWdf3vfy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ImKyFTWAAAA&#10;BQEAAA8AAAAAAAAAAQAgAAAAIgAAAGRycy9kb3ducmV2LnhtbFBLAQIUABQAAAAIAIdO4kCI99QB&#10;HwIAACcEAAAOAAAAAAAAAAEAIAAAACUBAABkcnMvZTJvRG9jLnhtbFBLBQYAAAAABgAGAFkBAAC2&#10;BQAAAAA=&#10;">
                        <v:fill on="f" focussize="0,0"/>
                        <v:stroke weight="1.25pt" color="#000000" joinstyle="round" endarrow="block"/>
                        <v:imagedata o:title=""/>
                        <o:lock v:ext="edit" aspectratio="f"/>
                      </v:line>
                      <v:line id="_x0000_s1026" o:spid="_x0000_s1026" o:spt="20" style="position:absolute;left:3419312;top:1590175;height:14921;width:455884;" filled="f" stroked="t" coordsize="21600,21600" o:gfxdata="UEsDBAoAAAAAAIdO4kAAAAAAAAAAAAAAAAAEAAAAZHJzL1BLAwQUAAAACACHTuJAAvbj8dUAAAAF&#10;AQAADwAAAGRycy9kb3ducmV2LnhtbE2PwU7DMBBE70j8g7VI3KhdUJoqxKkEElzgUErVXrfxNoka&#10;ryPbacvf4/YCl5VGM5p5Wy7OthdH8qFzrGE6USCIa2c6bjSsv98e5iBCRDbYOyYNPxRgUd3elFgY&#10;d+IvOq5iI1IJhwI1tDEOhZShbslimLiBOHl75y3GJH0jjcdTKre9fFRqJi12nBZaHOi1pfqwGq2G&#10;rc94+amkfd8PtMH8ozm8jEut7++m6hlEpHP8C8MFP6FDlZh2bmQTRK8hPRKvN3n57CkHsdOQZZkC&#10;WZXyP331C1BLAwQUAAAACACHTuJAWbfuxRkCAAAfBAAADgAAAGRycy9lMm9Eb2MueG1srVNLjhMx&#10;EN0jcQfLe9LpTAJJK51ZJAwbBCMBB6jY7m5L/sl20skluAASO1ixZM9tGI5B2Z3MMIOQZkEvLLvr&#10;1at6z+Xl5UErshc+SGtqWo7GlAjDLJemremH91fP5pSECIaDskbU9CgCvVw9fbLsXSUmtrOKC0+Q&#10;xISqdzXtYnRVUQTWCQ1hZJ0wGGys1xDx6NuCe+iRXatiMh4/L3rrufOWiRDw72YI0hOjfwyhbRrJ&#10;xMaynRYmDqxeKIgoKXTSBbrK3TaNYPFt0wQRiaopKo15xSK436a1WC2haj24TrJTC/CYFh5o0iAN&#10;Fr2l2kAEsvPyLyotmbfBNnHErC4GIdkRVFGOH3jzrgMnsha0Orhb08P/o2Vv9teeSF7TCVpiQOON&#10;33z6/vPjl18/PuN68+0rwQja1LtQIXptrn0SGuL6YHJiiQMj+aGmFwlW3MOlQ3BDxqHxOmWiaJLQ&#10;03JxUU4oOeIUzhbj8sVsuA1xiIQhYDqbzedTSlgCTBeTMtNDdeZxPsRXwmqSNjVV0iSvoIL96xBT&#10;J1CdIem3MqRPleZYhzDAyW1wYnCrHaoPps3JwSrJr6RSWaNvt2vlyR7S9OTv1MM9WKqygdANuBwa&#10;lHi7MzxPWCeAvzScxKNDgw0+LJq60YJTogS+w7TLyAhS3SGjl2Ba9Q80KlTmZPngcvJ7a/nx2p+v&#10;AucmW3Ga8TSYf55z9t27Xv0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Avbj8dUAAAAFAQAADwAA&#10;AAAAAAABACAAAAAiAAAAZHJzL2Rvd25yZXYueG1sUEsBAhQAFAAAAAgAh07iQFm37sUZAgAAHwQA&#10;AA4AAAAAAAAAAQAgAAAAJAEAAGRycy9lMm9Eb2MueG1sUEsFBgAAAAAGAAYAWQEAAK8FAAAAAA==&#10;">
                        <v:fill on="f" focussize="0,0"/>
                        <v:stroke weight="1.25pt" color="#000000" joinstyle="round" endarrow="block"/>
                        <v:imagedata o:title=""/>
                        <o:lock v:ext="edit" aspectratio="f"/>
                      </v:line>
                      <v:rect id="_x0000_s1026" o:spid="_x0000_s1026" o:spt="1" style="position:absolute;left:1644192;top:2395376;height:276225;width:1000125;" fillcolor="#FFFFFF" filled="t" stroked="t" coordsize="21600,21600" o:gfxdata="UEsDBAoAAAAAAIdO4kAAAAAAAAAAAAAAAAAEAAAAZHJzL1BLAwQUAAAACACHTuJAEQN7QdYAAAAF&#10;AQAADwAAAGRycy9kb3ducmV2LnhtbE2PwU7DMBBE70j9B2uRuCBqtygtTeNUAokbFaVFnN14m4TG&#10;6yjeNOHvMVzgstJoRjNvs83oGnHBLtSeNMymCgRS4W1NpYb3w/PdA4jAhqxpPKGGLwywySdXmUmt&#10;H+gNL3suRSyhkBoNFXObShmKCp0JU98iRe/kO2c4yq6UtjNDLHeNnCu1kM7UFBcq0+JThcV53zsN&#10;B/xQ9ae6fWn7+Xa1fXzdnXgctL65nqk1CMaR/8Lwgx/RIY9MR9+TDaLREB/h3xu95eJ+CeKoIUkS&#10;BTLP5H/6/BtQSwMEFAAAAAgAh07iQPwqHQ9KAgAAyQQAAA4AAABkcnMvZTJvRG9jLnhtbK1Uy47T&#10;MBTdI/EPlvc0aWbazkRNZ0EpGwQjDYi16ziJJb/k6zbt1yCx4yP4HMRvzLWTdh5suqCL9CY5Pr7n&#10;3OMs7w5akb3wIK2p6HSSUyIMt7U0bUW/fd28u6EEAjM1U9aIih4F0LvV2zfL3pWisJ1VtfAESQyU&#10;vatoF4Irswx4JzSDiXXC4MvGes0C3vo2qz3rkV2rrMjzedZbXztvuQDAp+vhJR0Z/SWEtmkkF2vL&#10;d1qYMLB6oVhASdBJB3SVum0awcOXpgERiKooKg3piptgvY3XbLVkZeuZ6yQfW2CXtPBKk2bS4KZn&#10;qjULjOy8/IdKS+4t2CZMuNXZICQ5giqm+StvHjrmRNKCVoM7mw7/j5Z/3t97IuuKFlNKDNM48b8/&#10;fv35/ZPgA3Snd1Ai6MHd+/EOsIxSD43X8R9FkAMmaX59Pb0tKDki19Xt7GoxH9wVh0B4BOR5Pi1m&#10;lPCIWMwLrJEye2JyHsJHYTWJRUU9Ti+ZyvafIAzQE2T0ut5IpUijJAbRYFwp8TZ8l6FL1sUBJyDg&#10;+qEgzqJ7w2Pw7fa98mTPMByb9BsbauE5OjaeX7IEpbSnrZQ0hMUjhUkDzpRAi1PcIsiz1HjcRBnS&#10;ozezm0V0hqGOBoOMpXa4AkybFIBV8rzkRd+ptxPxC1i0as2gG/SlV8NAtAzCo52s7ASrP5iahKPD&#10;uQ8GYjda1JQogZ+HWCVkYFJdgkR1yuBQY2yGoMQqHLYHpInl1tZHTNzOedl2OOQUsgTHhKc0jKcx&#10;HqHn94n06Qu0eg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RA3tB1gAAAAUBAAAPAAAAAAAAAAEA&#10;IAAAACIAAABkcnMvZG93bnJldi54bWxQSwECFAAUAAAACACHTuJA/CodD0oCAADJBAAADgAAAAAA&#10;AAABACAAAAAlAQAAZHJzL2Uyb0RvYy54bWxQSwUGAAAAAAYABgBZAQAA4QUAAAAA&#10;">
                        <v:fill type="gradient" on="t" color2="#FFFFFF" angle="90" focus="100%" focussize="0,0">
                          <o:fill type="gradientUnscaled" v:ext="backwardCompatible"/>
                        </v:fill>
                        <v:stroke weight="1.25pt" color="#000000" joinstyle="miter"/>
                        <v:imagedata o:title=""/>
                        <o:lock v:ext="edit" aspectratio="f"/>
                        <v:textbox>
                          <w:txbxContent>
                            <w:p>
                              <w:r>
                                <w:rPr>
                                  <w:rFonts w:hint="eastAsia"/>
                                </w:rPr>
                                <w:t>喷漆清洗废水</w:t>
                              </w:r>
                            </w:p>
                          </w:txbxContent>
                        </v:textbox>
                      </v:rect>
                      <v:rect id="_x0000_s1026" o:spid="_x0000_s1026" o:spt="1" style="position:absolute;left:1101267;top:1328576;height:371475;width:635000;"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AajI10rAEAAEMDAAAOAAAAZHJzL2Uyb0RvYy54bWytUktu&#10;2zAQ3RfoHQjua0pybQeC5WyMdFM0AdIegKZIiwB/4NCWfJoC2fUQPU7Ra3QoKR8kmyy6GQ45gzfv&#10;veH2erCGnGUE7V1Dy0VBiXTCt9odG/rj+82nK0ogcddy451s6EUCvd59/LDtQy0r33nTykgQxEHd&#10;h4Z2KYWaMRCdtBwWPkiHReWj5Qmv8cjayHtEt4ZVRbFmvY9tiF5IAHzdT0U6I8b3AHqltJB7L05W&#10;ujShRml4QknQ6QB0N7JVSop0qxTIRExDUWkaIw7B/JAj2215fYw8dFrMFPh7KLzSZLl2OPQJas8T&#10;J6eo30BZLaIHr9JCeMsmIaMjqKIsXnlz3/EgRy1oNYQn0+H/wYpv57tIdNvQqqLEcYsb//vz15/f&#10;DwQf0J0+QI1N9+EuzjfANEsdVLT5RBFkwJ9UFmW13lBywXxZXa0268ldOSQisGG9XBUF+i6wYbkp&#10;P29Wuc6egUKE9EV6S3LS0IjLGz3l56+QptbHljzXuBydv9HGTNX8wjLhiWLO0nAYZt4H315Q6ylE&#10;fewQvxzH5yb0diQy/4O8vJf3EfT57+/+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8yB/TXAAAA&#10;BQEAAA8AAAAAAAAAAQAgAAAAIgAAAGRycy9kb3ducmV2LnhtbFBLAQIUABQAAAAIAIdO4kAajI10&#10;rAEAAEMDAAAOAAAAAAAAAAEAIAAAACYBAABkcnMvZTJvRG9jLnhtbFBLBQYAAAAABgAGAFkBAABE&#10;BQAAAAA=&#10;">
                        <v:fill on="f" focussize="0,0"/>
                        <v:stroke on="f"/>
                        <v:imagedata o:title=""/>
                        <o:lock v:ext="edit" aspectratio="f"/>
                        <v:textbox>
                          <w:txbxContent>
                            <w:p>
                              <w:pPr>
                                <w:rPr>
                                  <w:color w:val="000000" w:themeColor="text1"/>
                                  <w14:textFill>
                                    <w14:solidFill>
                                      <w14:schemeClr w14:val="tx1"/>
                                    </w14:solidFill>
                                  </w14:textFill>
                                </w:rPr>
                              </w:pPr>
                              <w:r>
                                <w:rPr>
                                  <w:color w:val="000000" w:themeColor="text1"/>
                                  <w14:textFill>
                                    <w14:solidFill>
                                      <w14:schemeClr w14:val="tx1"/>
                                    </w14:solidFill>
                                  </w14:textFill>
                                </w:rPr>
                                <w:t>6.400</w:t>
                              </w:r>
                            </w:p>
                          </w:txbxContent>
                        </v:textbox>
                      </v:rect>
                      <v:rect id="_x0000_s1026" o:spid="_x0000_s1026" o:spt="1" style="position:absolute;left:3377142;top:1347735;height:299720;width:685800;"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AGOWDvrgEAAEMDAAAOAAAAZHJzL2Uyb0RvYy54bWytUktu&#10;2zAU3BfoHQjua8lSEjmC5WyMdFO0AdIegKZIiwB/4KMt+TQFuushepyi1+gjpSZFusmiG/I9cjBv&#10;Zsjt3WQ0OYsAytmOrlclJcJy1yt77OiXz/fvNpRAZLZn2lnR0YsAerd7+2Y7+lZUbnC6F4EgiYV2&#10;9B0dYvRtUQAfhGGwcl5YvJQuGBaxDceiD2xEdqOLqixvitGF3gfHBQCe7udLujCG1xA6KRUXe8dP&#10;Rtg4swahWURLMCgPdJfVSil4/CQliEh0R9FpzCsOwfqQ1mK3Ze0xMD8ovkhgr5HwwpNhyuLQJ6o9&#10;i4ycgvqHyigeHDgZV9yZYjaSE0EX6/JFNo8D8yJ7wajBP4UO/4+Wfzw/BKL6jlY1JZYZfPFfX7//&#10;/PGN4AGmM3poEfToH8LSAZbJ6iSDSTuaIFNH67pp1lcVJRf8VfVV09TXc7piioQj4GZzvSkxd46A&#10;6va2qXL6xTORDxDfC2dIKjoa8PFypuz8ASIOR+gfSJqrbVqtu1daz7fppEiCZ4mpitNhWnQfXH9B&#10;rycf1HFA/nWSl+GYbWZf/kF6vL/7jHr++7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XzIH9NcA&#10;AAAFAQAADwAAAAAAAAABACAAAAAiAAAAZHJzL2Rvd25yZXYueG1sUEsBAhQAFAAAAAgAh07iQAY5&#10;YO+uAQAAQwMAAA4AAAAAAAAAAQAgAAAAJgEAAGRycy9lMm9Eb2MueG1sUEsFBgAAAAAGAAYAWQEA&#10;AEYFAAAAAA==&#10;">
                        <v:fill on="f" focussize="0,0"/>
                        <v:stroke on="f"/>
                        <v:imagedata o:title=""/>
                        <o:lock v:ext="edit" aspectratio="f"/>
                        <v:textbox>
                          <w:txbxContent>
                            <w:p>
                              <w:pPr>
                                <w:rPr>
                                  <w:color w:val="000000" w:themeColor="text1"/>
                                  <w14:textFill>
                                    <w14:solidFill>
                                      <w14:schemeClr w14:val="tx1"/>
                                    </w14:solidFill>
                                  </w14:textFill>
                                </w:rPr>
                              </w:pPr>
                              <w:r>
                                <w:rPr>
                                  <w:color w:val="000000" w:themeColor="text1"/>
                                  <w14:textFill>
                                    <w14:solidFill>
                                      <w14:schemeClr w14:val="tx1"/>
                                    </w14:solidFill>
                                  </w14:textFill>
                                </w:rPr>
                                <w:t>5.760</w:t>
                              </w:r>
                            </w:p>
                          </w:txbxContent>
                        </v:textbox>
                      </v:rect>
                      <v:rect id="_x0000_s1026" o:spid="_x0000_s1026" o:spt="1" style="position:absolute;left:1158417;top:2333147;height:338454;width:635000;"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CDJpQGrQEAAEMDAAAOAAAAZHJzL2Uyb0RvYy54bWytUktu&#10;2zAU3BfoHQjua0qWnRiC5WyMZBM0AdIegKZIiwB/4KMt+TQFsushepyi1+ijpCZFusmiG/I9cjBv&#10;ZsjtzWANOcsI2ruGlouCEumEb7U7NvTrl9tPG0ogcddy451s6EUCvdl9/LDtQy2XvvOmlZEgiYO6&#10;Dw3tUgo1YyA6aTksfJAOL5WPlids45G1kffIbg1bFsUV631sQ/RCAuDpfrqkM2N8D6FXSgu59+Jk&#10;pUsTa5SGJ7QEnQ5Ad6NapaRID0qBTMQ0FJ2mccUhWB/yynZbXh8jD50WswT+HglvPFmuHQ59odrz&#10;xMkp6n+orBbRg1dpIbxlk5ExEXRRFm+yeep4kKMXjBrCS+jw/2jF5/NjJLpt6HJFieMWX/zXt+8/&#10;fzwTPMB0+gA1gp7CY5w7wDJbHVS0eUcTZMCfVK43q/KakgtyVVVVrq6ndOWQiEDAVbUuCsxdIKCq&#10;Nqv1yM9eiUKEdCe9JbloaMTHGzPl53tIOByhfyB5rnF5df5WGzPd5hOWBU8Sc5WGwzDrPvj2gl5P&#10;Iepjh/xlljfCMduRff4H+fH+7kfU69/f/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fMgf01wAA&#10;AAUBAAAPAAAAAAAAAAEAIAAAACIAAABkcnMvZG93bnJldi54bWxQSwECFAAUAAAACACHTuJAgyaU&#10;Bq0BAABDAwAADgAAAAAAAAABACAAAAAmAQAAZHJzL2Uyb0RvYy54bWxQSwUGAAAAAAYABgBZAQAA&#10;RQUAAAAA&#10;">
                        <v:fill on="f" focussize="0,0"/>
                        <v:stroke on="f"/>
                        <v:imagedata o:title=""/>
                        <o:lock v:ext="edit" aspectratio="f"/>
                        <v:textbox>
                          <w:txbxContent>
                            <w:p>
                              <w:pPr>
                                <w:rPr>
                                  <w:color w:val="000000" w:themeColor="text1"/>
                                  <w14:textFill>
                                    <w14:solidFill>
                                      <w14:schemeClr w14:val="tx1"/>
                                    </w14:solidFill>
                                  </w14:textFill>
                                </w:rPr>
                              </w:pPr>
                              <w:r>
                                <w:rPr>
                                  <w:color w:val="000000" w:themeColor="text1"/>
                                  <w14:textFill>
                                    <w14:solidFill>
                                      <w14:schemeClr w14:val="tx1"/>
                                    </w14:solidFill>
                                  </w14:textFill>
                                </w:rPr>
                                <w:t>0.291</w:t>
                              </w:r>
                            </w:p>
                          </w:txbxContent>
                        </v:textbox>
                      </v:rect>
                      <v:line id="_x0000_s1026" o:spid="_x0000_s1026" o:spt="20" style="position:absolute;left:2658287;top:2533172;height:8889;width:461010;" filled="f" stroked="t" coordsize="21600,21600" o:gfxdata="UEsDBAoAAAAAAIdO4kAAAAAAAAAAAAAAAAAEAAAAZHJzL1BLAwQUAAAACACHTuJAAvbj8dUAAAAF&#10;AQAADwAAAGRycy9kb3ducmV2LnhtbE2PwU7DMBBE70j8g7VI3KhdUJoqxKkEElzgUErVXrfxNoka&#10;ryPbacvf4/YCl5VGM5p5Wy7OthdH8qFzrGE6USCIa2c6bjSsv98e5iBCRDbYOyYNPxRgUd3elFgY&#10;d+IvOq5iI1IJhwI1tDEOhZShbslimLiBOHl75y3GJH0jjcdTKre9fFRqJi12nBZaHOi1pfqwGq2G&#10;rc94+amkfd8PtMH8ozm8jEut7++m6hlEpHP8C8MFP6FDlZh2bmQTRK8hPRKvN3n57CkHsdOQZZkC&#10;WZXyP331C1BLAwQUAAAACACHTuJAm0kzLQgCAAD3AwAADgAAAGRycy9lMm9Eb2MueG1srVNLjhMx&#10;EN0jcQfLe9JJhiQ9rXRmMWHYIIgEc4CK7e625J9sJ51cggsgsYMVS/bchuEYlN1hAoOQZkEv3GXX&#10;83O95/Ly6qAV2QsfpDU1nYzGlAjDLJemrentu5tnJSUhguGgrBE1PYpAr1ZPnyx7V4mp7aziwhMk&#10;MaHqXU27GF1VFIF1QkMYWScMJhvrNUSc+rbgHnpk16qYjsfzoreeO2+ZCAFX10OSnhj9Ywht00gm&#10;1pbttDBxYPVCQURJoZMu0FWutmkEi2+aJohIVE1RacwjHoLxNo3FaglV68F1kp1KgMeU8ECTBmnw&#10;0HuqNUQgOy//otKSeRtsE0fM6mIQkh1BFZPxA2/eduBE1oJWB3dvevh/tOz1fuOJ5DWdzigxoPHG&#10;7z58/f7+049vH3G8+/KZYAZt6l2oEH1tNv40C27jk+ZD43X6oxpyQKL5rJyWC0qOifTiYrKYDjaL&#10;QyQMAc/nE9RKCUNAWZaXKVucaZwP8aWwmqSgpkqa5AFUsH8V4gD9BUnLypAe+3hWLlAAA+zIBjsB&#10;Q+1QVTBt3hyskvxGKpW2BN9ur5Une0hdkb9TDX/A0ilrCN2Ay6lBiLc7w7ESqDoB/IXhJB4dGmfw&#10;wdBUjRacEiXwfaUoIyNIdUZGL8G06h9oNEMZ9CRZPpicoq3lx+x9Xsd+yK6dejc13O/zvPv8Xl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L24/HVAAAABQEAAA8AAAAAAAAAAQAgAAAAIgAAAGRy&#10;cy9kb3ducmV2LnhtbFBLAQIUABQAAAAIAIdO4kCbSTMtCAIAAPcDAAAOAAAAAAAAAAEAIAAAACQB&#10;AABkcnMvZTJvRG9jLnhtbFBLBQYAAAAABgAGAFkBAACeBQAAAAA=&#10;">
                        <v:fill on="f" focussize="0,0"/>
                        <v:stroke weight="1.25pt" color="#000000" joinstyle="round" endarrow="block"/>
                        <v:imagedata o:title=""/>
                        <o:lock v:ext="edit" aspectratio="f"/>
                      </v:line>
                      <v:rect id="_x0000_s1026" o:spid="_x0000_s1026" o:spt="1" style="position:absolute;left:3149142;top:2347751;height:333375;width:1417955;" fillcolor="#FFFFFF" filled="t" stroked="f" coordsize="21600,21600" o:gfxdata="UEsDBAoAAAAAAIdO4kAAAAAAAAAAAAAAAAAEAAAAZHJzL1BLAwQUAAAACACHTuJAN4KzHtgAAAAF&#10;AQAADwAAAGRycy9kb3ducmV2LnhtbE2PzU7DMBCE70h9B2srcamonaK0KI1TISQkxAHRwAFuTryN&#10;o9rrELs/vD2mF7isNJrRzLfl5uwsO+IYek8SsrkAhtR63VMn4f3t8eYOWIiKtLKeUMI3BthUk6tS&#10;FdqfaIvHOnYslVAolAQT41BwHlqDToW5H5CSt/OjUzHJseN6VKdU7ixfCLHkTvWUFowa8MFgu68P&#10;TkL/gc+ZEbvZ7Ov+5XXb2EX99OmkvJ5mYg0s4jn+heEXP6FDlZgafyAdmJWQHomXm7zV8nYFrJGQ&#10;57kAXpX8P331A1BLAwQUAAAACACHTuJA3ODYOwACAAAJBAAADgAAAGRycy9lMm9Eb2MueG1srVNL&#10;jhMxEN0jcQfLe9LpfCZMlM4siMIGwUgDYu243d2W/FOVk3ROg8SOQ3AcxDUou3s+GiQ0C7xwl93P&#10;r+o9lzc3vTXspAC1dxUvJ1POlJO+1q6t+JfP+zdvOcMoXC2Md6riF4X8Zvv61eYc1mrmO29qBYxI&#10;HK7PoeJdjGFdFCg7ZQVOfFCOfjYerIi0hLaoQZyJ3ZpiNp1eFWcPdQAvFSLt7oaffGSElxD6ptFS&#10;7bw8WuXiwArKiEiSsNMB+TZX2zRKxk9NgyoyU3FSGvNMSSg+pLnYbsS6BRE6LccSxEtKeKbJCu0o&#10;6QPVTkTBjqD/orJagkffxIn0thiEZEdIRTl95s1dJ4LKWshqDA+m4/+jlR9Pt8B0XfHZFWdOWLrx&#10;399+/Pr5ndEGuXMOuCbQXbiFcYUUJql9AzZ9SQTrKz4vF9flYsbZhbjmi9VqWQ7uqj4ySYByUa6u&#10;l0vOJCHmNFbLBCgemQJgfK+8ZSmoONDtZVPF6QPGAXoPGb2u99oY1hhNjeioXTkDH7/q2GXr0gVn&#10;INL5IWDBk3vDNkJ7eGeAnQQ1xz6PsaAWn6LLaRqZ6d9HSEp7n8pox0R6UtRpKIVRZHFutwQCkQtP&#10;SYxLs/NJyCAx7RTJ9sHoFMX+0I/uH3x9oRs7BtBtRyZlkzOcOiS7OXZzasGn60z6+IK3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3grMe2AAAAAUBAAAPAAAAAAAAAAEAIAAAACIAAABkcnMvZG93&#10;bnJldi54bWxQSwECFAAUAAAACACHTuJA3ODYOwACAAAJBAAADgAAAAAAAAABACAAAAAnAQAAZHJz&#10;L2Uyb0RvYy54bWxQSwUGAAAAAAYABgBZAQAAmQUAAAAA&#10;">
                        <v:fill type="gradient" on="t" color2="#FFFFFF" angle="90" focus="100%" focussize="0,0">
                          <o:fill type="gradientUnscaled" v:ext="backwardCompatible"/>
                        </v:fill>
                        <v:stroke on="f"/>
                        <v:imagedata o:title=""/>
                        <o:lock v:ext="edit" aspectratio="f"/>
                        <v:textbox>
                          <w:txbxContent>
                            <w:p>
                              <w:r>
                                <w:rPr>
                                  <w:rFonts w:hint="eastAsia"/>
                                </w:rPr>
                                <w:t>交由有资质单位处置</w:t>
                              </w:r>
                            </w:p>
                          </w:txbxContent>
                        </v:textbox>
                      </v:rect>
                      <v:rect id="_x0000_s1026" o:spid="_x0000_s1026" o:spt="1" style="position:absolute;left:2615742;top:2300126;height:338455;width:635000;"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AyEy+RrAEAAEMDAAAOAAAAZHJzL2Uyb0RvYy54bWytUktu&#10;2zAQ3RfIHQjuY0py7ASC5WyMdFMkAdIegKZIiwB/GNKWfJoA2fUQPU7Ra3QoqUmRbrLohhrOjN68&#10;94ab28EacpIQtXcNLRcFJdIJ32p3aOi3r3eXN5TExF3LjXeyoWcZ6e324tOmD7WsfOdNK4EgiIt1&#10;HxrapRRqxqLopOVx4YN0WFQeLE94hQNrgfeIbg2rimLNeg9tAC9kjJjdTUU6I8JHAL1SWsidF0cr&#10;XZpQQRqeUFLsdIh0O7JVSor0oFSUiZiGotI0njgE430+2XbD6wPw0GkxU+AfofBOk+Xa4dBXqB1P&#10;nBxB/wNltQAfvUoL4S2bhIyOoIqyeOfNU8eDHLWg1TG8mh7/H6y4Pz0C0W1Dq2tKHLe48V/P33/+&#10;eCGYQHf6EGtsegqPMN8ihlnqoMDmL4ogA/6/LlfXVxUlZ4yXRVFW68ldOSQisGG9XBUF+i6wYbm8&#10;uVqtcp29AQWI6bP0luSgoYDLGz3lpy8xTa1/WvJc4/Lp/J02ZqrmDMuEJ4o5SsN+mHnvfXtGrccA&#10;+tAhfjmOz03o7Uhkfgd5eX/fR9C3t7/9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8yB/TXAAAA&#10;BQEAAA8AAAAAAAAAAQAgAAAAIgAAAGRycy9kb3ducmV2LnhtbFBLAQIUABQAAAAIAIdO4kAyEy+R&#10;rAEAAEMDAAAOAAAAAAAAAAEAIAAAACYBAABkcnMvZTJvRG9jLnhtbFBLBQYAAAAABgAGAFkBAABE&#10;BQAAAAA=&#10;">
                        <v:fill on="f" focussize="0,0"/>
                        <v:stroke on="f"/>
                        <v:imagedata o:title=""/>
                        <o:lock v:ext="edit" aspectratio="f"/>
                        <v:textbox>
                          <w:txbxContent>
                            <w:p>
                              <w:pPr>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051</w:t>
                              </w:r>
                            </w:p>
                            <w:p/>
                          </w:txbxContent>
                        </v:textbox>
                      </v:rect>
                      <v:line id="_x0000_s1026" o:spid="_x0000_s1026" o:spt="20" style="position:absolute;left:416737;top:1624486;flip:y;height:635;width:706755;" filled="f" stroked="t" coordsize="21600,21600" o:gfxdata="UEsDBAoAAAAAAIdO4kAAAAAAAAAAAAAAAAAEAAAAZHJzL1BLAwQUAAAACACHTuJAiYrIVNYAAAAF&#10;AQAADwAAAGRycy9kb3ducmV2LnhtbE2PwU7DMBBE70j8g7VI3KidQpo2xOkBqYITqAW11228JFHj&#10;dRS7aenXY7jAZaXRjGbeFsuz7cRIg28da0gmCgRx5UzLtYaP99XdHIQPyAY7x6Thizwsy+urAnPj&#10;TrymcRNqEUvY56ihCaHPpfRVQxb9xPXE0ft0g8UQ5VBLM+AplttOTpWaSYstx4UGe3pqqDpsjlbD&#10;5eGwSEZ82WVbj6+L6Wp7eXu2Wt/eJOoRRKBz+AvDD35EhzIy7d2RjRedhvhI+L3Ry2b3GYi9hjRN&#10;FciykP/py29QSwMEFAAAAAgAh07iQM64M7UPAgAA/wMAAA4AAABkcnMvZTJvRG9jLnhtbK1TS44T&#10;MRDdI3EHy3vSSSbpRK10ZjFh2CCIxGdfsd3dlvyT7aSTS3ABJHawYsl+bsNwDMruMAODkGaBF1bZ&#10;9fxc77m8ujxqRQ7CB2lNTSejMSXCMMulaWv67u31syUlIYLhoKwRNT2JQC/XT5+seleJqe2s4sIT&#10;JDGh6l1NuxhdVRSBdUJDGFknDCYb6zVEXPq24B56ZNeqmI7HZdFbz523TISAu5shSc+M/jGEtmkk&#10;ExvL9lqYOLB6oSCipNBJF+g6V9s0gsXXTRNEJKqmqDTmGS/BeJfmYr2CqvXgOsnOJcBjSnigSYM0&#10;eOkd1QYikL2Xf1FpybwNtokjZnUxCMmOoIrJ+IE3bzpwImtBq4O7Mz38P1r26rD1RPKaTvHdDWh8&#10;8duP375/+Pzj5hPOt1+/EMygTb0LFaKvzNafV8FtfdJ8bLwmjZLuPfZTdgF1kWNNZ5NycbGg5IT7&#10;5XQ2W5aD3+IYCcP8Ylwu5nNKGALKi3lKFgNdonU+xBfCapKCmippkhdQweFliAP0FyRtK0N6vGe+&#10;XCRGwM5ssCMw1A7VBdPmw8Eqya+lUulI8O3uSnlygNQdeZxr+AOWbtlA6AZcTg06vN0bjpVA1Qng&#10;zw0n8eTQQIMfh6ZqtOCUKIH/LEUZGUGqe2T0Ekyr/oFGM5RBT5L1g9kp2ll+ym+Q97EvsmvnHk6N&#10;9/s6n77/t+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YrIVNYAAAAFAQAADwAAAAAAAAABACAA&#10;AAAiAAAAZHJzL2Rvd25yZXYueG1sUEsBAhQAFAAAAAgAh07iQM64M7UPAgAA/wMAAA4AAAAAAAAA&#10;AQAgAAAAJQEAAGRycy9lMm9Eb2MueG1sUEsFBgAAAAAGAAYAWQEAAKYFAAAAAA==&#10;">
                        <v:fill on="f" focussize="0,0"/>
                        <v:stroke weight="1.25pt" color="#000000" joinstyle="round" endarrow="block"/>
                        <v:imagedata o:title=""/>
                        <o:lock v:ext="edit" aspectratio="f"/>
                      </v:line>
                      <v:rect id="_x0000_s1026" o:spid="_x0000_s1026" o:spt="1" style="position:absolute;left:1644192;top:2395376;height:276225;width:1000125;" fillcolor="#FFFFFF" filled="t" stroked="t" coordsize="21600,21600" o:gfxdata="UEsDBAoAAAAAAIdO4kAAAAAAAAAAAAAAAAAEAAAAZHJzL1BLAwQUAAAACACHTuJAEQN7QdYAAAAF&#10;AQAADwAAAGRycy9kb3ducmV2LnhtbE2PwU7DMBBE70j9B2uRuCBqtygtTeNUAokbFaVFnN14m4TG&#10;6yjeNOHvMVzgstJoRjNvs83oGnHBLtSeNMymCgRS4W1NpYb3w/PdA4jAhqxpPKGGLwywySdXmUmt&#10;H+gNL3suRSyhkBoNFXObShmKCp0JU98iRe/kO2c4yq6UtjNDLHeNnCu1kM7UFBcq0+JThcV53zsN&#10;B/xQ9ae6fWn7+Xa1fXzdnXgctL65nqk1CMaR/8Lwgx/RIY9MR9+TDaLREB/h3xu95eJ+CeKoIUkS&#10;BTLP5H/6/BtQSwMEFAAAAAgAh07iQPqJYYFLAgAAyQQAAA4AAABkcnMvZTJvRG9jLnhtbK1UO47b&#10;MBDtA+QOBPtYsnbtXQuWt4jjNEGywCZITVOURIA/cGjLPk2AdDlEjhPkGjukZO8njYuokIbk8HHe&#10;m0ct7w5akb3wIK2p6HSSUyIMt7U0bUW/fd28u6UEAjM1U9aIih4F0LvV2zfL3pWisJ1VtfAEQQyU&#10;vatoF4Irswx4JzSDiXXC4GJjvWYBh77Nas96RNcqK/J8nvXW185bLgBwdj0s0hHRXwJom0ZysbZ8&#10;p4UJA6oXigWkBJ10QFep2qYRPHxpGhCBqIoi05DeeAjG2/jOVktWtp65TvKxBHZJCa84aSYNHnqG&#10;WrPAyM7Lf6C05N6CbcKEW50NRJIiyGKav9LmoWNOJC4oNbiz6PD/YPnn/b0nsq5osaDEMI0d//vj&#10;15/fPwlOoDq9gxKTHty9H0eAYaR6aLyOXyRBDuik+fX1dFFQckSsq8Xs6mY+qCsOgfCYkOf5tJhR&#10;wmPGzbzAGCGzJyTnIXwUVpMYVNRj95KobP8JwpB6Shm1rjdSKdIoiUY0aFdKvA3fZeiSdLHBKRFw&#10;/xAQZ1G9YRp8u32vPNkzNMcmPWNBLTzPjoXnl2xBKu3pKCUNYfFKodOAMyVQ4mS3mORZKjweogzp&#10;UZvZ7U1UhiGPBo2MoXa4A0ybGIBV8rzlRd2pthPwi7Qo1ZpBN/BLS0NDtAzCo5ys7ASrP5iahKPD&#10;vg8CYjVa1JQogb+HGKXMwKS6JBPZKYNNjbYZjBKjcNgeECaGW1sf0XE752XbYZOnSfK4gg5Pbhhv&#10;Y7xCz8cJ9OkPtHo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EQN7QdYAAAAFAQAADwAAAAAAAAAB&#10;ACAAAAAiAAAAZHJzL2Rvd25yZXYueG1sUEsBAhQAFAAAAAgAh07iQPqJYYFLAgAAyQQAAA4AAAAA&#10;AAAAAQAgAAAAJQEAAGRycy9lMm9Eb2MueG1sUEsFBgAAAAAGAAYAWQEAAOIFAAAAAA==&#10;">
                        <v:fill type="gradient" on="t" color2="#FFFFFF" angle="90" focus="100%" focussize="0,0">
                          <o:fill type="gradientUnscaled" v:ext="backwardCompatible"/>
                        </v:fill>
                        <v:stroke weight="1.25pt" color="#000000" joinstyle="miter"/>
                        <v:imagedata o:title=""/>
                        <o:lock v:ext="edit" aspectratio="f"/>
                        <v:textbox>
                          <w:txbxContent>
                            <w:p>
                              <w:r>
                                <w:rPr>
                                  <w:rFonts w:hint="eastAsia"/>
                                </w:rPr>
                                <w:t>水帘柜用水</w:t>
                              </w:r>
                            </w:p>
                          </w:txbxContent>
                        </v:textbox>
                      </v:rect>
                      <v:line id="_x0000_s1026" o:spid="_x0000_s1026" o:spt="20" style="position:absolute;left:416737;top:1624486;flip:y;height:635;width:706755;" filled="f" stroked="t" coordsize="21600,21600" o:gfxdata="UEsDBAoAAAAAAIdO4kAAAAAAAAAAAAAAAAAEAAAAZHJzL1BLAwQUAAAACACHTuJAiYrIVNYAAAAF&#10;AQAADwAAAGRycy9kb3ducmV2LnhtbE2PwU7DMBBE70j8g7VI3KidQpo2xOkBqYITqAW11228JFHj&#10;dRS7aenXY7jAZaXRjGbeFsuz7cRIg28da0gmCgRx5UzLtYaP99XdHIQPyAY7x6Thizwsy+urAnPj&#10;TrymcRNqEUvY56ihCaHPpfRVQxb9xPXE0ft0g8UQ5VBLM+AplttOTpWaSYstx4UGe3pqqDpsjlbD&#10;5eGwSEZ82WVbj6+L6Wp7eXu2Wt/eJOoRRKBz+AvDD35EhzIy7d2RjRedhvhI+L3Ry2b3GYi9hjRN&#10;FciykP/py29QSwMEFAAAAAgAh07iQEa8ytAPAgAA/wMAAA4AAABkcnMvZTJvRG9jLnhtbK1TS44T&#10;MRDdI3EHy3vS+XaiVjqzmDBsEIzEZ1+x3d2W/JPtpJNLcAEkdrBiyX5uw3AMyu4wA4OQZkEvrLLr&#10;+VW91+X1xVErchA+SGtqOhmNKRGGWS5NW9N3b6+erSgJEQwHZY2o6UkEerF5+mTdu0pMbWcVF54g&#10;iQlV72raxeiqogisExrCyDphMNlYryHi1rcF99Aju1bFdDwui9567rxlIgQ83Q5Jemb0jyG0TSOZ&#10;2Fq218LEgdULBRElhU66QDe526YRLL5umiAiUTVFpTGvWATjXVqLzRqq1oPrJDu3AI9p4YEmDdJg&#10;0TuqLUQgey//otKSeRtsE0fM6mIQkh1BFZPxA2/edOBE1oJWB3dnevh/tOzV4doTyWs6Q0sMaPzj&#10;tx+/ff/w+cfNJ1xvv34hmEGbehcqRF+aa3/eBXftk+Zj4zVplHTvcZ6yC6iLHGs6n5TL2ZKSE56X&#10;0/l8VQ5+i2MkDPPLcblcLChhCChni5QsBrpE63yIL4TVJAU1VdIkL6CCw8sQB+gvSDpWhvRYZ7Fa&#10;JkbAyWxwIjDUDtUF0+bLwSrJr6RS6Urw7e5SeXKANB35O/fwByxV2ULoBlxODTq83RuOnUDVCeDP&#10;DSfx5NBAgw+Hpm604JQoge8sRRkZQap7ZPQSTKv+gUYzlEFPkvWD2SnaWX7K/yCf41xk184znAbv&#10;932+ff9uN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iYrIVNYAAAAFAQAADwAAAAAAAAABACAA&#10;AAAiAAAAZHJzL2Rvd25yZXYueG1sUEsBAhQAFAAAAAgAh07iQEa8ytAPAgAA/wMAAA4AAAAAAAAA&#10;AQAgAAAAJQEAAGRycy9lMm9Eb2MueG1sUEsFBgAAAAAGAAYAWQEAAKYFAAAAAA==&#10;">
                        <v:fill on="f" focussize="0,0"/>
                        <v:stroke weight="1.25pt" color="#000000" joinstyle="round" endarrow="block"/>
                        <v:imagedata o:title=""/>
                        <o:lock v:ext="edit" aspectratio="f"/>
                      </v:line>
                      <v:rect id="_x0000_s1026" o:spid="_x0000_s1026" o:spt="1" style="position:absolute;left:3149142;top:2347751;height:333375;width:1417955;" fillcolor="#FFFFFF" filled="t" stroked="f" coordsize="21600,21600" o:gfxdata="UEsDBAoAAAAAAIdO4kAAAAAAAAAAAAAAAAAEAAAAZHJzL1BLAwQUAAAACACHTuJAN4KzHtgAAAAF&#10;AQAADwAAAGRycy9kb3ducmV2LnhtbE2PzU7DMBCE70h9B2srcamonaK0KI1TISQkxAHRwAFuTryN&#10;o9rrELs/vD2mF7isNJrRzLfl5uwsO+IYek8SsrkAhtR63VMn4f3t8eYOWIiKtLKeUMI3BthUk6tS&#10;FdqfaIvHOnYslVAolAQT41BwHlqDToW5H5CSt/OjUzHJseN6VKdU7ixfCLHkTvWUFowa8MFgu68P&#10;TkL/gc+ZEbvZ7Ov+5XXb2EX99OmkvJ5mYg0s4jn+heEXP6FDlZgafyAdmJWQHomXm7zV8nYFrJGQ&#10;57kAXpX8P331A1BLAwQUAAAACACHTuJAF0qW0gACAAAJBAAADgAAAGRycy9lMm9Eb2MueG1srVPN&#10;jtMwEL4j8Q6W7zRJfygbNd0DVbkgWGkXcXYdJ7Hk2NaM26ZPg8SNh+BxEK/B2Mn+aJHQHvDBGTuf&#10;v5nv83hzPfSGnRSgdrbixSznTFnpam3bin+52795xxkGYWthnFUVvyjk19vXrzZnX6q565ypFTAi&#10;sViefcW7EHyZZSg71QucOa8s/Wwc9CLQEtqsBnEm9t5k8zx/m50d1B6cVIi0uxt/8okRXkLomkZL&#10;tXPy2CsbRlZQRgSShJ32yLep2qZRMnxuGlSBmYqT0pBmSkLxIc7ZdiPKFoTvtJxKEC8p4ZmmXmhL&#10;SR+odiIIdgT9F1WvJTh0TZhJ12ejkOQIqSjyZ97cdsKrpIWsRv9gOv4/WvnpdANM1xVfFJxZ0dON&#10;//7249fP74w2yJ2zx5JAt/4GphVSGKUODfTxSyLYEM8vr4rlnLNLxeeL5Xq9SudFqYbAJAGKZbG+&#10;Wq04k4RY0FivYoLskckDhg/K9SwGFQe6vWSqOH3EMELvIZPX9V4bwxqjqREttStn4MJXHbpkXbzg&#10;BEQ6PwbMO3Jv3EZoD+8NsJOg5tinMRXU4lN0kceRmP59hKS096mMtkzEJ0WdhlIYRRandosgEKnw&#10;mMTYOFsXhYwS404WbR+NjlEYDsPk/sHVF7qxowfddmRSMjnBqUOSm1M3xxZ8uk6kjy94+w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3grMe2AAAAAUBAAAPAAAAAAAAAAEAIAAAACIAAABkcnMvZG93&#10;bnJldi54bWxQSwECFAAUAAAACACHTuJAF0qW0gACAAAJBAAADgAAAAAAAAABACAAAAAnAQAAZHJz&#10;L2Uyb0RvYy54bWxQSwUGAAAAAAYABgBZAQAAmQUAAAAA&#10;">
                        <v:fill type="gradient" on="t" color2="#FFFFFF" angle="90" focus="100%" focussize="0,0">
                          <o:fill type="gradientUnscaled" v:ext="backwardCompatible"/>
                        </v:fill>
                        <v:stroke on="f"/>
                        <v:imagedata o:title=""/>
                        <o:lock v:ext="edit" aspectratio="f"/>
                        <v:textbox>
                          <w:txbxContent>
                            <w:p>
                              <w:r>
                                <w:rPr>
                                  <w:rFonts w:hint="eastAsia"/>
                                </w:rPr>
                                <w:t>交由有资质单位处置</w:t>
                              </w:r>
                            </w:p>
                          </w:txbxContent>
                        </v:textbox>
                      </v:rect>
                      <v:rect id="_x0000_s1026" o:spid="_x0000_s1026" o:spt="1" style="position:absolute;left:1052372;top:337342;height:271144;width:634999;"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DSieoGrAEAAEIDAAAOAAAAZHJzL2Uyb0RvYy54bWytkkuO&#10;EzEQhvdI3MHynvQrTEgrndlEwwbBSAMHcNx22pJfKjvpzmmQ2HEIjoO4BmV3M4OGzSzYuMuu6q/q&#10;/+3d7WQ0uQgIytmOVquSEmG565U9dfTL57s37ygJkdmeaWdFR68i0Nv961e70beidoPTvQCCEBva&#10;0Xd0iNG3RRH4IAwLK+eFxaR0YFjELZyKHtiIdKOLuixvitFB78FxEQKeHuYkXYjwEqCTUnFxcPxs&#10;hI0zFYRmESWFQflA93laKQWPn6QMIhLdUVQa84pNMD6mtdjvWHsC5gfFlxHYS0Z4pskwZbHpI+rA&#10;IiNnUP+gjOLggpNxxZ0pZiHZEVRRlc+8eRiYF1kLWh38o+nh/2H5x8s9ENV3tKkpsczgjf/6+v3n&#10;j28ED9Cd0YcWix78PSy7gGGSOkkw6YsiyIQvqXxbNxuEXJHVbJp1/p21YoqEY/6mWW+3W0o45utN&#10;Va3XCV88cTyE+F44Q1LQUcC7y5ayy4cQ59I/Jamttmm17k5pPWfTSZHmnSdMUZyO0zL20fVXlHr2&#10;oE4D8qvcPhWhtXmQ5Rmku/t7n6FPT3//G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8yB/TXAAAA&#10;BQEAAA8AAAAAAAAAAQAgAAAAIgAAAGRycy9kb3ducmV2LnhtbFBLAQIUABQAAAAIAIdO4kDSieoG&#10;rAEAAEIDAAAOAAAAAAAAAAEAIAAAACYBAABkcnMvZTJvRG9jLnhtbFBLBQYAAAAABgAGAFkBAABE&#10;BQAAAAA=&#10;">
                        <v:fill on="f" focussize="0,0"/>
                        <v:stroke on="f"/>
                        <v:imagedata o:title=""/>
                        <o:lock v:ext="edit" aspectratio="f"/>
                        <v:textbox>
                          <w:txbxContent>
                            <w:p>
                              <w:r>
                                <w:t>1.622</w:t>
                              </w:r>
                            </w:p>
                          </w:txbxContent>
                        </v:textbox>
                      </v:rect>
                      <v:line id="_x0000_s1026" o:spid="_x0000_s1026" o:spt="20" style="position:absolute;left:1155127;top:3366079;flip:y;height:1905;width:461125;" filled="f" stroked="t" coordsize="21600,21600" o:gfxdata="UEsDBAoAAAAAAIdO4kAAAAAAAAAAAAAAAAAEAAAAZHJzL1BLAwQUAAAACACHTuJAiYrIVNYAAAAF&#10;AQAADwAAAGRycy9kb3ducmV2LnhtbE2PwU7DMBBE70j8g7VI3KidQpo2xOkBqYITqAW11228JFHj&#10;dRS7aenXY7jAZaXRjGbeFsuz7cRIg28da0gmCgRx5UzLtYaP99XdHIQPyAY7x6Thizwsy+urAnPj&#10;TrymcRNqEUvY56ihCaHPpfRVQxb9xPXE0ft0g8UQ5VBLM+AplttOTpWaSYstx4UGe3pqqDpsjlbD&#10;5eGwSEZ82WVbj6+L6Wp7eXu2Wt/eJOoRRKBz+AvDD35EhzIy7d2RjRedhvhI+L3Ry2b3GYi9hjRN&#10;FciykP/py29QSwMEFAAAAAgAh07iQGX+vuUQAgAAAQQAAA4AAABkcnMvZTJvRG9jLnhtbK1TzY7T&#10;MBC+I/EOlu80SZe2u1HTPWxZLggq8XOf2k5iyX+y3aZ9CV4AiRucOHLnbVgeg7FTdmER0h7IwZrx&#10;fP4835fx8vKgFdkLH6Q1Da0mJSXCMMul6Rr69s31k3NKQgTDQVkjGnoUgV6uHj9aDq4WU9tbxYUn&#10;SGJCPbiG9jG6uigC64WGMLFOGCy21muImPqu4B4GZNeqmJblvBis585bJkLA3fVYpCdG/xBC27aS&#10;ibVlOy1MHFm9UBBRUuilC3SVu21bweKrtg0iEtVQVBrzipdgvE1rsVpC3XlwvWSnFuAhLdzTpEEa&#10;vPSWag0RyM7Lv6i0ZN4G28YJs7oYhWRHUEVV3vPmdQ9OZC1odXC3pof/R8te7jeeSN7QszNKDGj8&#10;4zcfvn5//+nHt4+43nz5TLCCNg0u1Ii+Mht/yoLb+KT50HpNWiXdO5yn7ALqIgdMqtmsmi4oOSb6&#10;+bxcXIyGi0MkDAFP51U1nVHCEFBdlLNULUbCROx8iM+F1SQFDVXSJDeghv2LEEfoL0jaVoYMyDM7&#10;XyRKwNlscSYw1A71BdPlw8Eqya+lUulI8N32SnmyhzQf+Tv18Acs3bKG0I+4XBqFeLszHDuBuhfA&#10;nxlO4tGhhQafDk3daMEpUQJfWooyMoJUd8joJZhO/QONZiiDniTzR7tTtLX8mP9C3sfJyK6dpjiN&#10;3u95Pn33cl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mKyFTWAAAABQEAAA8AAAAAAAAAAQAg&#10;AAAAIgAAAGRycy9kb3ducmV2LnhtbFBLAQIUABQAAAAIAIdO4kBl/r7lEAIAAAEEAAAOAAAAAAAA&#10;AAEAIAAAACUBAABkcnMvZTJvRG9jLnhtbFBLBQYAAAAABgAGAFkBAACnBQAAAAA=&#10;">
                        <v:fill on="f" focussize="0,0"/>
                        <v:stroke weight="1.25pt" color="#000000" joinstyle="round" endarrow="block"/>
                        <v:imagedata o:title=""/>
                        <o:lock v:ext="edit" aspectratio="f"/>
                      </v:line>
                      <v:rect id="_x0000_s1026" o:spid="_x0000_s1026" o:spt="1" style="position:absolute;left:1091106;top:3052601;height:299719;width:685800;"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AqMCyGrAEAAEMDAAAOAAAAZHJzL2Uyb0RvYy54bWytUktu&#10;2zAQ3RfoHQjuY1FO49qC5WyMdFO0AdIcgKZIiwB/4NCWfJoC3fUQPU7Ra3RIqUmRbrLoZjjkDN68&#10;94bb29EacpYRtHctrReMEumE77Q7tvTxy93VmhJI3HXceCdbepFAb3dv32yH0Mil773pZCQI4qAZ&#10;Qkv7lEJTVSB6aTksfJAOi8pHyxNe47HqIh8Q3ZpqydiqGnzsQvRCAuDrfirSGTG+BtArpYXce3Gy&#10;0qUJNUrDE0qCXgegu8JWKSnSZ6VAJmJaikpTiTgE80OO1W7Lm2PkoddipsBfQ+GFJsu1w6FPUHue&#10;ODlF/Q+U1SJ68CothLfVJKQ4gipq9sKbh54HWbSg1RCeTIf/Bys+ne8j0V1Lr99R4rjFjf/6+v3n&#10;j28EH9CdIUCDTQ/hPs43wDRLHVW0+UQRZMSfxDZ1zVaUXBCL3SxXrJ7clWMiAhtW65s1Q98FNiw3&#10;m/f1JterZ6AQIX2Q3pKctDTi8oqn/PwR0tT6pyXPNS5H5++0MVM1v1SZ8EQxZ2k8jDPvg+8uqPUU&#10;oj72iF/olXb0thCZ/0Fe3t/3Avr893e/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8yB/TXAAAA&#10;BQEAAA8AAAAAAAAAAQAgAAAAIgAAAGRycy9kb3ducmV2LnhtbFBLAQIUABQAAAAIAIdO4kAqMCyG&#10;rAEAAEMDAAAOAAAAAAAAAAEAIAAAACYBAABkcnMvZTJvRG9jLnhtbFBLBQYAAAAABgAGAFkBAABE&#10;BQAAAAA=&#10;">
                        <v:fill on="f" focussize="0,0"/>
                        <v:stroke on="f"/>
                        <v:imagedata o:title=""/>
                        <o:lock v:ext="edit" aspectratio="f"/>
                        <v:textbox>
                          <w:txbxContent>
                            <w:p>
                              <w:pPr>
                                <w:rPr>
                                  <w:color w:val="000000" w:themeColor="text1"/>
                                  <w14:textFill>
                                    <w14:solidFill>
                                      <w14:schemeClr w14:val="tx1"/>
                                    </w14:solidFill>
                                  </w14:textFill>
                                </w:rPr>
                              </w:pPr>
                              <w:r>
                                <w:rPr>
                                  <w:rFonts w:hint="eastAsia"/>
                                  <w:color w:val="000000" w:themeColor="text1"/>
                                  <w14:textFill>
                                    <w14:solidFill>
                                      <w14:schemeClr w14:val="tx1"/>
                                    </w14:solidFill>
                                  </w14:textFill>
                                </w:rPr>
                                <w:t>0.00</w:t>
                              </w:r>
                              <w:r>
                                <w:rPr>
                                  <w:color w:val="000000" w:themeColor="text1"/>
                                  <w14:textFill>
                                    <w14:solidFill>
                                      <w14:schemeClr w14:val="tx1"/>
                                    </w14:solidFill>
                                  </w14:textFill>
                                </w:rPr>
                                <w:t>45</w:t>
                              </w:r>
                            </w:p>
                          </w:txbxContent>
                        </v:textbox>
                      </v:rect>
                      <v:rect id="_x0000_s1026" o:spid="_x0000_s1026" o:spt="1" style="position:absolute;left:1620062;top:3206906;height:276225;width:1000125;" fillcolor="#FFFFFF" filled="t" stroked="t" coordsize="21600,21600" o:gfxdata="UEsDBAoAAAAAAIdO4kAAAAAAAAAAAAAAAAAEAAAAZHJzL1BLAwQUAAAACACHTuJAEQN7QdYAAAAF&#10;AQAADwAAAGRycy9kb3ducmV2LnhtbE2PwU7DMBBE70j9B2uRuCBqtygtTeNUAokbFaVFnN14m4TG&#10;6yjeNOHvMVzgstJoRjNvs83oGnHBLtSeNMymCgRS4W1NpYb3w/PdA4jAhqxpPKGGLwywySdXmUmt&#10;H+gNL3suRSyhkBoNFXObShmKCp0JU98iRe/kO2c4yq6UtjNDLHeNnCu1kM7UFBcq0+JThcV53zsN&#10;B/xQ9ae6fWn7+Xa1fXzdnXgctL65nqk1CMaR/8Lwgx/RIY9MR9+TDaLREB/h3xu95eJ+CeKoIUkS&#10;BTLP5H/6/BtQSwMEFAAAAAgAh07iQOML9QFHAgAAyQQAAA4AAABkcnMvZTJvRG9jLnhtbK1Uy47T&#10;MBTdI/EPlvc0adB0hqrpLChlg2CkGcT61nESS37J1319DRI7PoLPQfwG107aebDpgiySa/v6+J5z&#10;j7O4PRjNdjKgcrbm00nJmbTCNcp2Nf/6sH5zwxlGsA1oZ2XNjxL57fL1q8Xez2XleqcbGRiBWJzv&#10;fc37GP28KFD00gBOnJeWFlsXDEQahq5oAuwJ3eiiKstZsXeh8cEJiUizq2GRj4jhEkDXtkrIlRNb&#10;I20cUIPUEIkS9sojX+Zq21aK+KVtUUama05MY37TIRRv0rtYLmDeBfC9EmMJcEkJLzgZUJYOPUOt&#10;IALbBvUPlFEiOHRtnAhnioFIVoRYTMsX2tz34GXmQlKjP4uO/w9WfN7dBaaamr+94syCoY7/+f7z&#10;968fjCZInb3HOSXd+7swjpDCRPXQBpO+RIIdyEmz1N2KsyNhVeXsXTkb1JWHyERKKMtyWtEpgjKq&#10;61lFMUEWj0g+YPwonWEpqHmg7mVRYfcJ45B6Shm1btZKa9ZqRUa0ZFfOgovfVOyzdKnBORFp/xAw&#10;70i9YRpDt3mvA9sBmWOdn7GgDp9mp8LLS7YQle50lFaWQbpS5DQUoCVJnO2WkgLkwtMh2rI9aXN1&#10;c52UAeLRkpEpNJ52oO0yA3Ranbc8qzvXdgJ+lpakWgH2A7+8NDTEqCgDyQnzXkLzwTYsHj31fRCQ&#10;qjGy4UxL+j2kKGdGUPqSTGKnLTU12WYwSoriYXMgmBRuXHMkx219UF1PTZ5mydMKOTy7YbyN6Qo9&#10;HWfQxz/Q8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RA3tB1gAAAAUBAAAPAAAAAAAAAAEAIAAA&#10;ACIAAABkcnMvZG93bnJldi54bWxQSwECFAAUAAAACACHTuJA4wv1AUcCAADJBAAADgAAAAAAAAAB&#10;ACAAAAAlAQAAZHJzL2Uyb0RvYy54bWxQSwUGAAAAAAYABgBZAQAA3gUAAAAA&#10;">
                        <v:fill type="gradient" on="t" color2="#FFFFFF" angle="90" focus="100%" focussize="0,0">
                          <o:fill type="gradientUnscaled" v:ext="backwardCompatible"/>
                        </v:fill>
                        <v:stroke weight="1.25pt" color="#000000" joinstyle="miter"/>
                        <v:imagedata o:title=""/>
                        <o:lock v:ext="edit" aspectratio="f"/>
                        <v:textbox>
                          <w:txbxContent>
                            <w:p>
                              <w:r>
                                <w:rPr>
                                  <w:rFonts w:hint="eastAsia"/>
                                </w:rPr>
                                <w:t>喷枪清洗用水</w:t>
                              </w:r>
                            </w:p>
                          </w:txbxContent>
                        </v:textbox>
                      </v:rect>
                      <v:line id="_x0000_s1026" o:spid="_x0000_s1026" o:spt="20" style="position:absolute;left:2622092;top:3359306;height:3810;width:454660;" filled="f" stroked="t" coordsize="21600,21600" o:gfxdata="UEsDBAoAAAAAAIdO4kAAAAAAAAAAAAAAAAAEAAAAZHJzL1BLAwQUAAAACACHTuJAAvbj8dUAAAAF&#10;AQAADwAAAGRycy9kb3ducmV2LnhtbE2PwU7DMBBE70j8g7VI3KhdUJoqxKkEElzgUErVXrfxNoka&#10;ryPbacvf4/YCl5VGM5p5Wy7OthdH8qFzrGE6USCIa2c6bjSsv98e5iBCRDbYOyYNPxRgUd3elFgY&#10;d+IvOq5iI1IJhwI1tDEOhZShbslimLiBOHl75y3GJH0jjcdTKre9fFRqJi12nBZaHOi1pfqwGq2G&#10;rc94+amkfd8PtMH8ozm8jEut7++m6hlEpHP8C8MFP6FDlZh2bmQTRK8hPRKvN3n57CkHsdOQZZkC&#10;WZXyP331C1BLAwQUAAAACACHTuJAbh8WewwCAAD3AwAADgAAAGRycy9lMm9Eb2MueG1srVNLjhMx&#10;EN0jcQfLe9KdziRkWunMYsKwQRAJOEDFdqct+SfbSSeX4AJI7GDFkv3chuEYlN1hAoOQZkEv3GX7&#10;1XO95/Li6qAV2QsfpDUNHY9KSoRhlkuzbej7dzfP5pSECIaDskY09CgCvVo+fbLoXS0q21nFhSdI&#10;YkLdu4Z2Mbq6KALrhIYwsk4Y3Gyt1xBx6rcF99Aju1ZFVZazoreeO2+ZCAFXV8MmPTH6xxDatpVM&#10;rCzbaWHiwOqFgoiSQiddoMtcbdsKFt+0bRCRqIai0phHPATjTRqL5QLqrQfXSXYqAR5TwgNNGqTB&#10;Q++pVhCB7Lz8i0pL5m2wbRwxq4tBSHYEVYzLB9687cCJrAWtDu7e9PD/aNnr/doTyRs6mVFiQOON&#10;33389v3D5x+3n3C8+/qF4A7a1LtQI/rarP1pFtzaJ82H1uv0RzXk0NBqVlXlZUXJEUkn08tJmfOh&#10;FodIGAIuphezGV4AS4D5OF9CcaZxPsSXwmqSgoYqaZIHUMP+VYh4NEJ/QdKyMqTHPp7On0+RErAj&#10;W+wEDLVDVcFsc3KwSvIbqVRKCX67uVae7CF1Rf6SQiT+A5ZOWUHoBlzeGvrF253hmAB1J4C/MJzE&#10;o0PjDD4YmqrRglOiBL6vFGVkBKnOyOglmK36BxoLUQbrSZYPJqdoY/kxe5/XsR9yxafeTQ33+zxn&#10;n9/r8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C9uPx1QAAAAUBAAAPAAAAAAAAAAEAIAAAACIA&#10;AABkcnMvZG93bnJldi54bWxQSwECFAAUAAAACACHTuJAbh8WewwCAAD3AwAADgAAAAAAAAABACAA&#10;AAAkAQAAZHJzL2Uyb0RvYy54bWxQSwUGAAAAAAYABgBZAQAAogUAAAAA&#10;">
                        <v:fill on="f" focussize="0,0"/>
                        <v:stroke weight="1.25pt" color="#000000" joinstyle="round" endarrow="block"/>
                        <v:imagedata o:title=""/>
                        <o:lock v:ext="edit" aspectratio="f"/>
                      </v:line>
                      <v:rect id="_x0000_s1026" o:spid="_x0000_s1026" o:spt="1" style="position:absolute;left:3189782;top:3191951;height:333375;width:1417954;" fillcolor="#FFFFFF" filled="t" stroked="f" coordsize="21600,21600" o:gfxdata="UEsDBAoAAAAAAIdO4kAAAAAAAAAAAAAAAAAEAAAAZHJzL1BLAwQUAAAACACHTuJAN4KzHtgAAAAF&#10;AQAADwAAAGRycy9kb3ducmV2LnhtbE2PzU7DMBCE70h9B2srcamonaK0KI1TISQkxAHRwAFuTryN&#10;o9rrELs/vD2mF7isNJrRzLfl5uwsO+IYek8SsrkAhtR63VMn4f3t8eYOWIiKtLKeUMI3BthUk6tS&#10;FdqfaIvHOnYslVAolAQT41BwHlqDToW5H5CSt/OjUzHJseN6VKdU7ixfCLHkTvWUFowa8MFgu68P&#10;TkL/gc+ZEbvZ7Ov+5XXb2EX99OmkvJ5mYg0s4jn+heEXP6FDlZgafyAdmJWQHomXm7zV8nYFrJGQ&#10;57kAXpX8P331A1BLAwQUAAAACACHTuJAWkzrG/0BAAAJBAAADgAAAGRycy9lMm9Eb2MueG1srVNL&#10;jhMxEN0jcQfLe9LpMCEfpTMLorBBMNIMYu243d2W/FOVk3ROg8SOQ3AcxDUou3s+GiQ0C7xwl93P&#10;r+o9lzfXvTXspAC1dxUvJ1POlJO+1q6t+Je7/ZslZxiFq4XxTlX8opBfb1+/2pzDWs18502tgBGJ&#10;w/U5VLyLMayLAmWnrMCJD8rRz8aDFZGW0BY1iDOxW1PMptN3xdlDHcBLhUi7u+EnHxnhJYS+abRU&#10;Oy+PVrk4sIIyIpIk7HRAvs3VNo2S8XPToIrMVJyUxjxTEooPaS62G7FuQYROy7EE8ZISnmmyQjtK&#10;+kC1E1GwI+i/qKyW4NE3cSK9LQYh2RFSUU6feXPbiaCyFrIaw4Pp+P9o5afTDTBdV/ztgjMnLN34&#10;728/fv38zmiD3DkHXBPoNtzAuEIKk9S+AZu+JIL1dL5crhbLGWeXFK/K1bwc3FV9ZJIA5VW5WM2v&#10;OJMJQWMxT4DikSkAxg/KW5aCigPdXjZVnD5iHKD3kNHreq+NYY3R1IiO2pUz8PGrjl22Ll1wBiKd&#10;HwIWPLk3bCO0h/cG2ElQc+zzGAtq8Sm6nKaRmf59hKS096mMdkykJ0WdhlIYRRbndksgELnwlMS4&#10;NDufhAwS006RbB+MTlHsD/3o/sHXF7qxYwDddmRSNjnDqUOym2M3pxZ8us6kjy94+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3grMe2AAAAAUBAAAPAAAAAAAAAAEAIAAAACIAAABkcnMvZG93bnJl&#10;di54bWxQSwECFAAUAAAACACHTuJAWkzrG/0BAAAJBAAADgAAAAAAAAABACAAAAAnAQAAZHJzL2Uy&#10;b0RvYy54bWxQSwUGAAAAAAYABgBZAQAAlgUAAAAA&#10;">
                        <v:fill type="gradient" on="t" color2="#FFFFFF" angle="90" focus="100%" focussize="0,0">
                          <o:fill type="gradientUnscaled" v:ext="backwardCompatible"/>
                        </v:fill>
                        <v:stroke on="f"/>
                        <v:imagedata o:title=""/>
                        <o:lock v:ext="edit" aspectratio="f"/>
                        <v:textbox>
                          <w:txbxContent>
                            <w:p>
                              <w:r>
                                <w:rPr>
                                  <w:rFonts w:hint="eastAsia"/>
                                </w:rPr>
                                <w:t>交由有资质单位处置</w:t>
                              </w:r>
                            </w:p>
                          </w:txbxContent>
                        </v:textbox>
                      </v:rect>
                      <v:rect id="_x0000_s1026" o:spid="_x0000_s1026" o:spt="1" style="position:absolute;left:2638602;top:3090701;height:299720;width:685800;"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AE8HMCrAEAAEMDAAAOAAAAZHJzL2Uyb0RvYy54bWytUktu&#10;2zAQ3RfoHQjuY9EK6tiC5WyMdFO0AdIegKZIiwB/4NCWfJoC3fUQPU7Ra3RIKUmRbrLIZjjkDN68&#10;94bb29EacpYRtHctXS4YJdIJ32l3bOm3r3dXa0ogcddx451s6UUCvd29f7cdQiNr33vTyUgQxEEz&#10;hJb2KYWmqkD00nJY+CAdFpWPlie8xmPVRT4gujVVzdiqGnzsQvRCAuDrfirSGTG+BtArpYXce3Gy&#10;0qUJNUrDE0qCXgegu8JWKSnSF6VAJmJaikpTiTgE80OO1W7Lm2PkoddipsBfQ+GFJsu1w6FPUHue&#10;ODlF/R+U1SJ68CothLfVJKQ4giqW7IU3Dz0PsmhBqyE8mQ5vBys+n+8j0V1Lr3Hvjlvc+J/vP3//&#10;+kHwAd0ZAjTY9BDu43wDTLPUUUWbTxRBxpbWq+v1itWUXBCLbdgNW07uyjERgQ2r9Yc1Q98FNtSb&#10;zU1d3K+egUKE9FF6S3LS0ojLK57y8ydIOBxbH1vyXONydP5OGzNV80uVCU8Uc5bGwzjzPvjuglpP&#10;Iepjj/iFXmlHbwv6/A/y8v69F9Dnv7/7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8yB/TXAAAA&#10;BQEAAA8AAAAAAAAAAQAgAAAAIgAAAGRycy9kb3ducmV2LnhtbFBLAQIUABQAAAAIAIdO4kAE8HMC&#10;rAEAAEMDAAAOAAAAAAAAAAEAIAAAACYBAABkcnMvZTJvRG9jLnhtbFBLBQYAAAAABgAGAFkBAABE&#10;BQAAAAA=&#10;">
                        <v:fill on="f" focussize="0,0"/>
                        <v:stroke on="f"/>
                        <v:imagedata o:title=""/>
                        <o:lock v:ext="edit" aspectratio="f"/>
                        <v:textbox>
                          <w:txbxContent>
                            <w:p>
                              <w:r>
                                <w:rPr>
                                  <w:rFonts w:hint="eastAsia"/>
                                </w:rPr>
                                <w:t>0.00</w:t>
                              </w:r>
                              <w:r>
                                <w:t>405</w:t>
                              </w:r>
                            </w:p>
                            <w:p/>
                          </w:txbxContent>
                        </v:textbox>
                      </v:rect>
                      <v:shape id="_x0000_s1026" o:spid="_x0000_s1026" o:spt="38" type="#_x0000_t38" style="position:absolute;left:1950261;top:3021944;flip:y;height:170357;width:215038;" filled="f" stroked="t" coordsize="21600,21600" o:gfxdata="UEsDBAoAAAAAAIdO4kAAAAAAAAAAAAAAAAAEAAAAZHJzL1BLAwQUAAAACACHTuJAn8u019QAAAAF&#10;AQAADwAAAGRycy9kb3ducmV2LnhtbE2PwU7DMBBE70j8g7VI3KhdUFqUxqkqEAe40YLU4zbexlHt&#10;dRS7Sfl7DBe4rDSa0czban3xTow0xC6whvlMgSBugum41fCxe7l7BBETskEXmDR8UYR1fX1VYWnC&#10;xO80blMrcgnHEjXYlPpSythY8hhnoSfO3jEMHlOWQyvNgFMu907eK7WQHjvOCxZ7erLUnLZnr+Ht&#10;+XXcHD83e6u4cPtd0wbGSevbm7lagUh0SX9h+MHP6FBnpkM4s4nCaciPpN+bveXiYQnioKEoCgWy&#10;ruR/+vobUEsDBBQAAAAIAIdO4kD4ETesNAIAADsEAAAOAAAAZHJzL2Uyb0RvYy54bWytU8tuEzEU&#10;3SPxD5b3ZGaSpmmjTLpIKBsEkXjsHT9mjPyS7WSSn+AHkNjBqiuWbPo3LZ/BtWdooQipC2Yxurav&#10;z73n3OPFxUErtOc+SGtqXI1KjLihlknT1Pjd28tnZxiFSAwjyhpe4yMP+GL59Mmic3M+tq1VjHsE&#10;ICbMO1fjNkY3L4pAW65JGFnHDRwK6zWJsPRNwTzpAF2rYlyWp0VnPXPeUh4C7K77Qzwg+scAWiEk&#10;5WtLd5qb2KN6rkgESqGVLuBl7lYITuNrIQKPSNUYmMb8hyIQb9O/WC7IvPHEtZIOLZDHtPCAkybS&#10;QNE7qDWJBO28/AtKS+ptsCKOqNVFTyQrAiyq8oE2b1rieOYCUgd3J3r4f7D01X7jkWQ1npxjZIiG&#10;id98+nb7/frH9eebj19ur74iOAGZOhfmkL0yGz+sgtv4xPkgvEZCSfce/JRVAF7oAIvzaTk+rTA6&#10;Anw5rs5PTnrB+SEiCgnjalpOwG8UEqpZOZnO0nnRQyZo50N8wa1GKagx3fk9ZytrDAzW+kkuRvYv&#10;Q8zas4EAYR+gqNAKRrknCk1L+AbkIRtq/MJOV5VBHbQwPZtNoRsCthZgJwi1A2mCaXKlYJVkl1Kp&#10;dCX4ZrtSHkEBMFL+hhJ/pKUqaxLaPo9B1Evg7c6w7L6WE/bcMBSPDsQ38OhwakZzhpHi8EZTlDMj&#10;keo+M3pJTKP+kQ0ElQEt09j6QaVoa9kxzy/vg6ey2oP/k2l/X+fb929++R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fy7TX1AAAAAUBAAAPAAAAAAAAAAEAIAAAACIAAABkcnMvZG93bnJldi54bWxQ&#10;SwECFAAUAAAACACHTuJA+BE3rDQCAAA7BAAADgAAAAAAAAABACAAAAAjAQAAZHJzL2Uyb0RvYy54&#10;bWxQSwUGAAAAAAYABgBZAQAAyQUAAAAA&#10;" adj="10800">
                        <v:fill on="f" focussize="0,0"/>
                        <v:stroke weight="1.25pt" color="#000000" joinstyle="round" dashstyle="dash" endarrow="block"/>
                        <v:imagedata o:title=""/>
                        <o:lock v:ext="edit" aspectratio="f"/>
                      </v:shape>
                      <v:rect id="_x0000_s1026" o:spid="_x0000_s1026" o:spt="1" style="position:absolute;left:2105632;top:2795553;height:314325;width:1271423;"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DWSlF/rQEAAEQDAAAOAAAAZHJzL2Uyb0RvYy54bWytUktu&#10;2zAU3BfoHQjuY+pjJalgORsj3RRpgLQHoCnSIiB+wEdb8mkKZNdD9DhFr9FHSU2CdJNFNuR75GDe&#10;zJCbm9H05CQDaGcbmq8ySqQVrtX20NDv324vrimByG3Le2dlQ88S6M3244fN4GtZuM71rQwESSzU&#10;g29oF6OvGQPRScNh5by0eKlcMDxiGw6sDXxAdtOzIssu2eBC64MTEgBPd/MlXRjDWwidUlrInRNH&#10;I22cWYPseURL0GkPdDupVUqK+FUpkJH0DUWncVpxCNb7tLLthteHwH2nxSKBv0XCK0+Ga4tDn6h2&#10;PHJyDPo/KqNFcOBUXAln2GxkSgRd5NmrbB467uXkBaMG/xQ6vB+tuDvdB6Lbhq4xEssNvvifHz9/&#10;/3okeIDpDB5qBD34+7B0gGWyOqpg0o4myNjQIs+qy7Kg5Iz11aeqqso5XTlGIhCQF1f5uigpEYgo&#10;83VZVAnAnpl8gPhZOkNS0dCArzeFyk9fIM7Qf5A0uLdpte5W9/18m05YUjxrTFUc9+MifO/aM5o9&#10;+qAPHfLn0/gEwnAnIctHSK/3sp9Inz//9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fMgf01wAA&#10;AAUBAAAPAAAAAAAAAAEAIAAAACIAAABkcnMvZG93bnJldi54bWxQSwECFAAUAAAACACHTuJA1kpR&#10;f60BAABEAwAADgAAAAAAAAABACAAAAAmAQAAZHJzL2Uyb0RvYy54bWxQSwUGAAAAAAYABgBZAQAA&#10;RQUAAAAA&#10;">
                        <v:fill on="f" focussize="0,0"/>
                        <v:stroke on="f"/>
                        <v:imagedata o:title=""/>
                        <o:lock v:ext="edit" aspectratio="f"/>
                        <v:textbox>
                          <w:txbxContent>
                            <w:p>
                              <w:r>
                                <w:rPr>
                                  <w:rFonts w:hint="eastAsia"/>
                                </w:rPr>
                                <w:t>蒸发损耗0.000</w:t>
                              </w:r>
                              <w:r>
                                <w:t>45</w:t>
                              </w:r>
                            </w:p>
                            <w:p/>
                          </w:txbxContent>
                        </v:textbox>
                      </v:rect>
                      <v:shape id="曲线连接符 14" o:spid="_x0000_s1026" o:spt="38" type="#_x0000_t38" style="position:absolute;left:1933116;top:2176302;flip:y;height:203199;width:241300;" filled="f" stroked="t" coordsize="21600,21600" o:gfxdata="UEsDBAoAAAAAAIdO4kAAAAAAAAAAAAAAAAAEAAAAZHJzL1BLAwQUAAAACACHTuJAYDxpDdQAAAAF&#10;AQAADwAAAGRycy9kb3ducmV2LnhtbE2PwU7DMBBE70j8g7VI3KhdUFoIcXpA4oKEEEk/YBMvSdR4&#10;HWwnKX+P4QKXlUYzmnlbHM52FAv5MDjWsN0oEMStMwN3Go718809iBCRDY6OScMXBTiUlxcF5sat&#10;/E5LFTuRSjjkqKGPccqlDG1PFsPGTcTJ+3DeYkzSd9J4XFO5HeWtUjtpceC00ONETz21p2q2Gl5p&#10;efh8iV65Zn1z9ek411M1a319tVWPICKd418YfvATOpSJqXEzmyBGDemR+HuTt9/d7UE0GrIsUyDL&#10;Qv6nL78BUEsDBBQAAAAIAIdO4kDUmxNfNQIAADwEAAAOAAAAZHJzL2Uyb0RvYy54bWytU8uO0zAU&#10;3SPxD5b3NEkz7bRV01m0DBsElXjsXdtJjPyS7TbtT/ADSOxgNSuWbOZvZvgMrp0wA4OQZkEW0bV9&#10;fc49514vL45KogN3Xhhd4WKUY8Q1NUzopsLv3l4+m2HkA9GMSKN5hU/c44vV0yfLzi742LRGMu4Q&#10;gGi/6GyF2xDsIss8bbkifmQs13BYG6dIgKVrMuZIB+hKZuM8n2adccw6Q7n3sLvpD/GA6B4DaOpa&#10;UL4xdK+4Dj2q45IEkORbYT1epWrrmtPwuq49D0hWGJSG9AcSiHfxn62WZNE4YltBhxLIY0p4oEkR&#10;oYH0DmpDAkF7J/6CUoI6400dRtSorBeSHAEVRf7AmzctsTxpAau9vTPd/z9Y+uqwdUgwmITZFCNN&#10;FLT85tO32+/XP64/33z8cnv1FRVn0afO+gWkr/XWDStvty6KPtZOoVoK+x5gkg0gDB1hMS/LogDc&#10;U4XHxfm0zMe94/wYEIWE8VlR5tALGhPyspjP43nWQ0Zo63x4wY1CMagw3bsDZ2ujNXTWuDKRkcNL&#10;H5L5bBBA2IcCo1pJ6OWBSDTJgWZAHrKB4xd2vCo16qDeyex8AtUQmOsa5glCZcEbr5vE5I0U7FJI&#10;Ga941+zW0iEggElK30DxR1pk2RDf9nkMot4CZ/aapfFrOWHPNUPhZMF8Da8Ox2IUZxhJDo80Rikz&#10;ECHvM4MTRDfyH9kgUGrwMratb1SMdoadUv/SPgxVcnt4AHFqf1+n2/ePfvU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YDxpDdQAAAAFAQAADwAAAAAAAAABACAAAAAiAAAAZHJzL2Rvd25yZXYueG1s&#10;UEsBAhQAFAAAAAgAh07iQNSbE181AgAAPAQAAA4AAAAAAAAAAQAgAAAAIwEAAGRycy9lMm9Eb2Mu&#10;eG1sUEsFBgAAAAAGAAYAWQEAAMoFAAAAAA==&#10;" adj="10828">
                        <v:fill on="f" focussize="0,0"/>
                        <v:stroke weight="1.25pt" color="#000000" joinstyle="round" dashstyle="dash" endarrow="block"/>
                        <v:imagedata o:title=""/>
                        <o:lock v:ext="edit" aspectratio="f"/>
                      </v:shape>
                      <v:rect id="_x0000_s1026" o:spid="_x0000_s1026" o:spt="1" style="position:absolute;left:2174416;top:2009423;height:276225;width:1231900;" filled="f" stroked="f" coordsize="21600,21600" o:gfxdata="UEsDBAoAAAAAAIdO4kAAAAAAAAAAAAAAAAAEAAAAZHJzL1BLAwQUAAAACACHTuJAXzIH9NcAAAAF&#10;AQAADwAAAGRycy9kb3ducmV2LnhtbE2PQUvDQBCF74L/YRnBi9jdKmlLzKSHglhEKE1tz9vsmASz&#10;s2l2m9R/7+pFLwOP93jvm2x5sa0YqPeNY4TpRIEgLp1puEJ43z3fL0D4oNno1jEhfJGHZX59lenU&#10;uJG3NBShErGEfaoR6hC6VEpf1mS1n7iOOHofrrc6RNlX0vR6jOW2lQ9KzaTVDceFWne0qqn8LM4W&#10;YSw3w2H39iI3d4e149P6tCr2r4i3N1P1BCLQJfyF4Qc/okMemY7uzMaLFiE+En5v9OazxzmII0KS&#10;JApknsn/9Pk3UEsDBBQAAAAIAIdO4kBrGuiqrQEAAEYDAAAOAAAAZHJzL2Uyb0RvYy54bWytUktu&#10;2zAU3BfoHQjua0qKayeC5WyMZBO0AdIcgKZIiwB/4KMt+TQFuushepyi1+ijpHyQbrLohnyPHMyb&#10;GXJzPVhDTjKC9q6h5aKgRDrhW+0ODX38dvPpkhJI3LXceCcbepZAr7cfP2z6UMvKd960MhIkcVD3&#10;oaFdSqFmDEQnLYeFD9LhpfLR8oRtPLA28h7ZrWFVUaxY72MbohcSAE930yWdGeN7CL1SWsidF0cr&#10;XZpYozQ8oSXodAC6HdUqJUX6qhTIRExD0WkaVxyC9T6vbLvh9SHy0GkxS+DvkfDGk+Xa4dBnqh1P&#10;nByj/ofKahE9eJUWwls2GRkTQRdl8Sabh44HOXrBqCE8hw7/j1Z8Od1Holv8CZdrShy3+OR/vv/8&#10;/esHySeYTx+gRthDuI9zB1hms4OKNu9ogwwNrcr1clmuKDljXRRXy+piylcOiQgElNVFeVVg9CIj&#10;1quq+pwB7IUpREi30luSi4ZGfL8xVn66gzRBnyB5sHF5df5GGzPd5hOWFU8ac5WG/TAL3/v2jHaP&#10;IepDh/zlOD6DMN5RyPwV8vu97kfSl++//Q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fMgf01wAA&#10;AAUBAAAPAAAAAAAAAAEAIAAAACIAAABkcnMvZG93bnJldi54bWxQSwECFAAUAAAACACHTuJAaxro&#10;qq0BAABGAwAADgAAAAAAAAABACAAAAAmAQAAZHJzL2Uyb0RvYy54bWxQSwUGAAAAAAYABgBZAQAA&#10;RQUAAAAA&#10;">
                        <v:fill on="f" focussize="0,0"/>
                        <v:stroke on="f"/>
                        <v:imagedata o:title=""/>
                        <o:lock v:ext="edit" aspectratio="f"/>
                        <v:textbox>
                          <w:txbxContent>
                            <w:p>
                              <w:r>
                                <w:rPr>
                                  <w:rFonts w:hint="eastAsia"/>
                                </w:rPr>
                                <w:t>蒸发损耗</w:t>
                              </w:r>
                              <w:r>
                                <w:t>0.240</w:t>
                              </w:r>
                            </w:p>
                          </w:txbxContent>
                        </v:textbox>
                      </v:rect>
                      <w10:wrap type="none"/>
                      <w10:anchorlock/>
                    </v:group>
                  </w:pict>
                </mc:Fallback>
              </mc:AlternateContent>
            </w:r>
          </w:p>
          <w:p>
            <w:pPr>
              <w:pStyle w:val="47"/>
              <w:spacing w:line="360" w:lineRule="auto"/>
              <w:jc w:val="center"/>
              <w:rPr>
                <w:rFonts w:ascii="Times New Roman"/>
                <w:b/>
                <w:bCs/>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图2-1</w:t>
            </w:r>
            <w:r>
              <w:rPr>
                <w:rFonts w:hint="eastAsia" w:ascii="Times New Roman"/>
                <w:b/>
                <w:color w:val="000000" w:themeColor="text1"/>
                <w:sz w:val="21"/>
                <w:szCs w:val="21"/>
                <w14:textFill>
                  <w14:solidFill>
                    <w14:schemeClr w14:val="tx1"/>
                  </w14:solidFill>
                </w14:textFill>
              </w:rPr>
              <w:t xml:space="preserve"> 项目水平衡图</w:t>
            </w:r>
            <w:r>
              <w:rPr>
                <w:rFonts w:ascii="Times New Roman"/>
                <w:b/>
                <w:bCs/>
                <w:color w:val="000000" w:themeColor="text1"/>
                <w:sz w:val="21"/>
                <w:szCs w:val="21"/>
                <w14:textFill>
                  <w14:solidFill>
                    <w14:schemeClr w14:val="tx1"/>
                  </w14:solidFill>
                </w14:textFill>
              </w:rPr>
              <w:t>（</w:t>
            </w:r>
            <w:r>
              <w:rPr>
                <w:rFonts w:hint="eastAsia" w:ascii="Times New Roman"/>
                <w:b/>
                <w:bCs/>
                <w:color w:val="000000" w:themeColor="text1"/>
                <w:sz w:val="21"/>
                <w:szCs w:val="21"/>
                <w14:textFill>
                  <w14:solidFill>
                    <w14:schemeClr w14:val="tx1"/>
                  </w14:solidFill>
                </w14:textFill>
              </w:rPr>
              <w:t>t/d</w:t>
            </w:r>
            <w:r>
              <w:rPr>
                <w:rFonts w:ascii="Times New Roman"/>
                <w:b/>
                <w:bCs/>
                <w:color w:val="000000" w:themeColor="text1"/>
                <w:sz w:val="21"/>
                <w:szCs w:val="21"/>
                <w14:textFill>
                  <w14:solidFill>
                    <w14:schemeClr w14:val="tx1"/>
                  </w14:solidFill>
                </w14:textFill>
              </w:rPr>
              <w:t>）</w:t>
            </w:r>
          </w:p>
          <w:p/>
          <w:p/>
          <w:p>
            <w:pPr>
              <w:pStyle w:val="2"/>
            </w:pPr>
          </w:p>
          <w:p/>
          <w:p>
            <w:pPr>
              <w:pStyle w:val="2"/>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3685" w:hRule="atLeast"/>
          <w:jc w:val="center"/>
        </w:trPr>
        <w:tc>
          <w:tcPr>
            <w:tcW w:w="699" w:type="dxa"/>
            <w:vAlign w:val="center"/>
          </w:tcPr>
          <w:p>
            <w:pPr>
              <w:pStyle w:val="34"/>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工艺流程和产排污环节</w:t>
            </w:r>
          </w:p>
        </w:tc>
        <w:tc>
          <w:tcPr>
            <w:tcW w:w="8285" w:type="dxa"/>
          </w:tcPr>
          <w:p>
            <w:pPr>
              <w:numPr>
                <w:ilvl w:val="0"/>
                <w:numId w:val="13"/>
              </w:numPr>
              <w:spacing w:line="360" w:lineRule="auto"/>
              <w:ind w:firstLine="482" w:firstLineChars="200"/>
              <w:jc w:val="left"/>
              <w:rPr>
                <w:b/>
                <w:color w:val="000000" w:themeColor="text1"/>
                <w:sz w:val="24"/>
                <w14:textFill>
                  <w14:solidFill>
                    <w14:schemeClr w14:val="tx1"/>
                  </w14:solidFill>
                </w14:textFill>
              </w:rPr>
            </w:pPr>
            <w:r>
              <w:rPr>
                <w:b/>
                <w:color w:val="000000" w:themeColor="text1"/>
                <w:sz w:val="24"/>
                <w14:textFill>
                  <w14:solidFill>
                    <w14:schemeClr w14:val="tx1"/>
                  </w14:solidFill>
                </w14:textFill>
              </w:rPr>
              <w:t>运营期工艺流程</w:t>
            </w:r>
          </w:p>
          <w:p>
            <w:pPr>
              <w:pStyle w:val="47"/>
              <w:jc w:val="center"/>
              <w:rPr>
                <w:color w:val="000000" w:themeColor="text1"/>
                <w14:textFill>
                  <w14:solidFill>
                    <w14:schemeClr w14:val="tx1"/>
                  </w14:solidFill>
                </w14:textFill>
              </w:rPr>
            </w:pPr>
            <w:r>
              <w:drawing>
                <wp:inline distT="0" distB="0" distL="0" distR="0">
                  <wp:extent cx="5140960" cy="1588135"/>
                  <wp:effectExtent l="0" t="0" r="254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3"/>
                          <pic:cNvPicPr>
                            <a:picLocks noChangeAspect="1"/>
                          </pic:cNvPicPr>
                        </pic:nvPicPr>
                        <pic:blipFill>
                          <a:blip r:embed="rId23"/>
                          <a:stretch>
                            <a:fillRect/>
                          </a:stretch>
                        </pic:blipFill>
                        <pic:spPr>
                          <a:xfrm>
                            <a:off x="0" y="0"/>
                            <a:ext cx="5152492" cy="1591762"/>
                          </a:xfrm>
                          <a:prstGeom prst="rect">
                            <a:avLst/>
                          </a:prstGeom>
                        </pic:spPr>
                      </pic:pic>
                    </a:graphicData>
                  </a:graphic>
                </wp:inline>
              </w:drawing>
            </w:r>
          </w:p>
          <w:p>
            <w:r>
              <w:rPr>
                <w:rFonts w:hint="eastAsia"/>
              </w:rPr>
              <w:t>（注：G</w:t>
            </w:r>
            <w:r>
              <w:t>1</w:t>
            </w:r>
            <w:r>
              <w:rPr>
                <w:rFonts w:hint="eastAsia"/>
              </w:rPr>
              <w:t>：木屑粉尘；G</w:t>
            </w:r>
            <w:r>
              <w:t>2</w:t>
            </w:r>
            <w:r>
              <w:rPr>
                <w:rFonts w:hint="eastAsia"/>
              </w:rPr>
              <w:t>：有机废气；G</w:t>
            </w:r>
            <w:r>
              <w:t>3</w:t>
            </w:r>
            <w:r>
              <w:rPr>
                <w:rFonts w:hint="eastAsia"/>
              </w:rPr>
              <w:t>：漆雾；G</w:t>
            </w:r>
            <w:r>
              <w:t>4</w:t>
            </w:r>
            <w:r>
              <w:rPr>
                <w:rFonts w:hint="eastAsia"/>
              </w:rPr>
              <w:t>：金属粉尘；G</w:t>
            </w:r>
            <w:r>
              <w:t>5</w:t>
            </w:r>
            <w:r>
              <w:rPr>
                <w:rFonts w:hint="eastAsia"/>
              </w:rPr>
              <w:t>：焊接烟尘；S</w:t>
            </w:r>
            <w:r>
              <w:t>1</w:t>
            </w:r>
            <w:r>
              <w:rPr>
                <w:rFonts w:hint="eastAsia"/>
              </w:rPr>
              <w:t>：木材边角料；S</w:t>
            </w:r>
            <w:r>
              <w:t>2</w:t>
            </w:r>
            <w:r>
              <w:rPr>
                <w:rFonts w:hint="eastAsia"/>
              </w:rPr>
              <w:t>：废包装桶；S</w:t>
            </w:r>
            <w:r>
              <w:t>3</w:t>
            </w:r>
            <w:r>
              <w:rPr>
                <w:rFonts w:hint="eastAsia"/>
              </w:rPr>
              <w:t>：喷枪清洗废水；S</w:t>
            </w:r>
            <w:r>
              <w:t>4</w:t>
            </w:r>
            <w:r>
              <w:rPr>
                <w:rFonts w:hint="eastAsia"/>
              </w:rPr>
              <w:t>：漆渣；S</w:t>
            </w:r>
            <w:r>
              <w:t>5</w:t>
            </w:r>
            <w:r>
              <w:rPr>
                <w:rFonts w:hint="eastAsia"/>
              </w:rPr>
              <w:t>：金属边角料；S</w:t>
            </w:r>
            <w:r>
              <w:t>6</w:t>
            </w:r>
            <w:r>
              <w:rPr>
                <w:rFonts w:hint="eastAsia"/>
              </w:rPr>
              <w:t>：废包装材料；；N：噪声）</w:t>
            </w:r>
          </w:p>
          <w:p>
            <w:pPr>
              <w:spacing w:line="360" w:lineRule="auto"/>
              <w:jc w:val="center"/>
              <w:rPr>
                <w:color w:val="000000" w:themeColor="text1"/>
                <w14:textFill>
                  <w14:solidFill>
                    <w14:schemeClr w14:val="tx1"/>
                  </w14:solidFill>
                </w14:textFill>
              </w:rPr>
            </w:pPr>
            <w:r>
              <w:rPr>
                <w:b/>
                <w:color w:val="000000" w:themeColor="text1"/>
                <w:szCs w:val="21"/>
                <w14:textFill>
                  <w14:solidFill>
                    <w14:schemeClr w14:val="tx1"/>
                  </w14:solidFill>
                </w14:textFill>
              </w:rPr>
              <w:t>图2-</w:t>
            </w:r>
            <w:r>
              <w:rPr>
                <w:rFonts w:hint="eastAsia"/>
                <w:b/>
                <w:color w:val="000000" w:themeColor="text1"/>
                <w:szCs w:val="21"/>
                <w14:textFill>
                  <w14:solidFill>
                    <w14:schemeClr w14:val="tx1"/>
                  </w14:solidFill>
                </w14:textFill>
              </w:rPr>
              <w:t>2</w:t>
            </w: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本项目木制品生产</w:t>
            </w:r>
            <w:r>
              <w:rPr>
                <w:b/>
                <w:color w:val="000000" w:themeColor="text1"/>
                <w:szCs w:val="21"/>
                <w14:textFill>
                  <w14:solidFill>
                    <w14:schemeClr w14:val="tx1"/>
                  </w14:solidFill>
                </w14:textFill>
              </w:rPr>
              <w:t>工艺流程及产污环节图</w:t>
            </w:r>
          </w:p>
          <w:p>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2、工艺简述</w:t>
            </w:r>
          </w:p>
          <w:p>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开料：</w:t>
            </w:r>
            <w:r>
              <w:rPr>
                <w:rFonts w:hint="eastAsia"/>
                <w:bCs/>
                <w:color w:val="000000" w:themeColor="text1"/>
                <w:sz w:val="24"/>
                <w14:textFill>
                  <w14:solidFill>
                    <w14:schemeClr w14:val="tx1"/>
                  </w14:solidFill>
                </w14:textFill>
              </w:rPr>
              <w:t>使用开料机对外购回来的板材进行开料，得到需要的形状大小。该工序产生木屑粉尘、木材边角料及噪声。</w:t>
            </w:r>
          </w:p>
          <w:p>
            <w:pPr>
              <w:spacing w:line="360" w:lineRule="auto"/>
              <w:ind w:firstLine="482" w:firstLineChars="200"/>
            </w:pPr>
            <w:r>
              <w:rPr>
                <w:rFonts w:hint="eastAsia"/>
                <w:b/>
                <w:color w:val="000000" w:themeColor="text1"/>
                <w:sz w:val="24"/>
                <w14:textFill>
                  <w14:solidFill>
                    <w14:schemeClr w14:val="tx1"/>
                  </w14:solidFill>
                </w14:textFill>
              </w:rPr>
              <w:t>雕刻：</w:t>
            </w:r>
            <w:r>
              <w:rPr>
                <w:rFonts w:hint="eastAsia"/>
                <w:bCs/>
                <w:color w:val="000000" w:themeColor="text1"/>
                <w:sz w:val="24"/>
                <w14:textFill>
                  <w14:solidFill>
                    <w14:schemeClr w14:val="tx1"/>
                  </w14:solidFill>
                </w14:textFill>
              </w:rPr>
              <w:t>使用雕刻机对开料后的工件进行雕刻图案，该工序产生木屑粉尘和噪声。</w:t>
            </w:r>
          </w:p>
          <w:p>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打磨：</w:t>
            </w:r>
            <w:r>
              <w:rPr>
                <w:rFonts w:hint="eastAsia"/>
                <w:bCs/>
                <w:color w:val="000000" w:themeColor="text1"/>
                <w:sz w:val="24"/>
                <w14:textFill>
                  <w14:solidFill>
                    <w14:schemeClr w14:val="tx1"/>
                  </w14:solidFill>
                </w14:textFill>
              </w:rPr>
              <w:t>使用打磨机对雕刻后的工件进行打磨，使工件表面光滑，故该工序产生木屑粉尘和噪声。</w:t>
            </w:r>
          </w:p>
          <w:p>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切割：</w:t>
            </w:r>
            <w:r>
              <w:rPr>
                <w:rFonts w:hint="eastAsia"/>
                <w:bCs/>
                <w:color w:val="000000" w:themeColor="text1"/>
                <w:sz w:val="24"/>
                <w14:textFill>
                  <w14:solidFill>
                    <w14:schemeClr w14:val="tx1"/>
                  </w14:solidFill>
                </w14:textFill>
              </w:rPr>
              <w:t>使用切割机对外购回来的铁管进行切割，得到需要的形状大小。该工序产生金属边角料、金属粉尘和噪声。</w:t>
            </w:r>
          </w:p>
          <w:p>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焊接：</w:t>
            </w:r>
            <w:r>
              <w:rPr>
                <w:rFonts w:hint="eastAsia"/>
                <w:bCs/>
                <w:color w:val="000000" w:themeColor="text1"/>
                <w:sz w:val="24"/>
                <w14:textFill>
                  <w14:solidFill>
                    <w14:schemeClr w14:val="tx1"/>
                  </w14:solidFill>
                </w14:textFill>
              </w:rPr>
              <w:t>使用电焊机对切割后的金属工件进行焊接，该工序产生少量焊接烟尘和噪声。</w:t>
            </w:r>
          </w:p>
          <w:p>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调漆：</w:t>
            </w:r>
            <w:r>
              <w:rPr>
                <w:rFonts w:hint="eastAsia"/>
                <w:bCs/>
                <w:color w:val="000000" w:themeColor="text1"/>
                <w:sz w:val="24"/>
                <w14:textFill>
                  <w14:solidFill>
                    <w14:schemeClr w14:val="tx1"/>
                  </w14:solidFill>
                </w14:textFill>
              </w:rPr>
              <w:t>将外购回来的水性油漆按照所需的比例进行调漆，该工序产生有机废气（主要成分为总</w:t>
            </w:r>
            <w:r>
              <w:rPr>
                <w:bCs/>
                <w:color w:val="000000" w:themeColor="text1"/>
                <w:sz w:val="24"/>
                <w14:textFill>
                  <w14:solidFill>
                    <w14:schemeClr w14:val="tx1"/>
                  </w14:solidFill>
                </w14:textFill>
              </w:rPr>
              <w:t>VOC</w:t>
            </w:r>
            <w:r>
              <w:rPr>
                <w:rFonts w:hint="eastAsia"/>
                <w:bCs/>
                <w:color w:val="000000" w:themeColor="text1"/>
                <w:sz w:val="24"/>
                <w14:textFill>
                  <w14:solidFill>
                    <w14:schemeClr w14:val="tx1"/>
                  </w14:solidFill>
                </w14:textFill>
              </w:rPr>
              <w:t>s），废油漆罐。</w:t>
            </w:r>
          </w:p>
          <w:p>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喷漆：</w:t>
            </w:r>
            <w:r>
              <w:rPr>
                <w:rFonts w:hint="eastAsia"/>
                <w:bCs/>
                <w:color w:val="000000" w:themeColor="text1"/>
                <w:sz w:val="24"/>
                <w14:textFill>
                  <w14:solidFill>
                    <w14:schemeClr w14:val="tx1"/>
                  </w14:solidFill>
                </w14:textFill>
              </w:rPr>
              <w:t>将打磨后的工件放入水帘柜内进行喷漆，项目使用水性油漆进行喷漆过程中会产生少量有机废气（主要成分为总VOCs)。该工序产生少量有机废气（主要成分为总VOCs）、水帘柜更换废水、废漆渣和噪声。</w:t>
            </w:r>
          </w:p>
          <w:p>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晾干：</w:t>
            </w:r>
            <w:r>
              <w:rPr>
                <w:rFonts w:hint="eastAsia"/>
                <w:bCs/>
                <w:color w:val="000000" w:themeColor="text1"/>
                <w:sz w:val="24"/>
                <w14:textFill>
                  <w14:solidFill>
                    <w14:schemeClr w14:val="tx1"/>
                  </w14:solidFill>
                </w14:textFill>
              </w:rPr>
              <w:t>项目将喷漆后的工件放在车间内自然风干，该工序产生少量有机废气（主要成分为总VOCs）。</w:t>
            </w:r>
          </w:p>
          <w:p>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组装：</w:t>
            </w:r>
            <w:r>
              <w:rPr>
                <w:rFonts w:hint="eastAsia"/>
                <w:bCs/>
                <w:color w:val="000000" w:themeColor="text1"/>
                <w:sz w:val="24"/>
                <w14:textFill>
                  <w14:solidFill>
                    <w14:schemeClr w14:val="tx1"/>
                  </w14:solidFill>
                </w14:textFill>
              </w:rPr>
              <w:t>使用钉枪对晾干的工件与焊接后的工件及外购回来的亚克力板进行组装，组装过程不使用胶水等粘合剂，故不会产生有机废气，该工序产生噪声。</w:t>
            </w:r>
          </w:p>
          <w:p>
            <w:pPr>
              <w:spacing w:line="360" w:lineRule="auto"/>
              <w:ind w:firstLine="482" w:firstLineChars="200"/>
              <w:rPr>
                <w:bCs/>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包装出货：</w:t>
            </w:r>
            <w:r>
              <w:rPr>
                <w:rFonts w:hint="eastAsia"/>
                <w:bCs/>
                <w:color w:val="000000" w:themeColor="text1"/>
                <w:sz w:val="24"/>
                <w14:textFill>
                  <w14:solidFill>
                    <w14:schemeClr w14:val="tx1"/>
                  </w14:solidFill>
                </w14:textFill>
              </w:rPr>
              <w:t>项目产品经打包后即可出货，该工序产生废包装材料。</w:t>
            </w:r>
          </w:p>
          <w:p>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3、污染源识别</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根据前文工艺流程，本项目的污染源识别汇总见下表：</w:t>
            </w:r>
          </w:p>
          <w:p>
            <w:pPr>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表2-8  污染源识别汇总表</w:t>
            </w:r>
          </w:p>
          <w:tbl>
            <w:tblPr>
              <w:tblStyle w:val="3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7"/>
              <w:gridCol w:w="1982"/>
              <w:gridCol w:w="1533"/>
              <w:gridCol w:w="1384"/>
              <w:gridCol w:w="2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0" w:type="auto"/>
                  <w:vAlign w:val="center"/>
                </w:tcPr>
                <w:p>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污染因素</w:t>
                  </w:r>
                </w:p>
              </w:tc>
              <w:tc>
                <w:tcPr>
                  <w:tcW w:w="0" w:type="auto"/>
                  <w:vAlign w:val="center"/>
                </w:tcPr>
                <w:p>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名称</w:t>
                  </w:r>
                </w:p>
              </w:tc>
              <w:tc>
                <w:tcPr>
                  <w:tcW w:w="0" w:type="auto"/>
                  <w:vAlign w:val="center"/>
                </w:tcPr>
                <w:p>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产污环节</w:t>
                  </w:r>
                </w:p>
              </w:tc>
              <w:tc>
                <w:tcPr>
                  <w:tcW w:w="0" w:type="auto"/>
                  <w:vAlign w:val="center"/>
                </w:tcPr>
                <w:p>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排放特性/性质</w:t>
                  </w:r>
                </w:p>
              </w:tc>
              <w:tc>
                <w:tcPr>
                  <w:tcW w:w="0" w:type="auto"/>
                  <w:vAlign w:val="center"/>
                </w:tcPr>
                <w:p>
                  <w:pPr>
                    <w:adjustRightInd w:val="0"/>
                    <w:snapToGrid w:val="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0" w:type="auto"/>
                  <w:vAlign w:val="center"/>
                </w:tcPr>
                <w:p>
                  <w:pPr>
                    <w:adjustRightInd w:val="0"/>
                    <w:snapToGrid w:val="0"/>
                    <w:jc w:val="center"/>
                    <w:rPr>
                      <w:b/>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废水</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员工生活</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间歇排放</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COD</w:t>
                  </w:r>
                  <w:r>
                    <w:rPr>
                      <w:rFonts w:hint="eastAsia"/>
                      <w:color w:val="000000" w:themeColor="text1"/>
                      <w:szCs w:val="21"/>
                      <w:vertAlign w:val="subscript"/>
                      <w14:textFill>
                        <w14:solidFill>
                          <w14:schemeClr w14:val="tx1"/>
                        </w14:solidFill>
                      </w14:textFill>
                    </w:rPr>
                    <w:t>Cr</w:t>
                  </w:r>
                  <w:r>
                    <w:rPr>
                      <w:rFonts w:hint="eastAsia"/>
                      <w:color w:val="000000" w:themeColor="text1"/>
                      <w:szCs w:val="21"/>
                      <w14:textFill>
                        <w14:solidFill>
                          <w14:schemeClr w14:val="tx1"/>
                        </w14:solidFill>
                      </w14:textFill>
                    </w:rPr>
                    <w:t>、BOD</w:t>
                  </w:r>
                  <w:r>
                    <w:rPr>
                      <w:rFonts w:hint="eastAsia"/>
                      <w:color w:val="000000" w:themeColor="text1"/>
                      <w:szCs w:val="21"/>
                      <w:vertAlign w:val="subscript"/>
                      <w14:textFill>
                        <w14:solidFill>
                          <w14:schemeClr w14:val="tx1"/>
                        </w14:solidFill>
                      </w14:textFill>
                    </w:rPr>
                    <w:t>5</w:t>
                  </w:r>
                  <w:r>
                    <w:rPr>
                      <w:rFonts w:hint="eastAsia"/>
                      <w:color w:val="000000" w:themeColor="text1"/>
                      <w:szCs w:val="21"/>
                      <w14:textFill>
                        <w14:solidFill>
                          <w14:schemeClr w14:val="tx1"/>
                        </w14:solidFill>
                      </w14:textFill>
                    </w:rPr>
                    <w:t>、SS、NH</w:t>
                  </w:r>
                  <w:r>
                    <w:rPr>
                      <w:rFonts w:hint="eastAsia"/>
                      <w:color w:val="000000" w:themeColor="text1"/>
                      <w:szCs w:val="21"/>
                      <w:vertAlign w:val="subscript"/>
                      <w14:textFill>
                        <w14:solidFill>
                          <w14:schemeClr w14:val="tx1"/>
                        </w14:solidFill>
                      </w14:textFill>
                    </w:rPr>
                    <w:t>3</w:t>
                  </w:r>
                  <w:r>
                    <w:rPr>
                      <w:rFonts w:hint="eastAsia"/>
                      <w:color w:val="000000" w:themeColor="text1"/>
                      <w:szCs w:val="21"/>
                      <w14:textFill>
                        <w14:solidFill>
                          <w14:schemeClr w14:val="tx1"/>
                        </w14:solidFill>
                      </w14:textFill>
                    </w:rPr>
                    <w:t>-N、TN、TP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restar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木屑粉尘</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开料、雕刻、打磨</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有组织、无组织</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b/>
                      <w:bCs/>
                      <w:color w:val="000000" w:themeColor="text1"/>
                      <w:szCs w:val="21"/>
                      <w14:textFill>
                        <w14:solidFill>
                          <w14:schemeClr w14:val="tx1"/>
                        </w14:solidFill>
                      </w14:textFill>
                    </w:rPr>
                  </w:pP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有机废气</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调漆、晾干</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有组织、无组织</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总VOCs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b/>
                      <w:bCs/>
                      <w:color w:val="000000" w:themeColor="text1"/>
                      <w:szCs w:val="21"/>
                      <w14:textFill>
                        <w14:solidFill>
                          <w14:schemeClr w14:val="tx1"/>
                        </w14:solidFill>
                      </w14:textFill>
                    </w:rPr>
                  </w:pP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有机废气、漆雾</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喷涂</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有组织、无组织</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总VOCs</w:t>
                  </w:r>
                  <w:r>
                    <w:rPr>
                      <w:rFonts w:hint="eastAsia"/>
                      <w:color w:val="000000" w:themeColor="text1"/>
                      <w:szCs w:val="21"/>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b/>
                      <w:bCs/>
                      <w:color w:val="000000" w:themeColor="text1"/>
                      <w:szCs w:val="21"/>
                      <w14:textFill>
                        <w14:solidFill>
                          <w14:schemeClr w14:val="tx1"/>
                        </w14:solidFill>
                      </w14:textFill>
                    </w:rPr>
                  </w:pP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金属粉尘</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切割</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有组织、无组织</w:t>
                  </w:r>
                </w:p>
              </w:tc>
              <w:tc>
                <w:tcPr>
                  <w:tcW w:w="0" w:type="auto"/>
                  <w:vAlign w:val="center"/>
                </w:tcPr>
                <w:p>
                  <w:pPr>
                    <w:adjustRightInd w:val="0"/>
                    <w:snapToGrid w:val="0"/>
                    <w:jc w:val="center"/>
                    <w:rPr>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b/>
                      <w:bCs/>
                      <w:color w:val="000000" w:themeColor="text1"/>
                      <w:szCs w:val="21"/>
                      <w14:textFill>
                        <w14:solidFill>
                          <w14:schemeClr w14:val="tx1"/>
                        </w14:solidFill>
                      </w14:textFill>
                    </w:rPr>
                  </w:pP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焊接烟尘</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焊接</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有组织、无组织</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b/>
                      <w:bCs/>
                      <w:color w:val="000000" w:themeColor="text1"/>
                      <w:szCs w:val="21"/>
                      <w14:textFill>
                        <w14:solidFill>
                          <w14:schemeClr w14:val="tx1"/>
                        </w14:solidFill>
                      </w14:textFill>
                    </w:rPr>
                  </w:pP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油烟废气</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员工食堂</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油烟废气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restar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固废</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废机油</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设备维护</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废机油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废含油抹布</w:t>
                  </w:r>
                  <w:r>
                    <w:rPr>
                      <w:rFonts w:hint="eastAsia"/>
                      <w:color w:val="000000" w:themeColor="text1"/>
                      <w:szCs w:val="21"/>
                      <w14:textFill>
                        <w14:solidFill>
                          <w14:schemeClr w14:val="tx1"/>
                        </w14:solidFill>
                      </w14:textFill>
                    </w:rPr>
                    <w:t>及</w:t>
                  </w:r>
                  <w:r>
                    <w:rPr>
                      <w:color w:val="000000" w:themeColor="text1"/>
                      <w:szCs w:val="21"/>
                      <w14:textFill>
                        <w14:solidFill>
                          <w14:schemeClr w14:val="tx1"/>
                        </w14:solidFill>
                      </w14:textFill>
                    </w:rPr>
                    <w:t>手套</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设备维护</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0" w:type="auto"/>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废含油</w:t>
                  </w:r>
                  <w:r>
                    <w:rPr>
                      <w:rFonts w:hint="eastAsia"/>
                      <w:color w:val="000000" w:themeColor="text1"/>
                      <w:szCs w:val="21"/>
                      <w14:textFill>
                        <w14:solidFill>
                          <w14:schemeClr w14:val="tx1"/>
                        </w14:solidFill>
                      </w14:textFill>
                    </w:rPr>
                    <w:t>与油漆的</w:t>
                  </w:r>
                  <w:r>
                    <w:rPr>
                      <w:color w:val="000000" w:themeColor="text1"/>
                      <w:szCs w:val="21"/>
                      <w14:textFill>
                        <w14:solidFill>
                          <w14:schemeClr w14:val="tx1"/>
                        </w14:solidFill>
                      </w14:textFill>
                    </w:rPr>
                    <w:t>抹布手套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废机油桶</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设备维护</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0" w:type="auto"/>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废机油包装桶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废活性炭</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废气处理设施</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废活性炭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水帘柜与喷淋塔更换废水</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废气处理设施</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水帘柜、喷淋废水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喷枪清洗废水</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喷枪清洗废水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废包装桶</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调漆</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废包装桶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漆渣</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喷漆</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漆渣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木材边角料</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开料雕刻</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一般固体废物</w:t>
                  </w: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木材边角料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金属边角料</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切割</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一般固体废物</w:t>
                  </w: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金属边角料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废抹布</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清洁</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一般固体废物</w:t>
                  </w: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废抹布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废包</w:t>
                  </w:r>
                  <w:r>
                    <w:rPr>
                      <w:rFonts w:hint="eastAsia"/>
                      <w:color w:val="000000" w:themeColor="text1"/>
                      <w:szCs w:val="21"/>
                      <w14:textFill>
                        <w14:solidFill>
                          <w14:schemeClr w14:val="tx1"/>
                        </w14:solidFill>
                      </w14:textFill>
                    </w:rPr>
                    <w:t>废物</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贴标、包装</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一般固体废物</w:t>
                  </w:r>
                </w:p>
              </w:tc>
              <w:tc>
                <w:tcPr>
                  <w:tcW w:w="0" w:type="auto"/>
                  <w:vAlign w:val="center"/>
                </w:tcPr>
                <w:p>
                  <w:pPr>
                    <w:wordWrap w:val="0"/>
                    <w:autoSpaceDE w:val="0"/>
                    <w:autoSpaceDN w:val="0"/>
                    <w:adjustRightInd w:val="0"/>
                    <w:snapToGrid w:val="0"/>
                    <w:jc w:val="center"/>
                    <w:textAlignment w:val="baseline"/>
                    <w:rPr>
                      <w:color w:val="000000" w:themeColor="text1"/>
                      <w:szCs w:val="21"/>
                      <w14:textFill>
                        <w14:solidFill>
                          <w14:schemeClr w14:val="tx1"/>
                        </w14:solidFill>
                      </w14:textFill>
                    </w:rPr>
                  </w:pPr>
                  <w:r>
                    <w:rPr>
                      <w:color w:val="000000" w:themeColor="text1"/>
                      <w:szCs w:val="21"/>
                      <w14:textFill>
                        <w14:solidFill>
                          <w14:schemeClr w14:val="tx1"/>
                        </w14:solidFill>
                      </w14:textFill>
                    </w:rPr>
                    <w:t>废包</w:t>
                  </w:r>
                  <w:r>
                    <w:rPr>
                      <w:rFonts w:hint="eastAsia"/>
                      <w:color w:val="000000" w:themeColor="text1"/>
                      <w:szCs w:val="21"/>
                      <w14:textFill>
                        <w14:solidFill>
                          <w14:schemeClr w14:val="tx1"/>
                        </w14:solidFill>
                      </w14:textFill>
                    </w:rPr>
                    <w:t>废物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vAlign w:val="center"/>
                </w:tcPr>
                <w:p>
                  <w:pPr>
                    <w:adjustRightInd w:val="0"/>
                    <w:snapToGrid w:val="0"/>
                    <w:jc w:val="center"/>
                    <w:rPr>
                      <w:color w:val="000000" w:themeColor="text1"/>
                      <w:szCs w:val="21"/>
                      <w14:textFill>
                        <w14:solidFill>
                          <w14:schemeClr w14:val="tx1"/>
                        </w14:solidFill>
                      </w14:textFill>
                    </w:rPr>
                  </w:pP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办公生活</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一般固体废物</w:t>
                  </w:r>
                </w:p>
              </w:tc>
              <w:tc>
                <w:tcPr>
                  <w:tcW w:w="0" w:type="auto"/>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Align w:val="center"/>
                </w:tcPr>
                <w:p>
                  <w:pPr>
                    <w:adjustRightInd w:val="0"/>
                    <w:snapToGrid w:val="0"/>
                    <w:jc w:val="center"/>
                    <w:rPr>
                      <w:b/>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噪声</w:t>
                  </w:r>
                </w:p>
              </w:tc>
              <w:tc>
                <w:tcPr>
                  <w:tcW w:w="0" w:type="auto"/>
                  <w:gridSpan w:val="4"/>
                  <w:vAlign w:val="center"/>
                </w:tcPr>
                <w:p>
                  <w:pPr>
                    <w:adjustRightInd w:val="0"/>
                    <w:snapToGrid w:val="0"/>
                    <w:jc w:val="center"/>
                    <w:rPr>
                      <w:b/>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主要噪声源为生产设备，连续排放。</w:t>
                  </w:r>
                </w:p>
              </w:tc>
            </w:tr>
          </w:tbl>
          <w:p>
            <w:pPr>
              <w:pStyle w:val="2"/>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57" w:type="dxa"/>
            <w:bottom w:w="0" w:type="dxa"/>
            <w:right w:w="57" w:type="dxa"/>
          </w:tblCellMar>
        </w:tblPrEx>
        <w:trPr>
          <w:trHeight w:val="13323" w:hRule="atLeast"/>
          <w:jc w:val="center"/>
        </w:trPr>
        <w:tc>
          <w:tcPr>
            <w:tcW w:w="699" w:type="dxa"/>
            <w:vAlign w:val="center"/>
          </w:tcPr>
          <w:p>
            <w:pPr>
              <w:pStyle w:val="34"/>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与项目有关的原有环境污染问题</w:t>
            </w:r>
          </w:p>
        </w:tc>
        <w:tc>
          <w:tcPr>
            <w:tcW w:w="8285" w:type="dxa"/>
            <w:vAlign w:val="center"/>
          </w:tcPr>
          <w:p>
            <w:pPr>
              <w:spacing w:line="360" w:lineRule="auto"/>
              <w:ind w:firstLine="480" w:firstLineChars="200"/>
              <w:jc w:val="center"/>
              <w:rPr>
                <w:bCs/>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本项目属于新建项目，不存在原有环境污染问题。</w:t>
            </w:r>
          </w:p>
        </w:tc>
      </w:tr>
    </w:tbl>
    <w:p>
      <w:pPr>
        <w:jc w:val="center"/>
        <w:rPr>
          <w:color w:val="000000" w:themeColor="text1"/>
          <w:sz w:val="30"/>
          <w14:textFill>
            <w14:solidFill>
              <w14:schemeClr w14:val="tx1"/>
            </w14:solidFill>
          </w14:textFill>
        </w:rPr>
        <w:sectPr>
          <w:pgSz w:w="11906" w:h="16838"/>
          <w:pgMar w:top="1558" w:right="1418" w:bottom="1474" w:left="1418" w:header="851" w:footer="709" w:gutter="0"/>
          <w:cols w:space="720" w:num="1"/>
          <w:docGrid w:type="lines" w:linePitch="312" w:charSpace="0"/>
        </w:sectPr>
      </w:pPr>
    </w:p>
    <w:p>
      <w:pPr>
        <w:jc w:val="center"/>
        <w:outlineLvl w:val="0"/>
        <w:rPr>
          <w:rFonts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t>三</w:t>
      </w:r>
      <w:r>
        <w:rPr>
          <w:rFonts w:ascii="黑体" w:hAnsi="黑体" w:eastAsia="黑体"/>
          <w:color w:val="000000" w:themeColor="text1"/>
          <w:sz w:val="30"/>
          <w14:textFill>
            <w14:solidFill>
              <w14:schemeClr w14:val="tx1"/>
            </w14:solidFill>
          </w14:textFill>
        </w:rPr>
        <w:t>、区域环境质量现状、环境保护目标及评价标准</w:t>
      </w:r>
    </w:p>
    <w:tbl>
      <w:tblPr>
        <w:tblStyle w:val="39"/>
        <w:tblpPr w:leftFromText="180" w:rightFromText="180" w:vertAnchor="text" w:tblpXSpec="center" w:tblpY="1"/>
        <w:tblOverlap w:val="never"/>
        <w:tblW w:w="905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57" w:type="dxa"/>
          <w:left w:w="57" w:type="dxa"/>
          <w:bottom w:w="57" w:type="dxa"/>
          <w:right w:w="57" w:type="dxa"/>
        </w:tblCellMar>
      </w:tblPr>
      <w:tblGrid>
        <w:gridCol w:w="626"/>
        <w:gridCol w:w="842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1230" w:hRule="atLeast"/>
        </w:trPr>
        <w:tc>
          <w:tcPr>
            <w:tcW w:w="699" w:type="dxa"/>
            <w:vAlign w:val="center"/>
          </w:tcPr>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区域</w:t>
            </w:r>
          </w:p>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环境</w:t>
            </w:r>
          </w:p>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质量</w:t>
            </w:r>
          </w:p>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现状</w:t>
            </w:r>
          </w:p>
        </w:tc>
        <w:tc>
          <w:tcPr>
            <w:tcW w:w="8351" w:type="dxa"/>
            <w:vAlign w:val="center"/>
          </w:tcPr>
          <w:p>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1．</w:t>
            </w:r>
            <w:r>
              <w:rPr>
                <w:rFonts w:hint="eastAsia"/>
                <w:b/>
                <w:color w:val="000000" w:themeColor="text1"/>
                <w:sz w:val="24"/>
                <w14:textFill>
                  <w14:solidFill>
                    <w14:schemeClr w14:val="tx1"/>
                  </w14:solidFill>
                </w14:textFill>
              </w:rPr>
              <w:t>大气环境</w:t>
            </w:r>
          </w:p>
          <w:p>
            <w:pPr>
              <w:spacing w:line="360" w:lineRule="auto"/>
              <w:ind w:firstLine="462" w:firstLineChars="200"/>
              <w:rPr>
                <w:color w:val="000000" w:themeColor="text1"/>
                <w:spacing w:val="-5"/>
                <w:sz w:val="24"/>
                <w:szCs w:val="20"/>
                <w14:textFill>
                  <w14:solidFill>
                    <w14:schemeClr w14:val="tx1"/>
                  </w14:solidFill>
                </w14:textFill>
              </w:rPr>
            </w:pPr>
            <w:r>
              <w:rPr>
                <w:b/>
                <w:color w:val="000000" w:themeColor="text1"/>
                <w:spacing w:val="-5"/>
                <w:sz w:val="24"/>
                <w:szCs w:val="20"/>
                <w14:textFill>
                  <w14:solidFill>
                    <w14:schemeClr w14:val="tx1"/>
                  </w14:solidFill>
                </w14:textFill>
              </w:rPr>
              <w:t>（1）</w:t>
            </w:r>
            <w:r>
              <w:rPr>
                <w:b/>
                <w:bCs/>
                <w:color w:val="000000" w:themeColor="text1"/>
                <w:sz w:val="24"/>
                <w14:textFill>
                  <w14:solidFill>
                    <w14:schemeClr w14:val="tx1"/>
                  </w14:solidFill>
                </w14:textFill>
              </w:rPr>
              <w:t>区域环境空气质量达标情况</w:t>
            </w:r>
          </w:p>
          <w:p>
            <w:pPr>
              <w:pStyle w:val="22"/>
              <w:autoSpaceDE w:val="0"/>
              <w:spacing w:line="360" w:lineRule="auto"/>
              <w:ind w:firstLine="480"/>
              <w:rPr>
                <w:rFonts w:ascii="Times New Roman" w:hAnsi="Times New Roman"/>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本</w:t>
            </w:r>
            <w:r>
              <w:rPr>
                <w:rFonts w:hAnsi="宋体"/>
                <w:color w:val="000000" w:themeColor="text1"/>
                <w:sz w:val="24"/>
                <w:szCs w:val="24"/>
                <w14:textFill>
                  <w14:solidFill>
                    <w14:schemeClr w14:val="tx1"/>
                  </w14:solidFill>
                </w14:textFill>
              </w:rPr>
              <w:t>项目位于博罗县</w:t>
            </w:r>
            <w:r>
              <w:rPr>
                <w:rFonts w:hint="eastAsia" w:hAnsi="宋体"/>
                <w:color w:val="000000" w:themeColor="text1"/>
                <w:sz w:val="24"/>
                <w:szCs w:val="24"/>
                <w14:textFill>
                  <w14:solidFill>
                    <w14:schemeClr w14:val="tx1"/>
                  </w14:solidFill>
                </w14:textFill>
              </w:rPr>
              <w:t>福田镇</w:t>
            </w:r>
            <w:r>
              <w:rPr>
                <w:rFonts w:hAnsi="宋体"/>
                <w:color w:val="000000" w:themeColor="text1"/>
                <w:sz w:val="24"/>
                <w:szCs w:val="24"/>
                <w14:textFill>
                  <w14:solidFill>
                    <w14:schemeClr w14:val="tx1"/>
                  </w14:solidFill>
                </w14:textFill>
              </w:rPr>
              <w:t>，根据《惠州市环境空气质量功能区划分方案》（惠府函</w:t>
            </w:r>
            <w:r>
              <w:rPr>
                <w:rFonts w:hint="eastAsia" w:ascii="Times New Roman" w:hAnsi="Times New Roman"/>
                <w:color w:val="000000" w:themeColor="text1"/>
                <w:sz w:val="24"/>
                <w:szCs w:val="24"/>
                <w14:textFill>
                  <w14:solidFill>
                    <w14:schemeClr w14:val="tx1"/>
                  </w14:solidFill>
                </w14:textFill>
              </w:rPr>
              <w:t>〔</w:t>
            </w:r>
            <w:r>
              <w:rPr>
                <w:rFonts w:ascii="Times New Roman" w:hAnsi="Times New Roman"/>
                <w:color w:val="000000" w:themeColor="text1"/>
                <w:sz w:val="24"/>
                <w:szCs w:val="24"/>
                <w14:textFill>
                  <w14:solidFill>
                    <w14:schemeClr w14:val="tx1"/>
                  </w14:solidFill>
                </w14:textFill>
              </w:rPr>
              <w:t>2016</w:t>
            </w:r>
            <w:r>
              <w:rPr>
                <w:rFonts w:hint="eastAsia" w:ascii="Times New Roman" w:hAnsi="Times New Roman"/>
                <w:color w:val="000000" w:themeColor="text1"/>
                <w:sz w:val="24"/>
                <w:szCs w:val="24"/>
                <w14:textFill>
                  <w14:solidFill>
                    <w14:schemeClr w14:val="tx1"/>
                  </w14:solidFill>
                </w14:textFill>
              </w:rPr>
              <w:t>〕</w:t>
            </w:r>
            <w:r>
              <w:rPr>
                <w:rFonts w:ascii="Times New Roman" w:hAnsi="Times New Roman"/>
                <w:color w:val="000000" w:themeColor="text1"/>
                <w:sz w:val="24"/>
                <w:szCs w:val="24"/>
                <w14:textFill>
                  <w14:solidFill>
                    <w14:schemeClr w14:val="tx1"/>
                  </w14:solidFill>
                </w14:textFill>
              </w:rPr>
              <w:t>47</w:t>
            </w:r>
            <w:r>
              <w:rPr>
                <w:rFonts w:hAnsi="宋体"/>
                <w:color w:val="000000" w:themeColor="text1"/>
                <w:sz w:val="24"/>
                <w:szCs w:val="24"/>
                <w14:textFill>
                  <w14:solidFill>
                    <w14:schemeClr w14:val="tx1"/>
                  </w14:solidFill>
                </w14:textFill>
              </w:rPr>
              <w:t>号），本项目所在区域属二类功能区，执行《环境空气质量标准》（</w:t>
            </w:r>
            <w:r>
              <w:rPr>
                <w:rFonts w:ascii="Times New Roman" w:hAnsi="Times New Roman"/>
                <w:color w:val="000000" w:themeColor="text1"/>
                <w:sz w:val="24"/>
                <w:szCs w:val="24"/>
                <w14:textFill>
                  <w14:solidFill>
                    <w14:schemeClr w14:val="tx1"/>
                  </w14:solidFill>
                </w14:textFill>
              </w:rPr>
              <w:t>GB3095-2012</w:t>
            </w:r>
            <w:r>
              <w:rPr>
                <w:rFonts w:hAnsi="宋体"/>
                <w:color w:val="000000" w:themeColor="text1"/>
                <w:sz w:val="24"/>
                <w:szCs w:val="24"/>
                <w14:textFill>
                  <w14:solidFill>
                    <w14:schemeClr w14:val="tx1"/>
                  </w14:solidFill>
                </w14:textFill>
              </w:rPr>
              <w:t>）二级标准及其修改单的相关规定。</w:t>
            </w:r>
          </w:p>
          <w:p>
            <w:pPr>
              <w:spacing w:line="360" w:lineRule="auto"/>
              <w:ind w:firstLine="480" w:firstLineChars="200"/>
              <w:rPr>
                <w:rFonts w:hAnsi="宋体"/>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根据</w:t>
            </w:r>
            <w:r>
              <w:rPr>
                <w:rFonts w:hint="eastAsia"/>
                <w:color w:val="000000" w:themeColor="text1"/>
                <w:sz w:val="24"/>
                <w14:textFill>
                  <w14:solidFill>
                    <w14:schemeClr w14:val="tx1"/>
                  </w14:solidFill>
                </w14:textFill>
              </w:rPr>
              <w:t>202</w:t>
            </w:r>
            <w:r>
              <w:rPr>
                <w:color w:val="000000" w:themeColor="text1"/>
                <w:sz w:val="24"/>
                <w14:textFill>
                  <w14:solidFill>
                    <w14:schemeClr w14:val="tx1"/>
                  </w14:solidFill>
                </w14:textFill>
              </w:rPr>
              <w:t>1</w:t>
            </w:r>
            <w:r>
              <w:rPr>
                <w:rFonts w:hAnsi="宋体"/>
                <w:color w:val="000000" w:themeColor="text1"/>
                <w:sz w:val="24"/>
                <w14:textFill>
                  <w14:solidFill>
                    <w14:schemeClr w14:val="tx1"/>
                  </w14:solidFill>
                </w14:textFill>
              </w:rPr>
              <w:t>年惠州市</w:t>
            </w:r>
            <w:r>
              <w:rPr>
                <w:rFonts w:hint="eastAsia" w:hAnsi="宋体"/>
                <w:color w:val="000000" w:themeColor="text1"/>
                <w:sz w:val="24"/>
                <w14:textFill>
                  <w14:solidFill>
                    <w14:schemeClr w14:val="tx1"/>
                  </w14:solidFill>
                </w14:textFill>
              </w:rPr>
              <w:t>生态</w:t>
            </w:r>
            <w:r>
              <w:rPr>
                <w:rFonts w:hAnsi="宋体"/>
                <w:color w:val="000000" w:themeColor="text1"/>
                <w:sz w:val="24"/>
                <w14:textFill>
                  <w14:solidFill>
                    <w14:schemeClr w14:val="tx1"/>
                  </w14:solidFill>
                </w14:textFill>
              </w:rPr>
              <w:t>环境状况公报</w:t>
            </w:r>
            <w:r>
              <w:rPr>
                <w:rFonts w:hint="eastAsia" w:hAnsi="宋体"/>
                <w:color w:val="000000" w:themeColor="text1"/>
                <w:sz w:val="24"/>
                <w14:textFill>
                  <w14:solidFill>
                    <w14:schemeClr w14:val="tx1"/>
                  </w14:solidFill>
                </w14:textFill>
              </w:rPr>
              <w:t>：</w:t>
            </w:r>
          </w:p>
          <w:p>
            <w:pPr>
              <w:spacing w:line="360" w:lineRule="auto"/>
              <w:jc w:val="center"/>
              <w:rPr>
                <w:b/>
                <w:bCs/>
                <w:color w:val="000000" w:themeColor="text1"/>
                <w:szCs w:val="21"/>
                <w14:textFill>
                  <w14:solidFill>
                    <w14:schemeClr w14:val="tx1"/>
                  </w14:solidFill>
                </w14:textFill>
              </w:rPr>
            </w:pPr>
            <w:r>
              <w:drawing>
                <wp:inline distT="0" distB="0" distL="0" distR="0">
                  <wp:extent cx="3818890" cy="3712845"/>
                  <wp:effectExtent l="0" t="0" r="0" b="190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r:embed="rId24"/>
                          <a:srcRect l="6694" r="6307"/>
                          <a:stretch>
                            <a:fillRect/>
                          </a:stretch>
                        </pic:blipFill>
                        <pic:spPr>
                          <a:xfrm>
                            <a:off x="0" y="0"/>
                            <a:ext cx="3829941" cy="3723485"/>
                          </a:xfrm>
                          <a:prstGeom prst="rect">
                            <a:avLst/>
                          </a:prstGeom>
                          <a:ln>
                            <a:noFill/>
                          </a:ln>
                        </pic:spPr>
                      </pic:pic>
                    </a:graphicData>
                  </a:graphic>
                </wp:inline>
              </w:drawing>
            </w:r>
            <w:r>
              <w:rPr>
                <w:rFonts w:hint="eastAsia"/>
                <w:b/>
                <w:bCs/>
                <w:color w:val="000000" w:themeColor="text1"/>
                <w:szCs w:val="21"/>
                <w14:textFill>
                  <w14:solidFill>
                    <w14:schemeClr w14:val="tx1"/>
                  </w14:solidFill>
                </w14:textFill>
              </w:rPr>
              <w:t xml:space="preserve"> </w:t>
            </w:r>
          </w:p>
          <w:p>
            <w:pPr>
              <w:spacing w:line="360" w:lineRule="auto"/>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图</w:t>
            </w:r>
            <w:r>
              <w:rPr>
                <w:b/>
                <w:bCs/>
                <w:color w:val="000000" w:themeColor="text1"/>
                <w:szCs w:val="21"/>
                <w14:textFill>
                  <w14:solidFill>
                    <w14:schemeClr w14:val="tx1"/>
                  </w14:solidFill>
                </w14:textFill>
              </w:rPr>
              <w:t xml:space="preserve">3-1  </w:t>
            </w:r>
            <w:r>
              <w:rPr>
                <w:rFonts w:hint="eastAsia"/>
                <w:b/>
                <w:bCs/>
                <w:color w:val="000000" w:themeColor="text1"/>
                <w:szCs w:val="21"/>
                <w14:textFill>
                  <w14:solidFill>
                    <w14:schemeClr w14:val="tx1"/>
                  </w14:solidFill>
                </w14:textFill>
              </w:rPr>
              <w:t>202</w:t>
            </w:r>
            <w:r>
              <w:rPr>
                <w:b/>
                <w:bCs/>
                <w:color w:val="000000" w:themeColor="text1"/>
                <w:szCs w:val="21"/>
                <w14:textFill>
                  <w14:solidFill>
                    <w14:schemeClr w14:val="tx1"/>
                  </w14:solidFill>
                </w14:textFill>
              </w:rPr>
              <w:t>1年</w:t>
            </w:r>
            <w:r>
              <w:rPr>
                <w:rFonts w:hint="eastAsia"/>
                <w:b/>
                <w:bCs/>
                <w:color w:val="000000" w:themeColor="text1"/>
                <w:szCs w:val="21"/>
                <w14:textFill>
                  <w14:solidFill>
                    <w14:schemeClr w14:val="tx1"/>
                  </w14:solidFill>
                </w14:textFill>
              </w:rPr>
              <w:t>惠州市生态环境状况公报截图</w:t>
            </w:r>
          </w:p>
          <w:p>
            <w:pPr>
              <w:pStyle w:val="34"/>
              <w:shd w:val="clear" w:color="auto" w:fill="FFFFFF"/>
              <w:spacing w:before="0" w:beforeAutospacing="0" w:after="0" w:afterAutospacing="0" w:line="360" w:lineRule="auto"/>
              <w:ind w:firstLine="482" w:firstLineChars="200"/>
              <w:jc w:val="both"/>
              <w:rPr>
                <w:rFonts w:ascii="Times New Roman" w:hAnsi="Times New Roman" w:cs="宋体"/>
                <w:color w:val="000000" w:themeColor="text1"/>
                <w14:textFill>
                  <w14:solidFill>
                    <w14:schemeClr w14:val="tx1"/>
                  </w14:solidFill>
                </w14:textFill>
              </w:rPr>
            </w:pPr>
            <w:r>
              <w:rPr>
                <w:rFonts w:ascii="Times New Roman" w:hAnsi="Times New Roman" w:cs="宋体"/>
                <w:b/>
                <w:bCs/>
                <w:color w:val="000000" w:themeColor="text1"/>
                <w14:textFill>
                  <w14:solidFill>
                    <w14:schemeClr w14:val="tx1"/>
                  </w14:solidFill>
                </w14:textFill>
              </w:rPr>
              <w:t>市区空气质量</w:t>
            </w:r>
            <w:r>
              <w:rPr>
                <w:rFonts w:hint="eastAsia" w:ascii="Times New Roman" w:hAnsi="Times New Roman" w:cs="宋体"/>
                <w:b/>
                <w:bCs/>
                <w:color w:val="000000" w:themeColor="text1"/>
                <w14:textFill>
                  <w14:solidFill>
                    <w14:schemeClr w14:val="tx1"/>
                  </w14:solidFill>
                </w14:textFill>
              </w:rPr>
              <w:t>：</w:t>
            </w:r>
            <w:r>
              <w:rPr>
                <w:rFonts w:hint="eastAsia" w:ascii="Times New Roman" w:hAnsi="Times New Roman" w:cs="宋体"/>
                <w:color w:val="000000" w:themeColor="text1"/>
                <w14:textFill>
                  <w14:solidFill>
                    <w14:schemeClr w14:val="tx1"/>
                  </w14:solidFill>
                </w14:textFill>
              </w:rPr>
              <w:t>021年，市区（惠城区、惠阳区和大亚湾区）空气质量良好，六项污染物年评价浓度均达到国家二级标准。其中，二氧化硫（SO</w:t>
            </w:r>
            <w:r>
              <w:rPr>
                <w:rFonts w:hint="eastAsia" w:ascii="Times New Roman" w:hAnsi="Times New Roman" w:cs="宋体"/>
                <w:color w:val="000000" w:themeColor="text1"/>
                <w:vertAlign w:val="subscript"/>
                <w14:textFill>
                  <w14:solidFill>
                    <w14:schemeClr w14:val="tx1"/>
                  </w14:solidFill>
                </w14:textFill>
              </w:rPr>
              <w:t>2</w:t>
            </w:r>
            <w:r>
              <w:rPr>
                <w:rFonts w:hint="eastAsia" w:ascii="Times New Roman" w:hAnsi="Times New Roman" w:cs="宋体"/>
                <w:color w:val="000000" w:themeColor="text1"/>
                <w14:textFill>
                  <w14:solidFill>
                    <w14:schemeClr w14:val="tx1"/>
                  </w14:solidFill>
                </w14:textFill>
              </w:rPr>
              <w:t>）、二氧化氮（NO</w:t>
            </w:r>
            <w:r>
              <w:rPr>
                <w:rFonts w:hint="eastAsia" w:ascii="Times New Roman" w:hAnsi="Times New Roman" w:cs="宋体"/>
                <w:color w:val="000000" w:themeColor="text1"/>
                <w:vertAlign w:val="subscript"/>
                <w14:textFill>
                  <w14:solidFill>
                    <w14:schemeClr w14:val="tx1"/>
                  </w14:solidFill>
                </w14:textFill>
              </w:rPr>
              <w:t>2</w:t>
            </w:r>
            <w:r>
              <w:rPr>
                <w:rFonts w:hint="eastAsia" w:ascii="Times New Roman" w:hAnsi="Times New Roman" w:cs="宋体"/>
                <w:color w:val="000000" w:themeColor="text1"/>
                <w14:textFill>
                  <w14:solidFill>
                    <w14:schemeClr w14:val="tx1"/>
                  </w14:solidFill>
                </w14:textFill>
              </w:rPr>
              <w:t>）和一氧化碳（CO）达国家一级标准，可吸入颗粒物（PM</w:t>
            </w:r>
            <w:r>
              <w:rPr>
                <w:rFonts w:hint="eastAsia" w:ascii="Times New Roman" w:hAnsi="Times New Roman" w:cs="宋体"/>
                <w:color w:val="000000" w:themeColor="text1"/>
                <w:vertAlign w:val="subscript"/>
                <w14:textFill>
                  <w14:solidFill>
                    <w14:schemeClr w14:val="tx1"/>
                  </w14:solidFill>
                </w14:textFill>
              </w:rPr>
              <w:t>10</w:t>
            </w:r>
            <w:r>
              <w:rPr>
                <w:rFonts w:hint="eastAsia" w:ascii="Times New Roman" w:hAnsi="Times New Roman" w:cs="宋体"/>
                <w:color w:val="000000" w:themeColor="text1"/>
                <w14:textFill>
                  <w14:solidFill>
                    <w14:schemeClr w14:val="tx1"/>
                  </w14:solidFill>
                </w14:textFill>
              </w:rPr>
              <w:t>）、细颗粒物（PM</w:t>
            </w:r>
            <w:r>
              <w:rPr>
                <w:rFonts w:hint="eastAsia" w:ascii="Times New Roman" w:hAnsi="Times New Roman" w:cs="宋体"/>
                <w:color w:val="000000" w:themeColor="text1"/>
                <w:vertAlign w:val="subscript"/>
                <w14:textFill>
                  <w14:solidFill>
                    <w14:schemeClr w14:val="tx1"/>
                  </w14:solidFill>
                </w14:textFill>
              </w:rPr>
              <w:t>2.5</w:t>
            </w:r>
            <w:r>
              <w:rPr>
                <w:rFonts w:hint="eastAsia" w:ascii="Times New Roman" w:hAnsi="Times New Roman" w:cs="宋体"/>
                <w:color w:val="000000" w:themeColor="text1"/>
                <w14:textFill>
                  <w14:solidFill>
                    <w14:schemeClr w14:val="tx1"/>
                  </w14:solidFill>
                </w14:textFill>
              </w:rPr>
              <w:t>）和臭氧（O</w:t>
            </w:r>
            <w:r>
              <w:rPr>
                <w:rFonts w:hint="eastAsia" w:ascii="Times New Roman" w:hAnsi="Times New Roman" w:cs="宋体"/>
                <w:color w:val="000000" w:themeColor="text1"/>
                <w:vertAlign w:val="subscript"/>
                <w14:textFill>
                  <w14:solidFill>
                    <w14:schemeClr w14:val="tx1"/>
                  </w14:solidFill>
                </w14:textFill>
              </w:rPr>
              <w:t>3</w:t>
            </w:r>
            <w:r>
              <w:rPr>
                <w:rFonts w:hint="eastAsia" w:ascii="Times New Roman" w:hAnsi="Times New Roman" w:cs="宋体"/>
                <w:color w:val="000000" w:themeColor="text1"/>
                <w14:textFill>
                  <w14:solidFill>
                    <w14:schemeClr w14:val="tx1"/>
                  </w14:solidFill>
                </w14:textFill>
              </w:rPr>
              <w:t>）达到国家二级标准；综合指数为2.83，空气质量指数（AQI）范围为20～161，达标天数比例（AQI达标率）为94.5%，其中，优180天，良165天，轻度污染19天，中度污染1天，超标污染物为臭氧。</w:t>
            </w:r>
          </w:p>
          <w:p>
            <w:pPr>
              <w:widowControl/>
              <w:shd w:val="clear" w:color="auto" w:fill="FFFFFF"/>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与2020年相比，环境空气质量综合指数上升2.2%，AQI达标率下降3.3个百分点；六项污染物年评价浓度中，二氧化硫（SO</w:t>
            </w:r>
            <w:r>
              <w:rPr>
                <w:rFonts w:hint="eastAsia"/>
                <w:color w:val="000000" w:themeColor="text1"/>
                <w:kern w:val="0"/>
                <w:sz w:val="24"/>
                <w:vertAlign w:val="subscript"/>
                <w14:textFill>
                  <w14:solidFill>
                    <w14:schemeClr w14:val="tx1"/>
                  </w14:solidFill>
                </w14:textFill>
              </w:rPr>
              <w:t>2</w:t>
            </w:r>
            <w:r>
              <w:rPr>
                <w:rFonts w:hint="eastAsia"/>
                <w:color w:val="000000" w:themeColor="text1"/>
                <w:kern w:val="0"/>
                <w:sz w:val="24"/>
                <w14:textFill>
                  <w14:solidFill>
                    <w14:schemeClr w14:val="tx1"/>
                  </w14:solidFill>
                </w14:textFill>
              </w:rPr>
              <w:t>）持平，一氧化碳（CO）和细颗粒物（PM</w:t>
            </w:r>
            <w:r>
              <w:rPr>
                <w:rFonts w:hint="eastAsia"/>
                <w:color w:val="000000" w:themeColor="text1"/>
                <w:kern w:val="0"/>
                <w:sz w:val="24"/>
                <w:vertAlign w:val="subscript"/>
                <w14:textFill>
                  <w14:solidFill>
                    <w14:schemeClr w14:val="tx1"/>
                  </w14:solidFill>
                </w14:textFill>
              </w:rPr>
              <w:t>2.5</w:t>
            </w:r>
            <w:r>
              <w:rPr>
                <w:rFonts w:hint="eastAsia"/>
                <w:color w:val="000000" w:themeColor="text1"/>
                <w:kern w:val="0"/>
                <w:sz w:val="24"/>
                <w14:textFill>
                  <w14:solidFill>
                    <w14:schemeClr w14:val="tx1"/>
                  </w14:solidFill>
                </w14:textFill>
              </w:rPr>
              <w:t>）浓度分别下降22.2%和5.0%，二氧化氮（NO</w:t>
            </w:r>
            <w:r>
              <w:rPr>
                <w:rFonts w:hint="eastAsia"/>
                <w:color w:val="000000" w:themeColor="text1"/>
                <w:kern w:val="0"/>
                <w:sz w:val="24"/>
                <w:vertAlign w:val="subscript"/>
                <w14:textFill>
                  <w14:solidFill>
                    <w14:schemeClr w14:val="tx1"/>
                  </w14:solidFill>
                </w14:textFill>
              </w:rPr>
              <w:t>2</w:t>
            </w:r>
            <w:r>
              <w:rPr>
                <w:rFonts w:hint="eastAsia"/>
                <w:color w:val="000000" w:themeColor="text1"/>
                <w:kern w:val="0"/>
                <w:sz w:val="24"/>
                <w14:textFill>
                  <w14:solidFill>
                    <w14:schemeClr w14:val="tx1"/>
                  </w14:solidFill>
                </w14:textFill>
              </w:rPr>
              <w:t>）、可吸入颗粒物（PM</w:t>
            </w:r>
            <w:r>
              <w:rPr>
                <w:rFonts w:hint="eastAsia"/>
                <w:color w:val="000000" w:themeColor="text1"/>
                <w:kern w:val="0"/>
                <w:sz w:val="24"/>
                <w:vertAlign w:val="subscript"/>
                <w14:textFill>
                  <w14:solidFill>
                    <w14:schemeClr w14:val="tx1"/>
                  </w14:solidFill>
                </w14:textFill>
              </w:rPr>
              <w:t>10</w:t>
            </w:r>
            <w:r>
              <w:rPr>
                <w:rFonts w:hint="eastAsia"/>
                <w:color w:val="000000" w:themeColor="text1"/>
                <w:kern w:val="0"/>
                <w:sz w:val="24"/>
                <w14:textFill>
                  <w14:solidFill>
                    <w14:schemeClr w14:val="tx1"/>
                  </w14:solidFill>
                </w14:textFill>
              </w:rPr>
              <w:t>）、臭氧（O</w:t>
            </w:r>
            <w:r>
              <w:rPr>
                <w:rFonts w:hint="eastAsia"/>
                <w:color w:val="000000" w:themeColor="text1"/>
                <w:kern w:val="0"/>
                <w:sz w:val="24"/>
                <w:vertAlign w:val="subscript"/>
                <w14:textFill>
                  <w14:solidFill>
                    <w14:schemeClr w14:val="tx1"/>
                  </w14:solidFill>
                </w14:textFill>
              </w:rPr>
              <w:t>3</w:t>
            </w:r>
            <w:r>
              <w:rPr>
                <w:rFonts w:hint="eastAsia"/>
                <w:color w:val="000000" w:themeColor="text1"/>
                <w:kern w:val="0"/>
                <w:sz w:val="24"/>
                <w14:textFill>
                  <w14:solidFill>
                    <w14:schemeClr w14:val="tx1"/>
                  </w14:solidFill>
                </w14:textFill>
              </w:rPr>
              <w:t>）浓度分别上升11.1%、5.3%和5.1%。</w:t>
            </w:r>
            <w:r>
              <w:rPr>
                <w:color w:val="000000" w:themeColor="text1"/>
                <w:kern w:val="0"/>
                <w:sz w:val="24"/>
                <w14:textFill>
                  <w14:solidFill>
                    <w14:schemeClr w14:val="tx1"/>
                  </w14:solidFill>
                </w14:textFill>
              </w:rPr>
              <w:t>。</w:t>
            </w:r>
          </w:p>
          <w:p>
            <w:pPr>
              <w:widowControl/>
              <w:shd w:val="clear" w:color="auto" w:fill="FFFFFF"/>
              <w:spacing w:line="360" w:lineRule="auto"/>
              <w:ind w:firstLine="482" w:firstLineChars="200"/>
              <w:rPr>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各县（区）空气质量</w:t>
            </w:r>
            <w:r>
              <w:rPr>
                <w:b/>
                <w:bCs/>
                <w:color w:val="000000" w:themeColor="text1"/>
                <w:kern w:val="0"/>
                <w:sz w:val="24"/>
                <w14:textFill>
                  <w14:solidFill>
                    <w14:schemeClr w14:val="tx1"/>
                  </w14:solidFill>
                </w14:textFill>
              </w:rPr>
              <w:t>：</w:t>
            </w:r>
            <w:r>
              <w:rPr>
                <w:rFonts w:hint="eastAsia"/>
                <w:color w:val="000000" w:themeColor="text1"/>
                <w:kern w:val="0"/>
                <w:sz w:val="24"/>
                <w14:textFill>
                  <w14:solidFill>
                    <w14:schemeClr w14:val="tx1"/>
                  </w14:solidFill>
                </w14:textFill>
              </w:rPr>
              <w:t>2021年，各县（区）二氧化硫（SO</w:t>
            </w:r>
            <w:r>
              <w:rPr>
                <w:rFonts w:hint="eastAsia"/>
                <w:color w:val="000000" w:themeColor="text1"/>
                <w:kern w:val="0"/>
                <w:sz w:val="24"/>
                <w:vertAlign w:val="subscript"/>
                <w14:textFill>
                  <w14:solidFill>
                    <w14:schemeClr w14:val="tx1"/>
                  </w14:solidFill>
                </w14:textFill>
              </w:rPr>
              <w:t>2</w:t>
            </w:r>
            <w:r>
              <w:rPr>
                <w:rFonts w:hint="eastAsia"/>
                <w:color w:val="000000" w:themeColor="text1"/>
                <w:kern w:val="0"/>
                <w:sz w:val="24"/>
                <w14:textFill>
                  <w14:solidFill>
                    <w14:schemeClr w14:val="tx1"/>
                  </w14:solidFill>
                </w14:textFill>
              </w:rPr>
              <w:t>）、二氧化氮（NO</w:t>
            </w:r>
            <w:r>
              <w:rPr>
                <w:rFonts w:hint="eastAsia"/>
                <w:color w:val="000000" w:themeColor="text1"/>
                <w:kern w:val="0"/>
                <w:sz w:val="24"/>
                <w:vertAlign w:val="subscript"/>
                <w14:textFill>
                  <w14:solidFill>
                    <w14:schemeClr w14:val="tx1"/>
                  </w14:solidFill>
                </w14:textFill>
              </w:rPr>
              <w:t>2</w:t>
            </w:r>
            <w:r>
              <w:rPr>
                <w:rFonts w:hint="eastAsia"/>
                <w:color w:val="000000" w:themeColor="text1"/>
                <w:kern w:val="0"/>
                <w:sz w:val="24"/>
                <w14:textFill>
                  <w14:solidFill>
                    <w14:schemeClr w14:val="tx1"/>
                  </w14:solidFill>
                </w14:textFill>
              </w:rPr>
              <w:t>）、一氧化碳（CO）达国家一级标准，臭氧（O</w:t>
            </w:r>
            <w:r>
              <w:rPr>
                <w:rFonts w:hint="eastAsia"/>
                <w:color w:val="000000" w:themeColor="text1"/>
                <w:kern w:val="0"/>
                <w:sz w:val="24"/>
                <w:vertAlign w:val="subscript"/>
                <w14:textFill>
                  <w14:solidFill>
                    <w14:schemeClr w14:val="tx1"/>
                  </w14:solidFill>
                </w14:textFill>
              </w:rPr>
              <w:t>3</w:t>
            </w:r>
            <w:r>
              <w:rPr>
                <w:rFonts w:hint="eastAsia"/>
                <w:color w:val="000000" w:themeColor="text1"/>
                <w:kern w:val="0"/>
                <w:sz w:val="24"/>
                <w14:textFill>
                  <w14:solidFill>
                    <w14:schemeClr w14:val="tx1"/>
                  </w14:solidFill>
                </w14:textFill>
              </w:rPr>
              <w:t>）达国家二级标准；龙门县、大亚湾区和惠东县可吸入颗粒物（PM</w:t>
            </w:r>
            <w:r>
              <w:rPr>
                <w:rFonts w:hint="eastAsia"/>
                <w:color w:val="000000" w:themeColor="text1"/>
                <w:kern w:val="0"/>
                <w:sz w:val="24"/>
                <w:vertAlign w:val="subscript"/>
                <w14:textFill>
                  <w14:solidFill>
                    <w14:schemeClr w14:val="tx1"/>
                  </w14:solidFill>
                </w14:textFill>
              </w:rPr>
              <w:t>10</w:t>
            </w:r>
            <w:r>
              <w:rPr>
                <w:rFonts w:hint="eastAsia"/>
                <w:color w:val="000000" w:themeColor="text1"/>
                <w:kern w:val="0"/>
                <w:sz w:val="24"/>
                <w14:textFill>
                  <w14:solidFill>
                    <w14:schemeClr w14:val="tx1"/>
                  </w14:solidFill>
                </w14:textFill>
              </w:rPr>
              <w:t>）达国家一级标准，其余县（区）达国家二级标准；龙门县细颗粒物（PM</w:t>
            </w:r>
            <w:r>
              <w:rPr>
                <w:rFonts w:hint="eastAsia"/>
                <w:color w:val="000000" w:themeColor="text1"/>
                <w:kern w:val="0"/>
                <w:sz w:val="24"/>
                <w:vertAlign w:val="subscript"/>
                <w14:textFill>
                  <w14:solidFill>
                    <w14:schemeClr w14:val="tx1"/>
                  </w14:solidFill>
                </w14:textFill>
              </w:rPr>
              <w:t>2.5</w:t>
            </w:r>
            <w:r>
              <w:rPr>
                <w:rFonts w:hint="eastAsia"/>
                <w:color w:val="000000" w:themeColor="text1"/>
                <w:kern w:val="0"/>
                <w:sz w:val="24"/>
                <w14:textFill>
                  <w14:solidFill>
                    <w14:schemeClr w14:val="tx1"/>
                  </w14:solidFill>
                </w14:textFill>
              </w:rPr>
              <w:t>）达国家一级标准，其余县（区）达国家二级标准。各县（区）环境空气优良率（达标率）范围在92.6%～99.1%之间；综合指数范围在2.33～3.31之间，主要污染物均为臭氧，次要污染物以可吸入颗粒物PM</w:t>
            </w:r>
            <w:r>
              <w:rPr>
                <w:rFonts w:hint="eastAsia"/>
                <w:color w:val="000000" w:themeColor="text1"/>
                <w:kern w:val="0"/>
                <w:sz w:val="24"/>
                <w:vertAlign w:val="subscript"/>
                <w14:textFill>
                  <w14:solidFill>
                    <w14:schemeClr w14:val="tx1"/>
                  </w14:solidFill>
                </w14:textFill>
              </w:rPr>
              <w:t>10</w:t>
            </w:r>
            <w:r>
              <w:rPr>
                <w:rFonts w:hint="eastAsia"/>
                <w:color w:val="000000" w:themeColor="text1"/>
                <w:kern w:val="0"/>
                <w:sz w:val="24"/>
                <w14:textFill>
                  <w14:solidFill>
                    <w14:schemeClr w14:val="tx1"/>
                  </w14:solidFill>
                </w14:textFill>
              </w:rPr>
              <w:t>为主</w:t>
            </w:r>
            <w:r>
              <w:rPr>
                <w:color w:val="000000" w:themeColor="text1"/>
                <w:kern w:val="0"/>
                <w:sz w:val="24"/>
                <w14:textFill>
                  <w14:solidFill>
                    <w14:schemeClr w14:val="tx1"/>
                  </w14:solidFill>
                </w14:textFill>
              </w:rPr>
              <w:t>。</w:t>
            </w:r>
          </w:p>
          <w:p>
            <w:pPr>
              <w:spacing w:line="360" w:lineRule="auto"/>
              <w:ind w:firstLine="480" w:firstLineChars="200"/>
              <w:rPr>
                <w:color w:val="000000" w:themeColor="text1"/>
                <w:spacing w:val="-5"/>
                <w:sz w:val="24"/>
                <w14:textFill>
                  <w14:solidFill>
                    <w14:schemeClr w14:val="tx1"/>
                  </w14:solidFill>
                </w14:textFill>
              </w:rPr>
            </w:pPr>
            <w:r>
              <w:rPr>
                <w:color w:val="000000" w:themeColor="text1"/>
                <w:sz w:val="24"/>
                <w14:textFill>
                  <w14:solidFill>
                    <w14:schemeClr w14:val="tx1"/>
                  </w14:solidFill>
                </w14:textFill>
              </w:rPr>
              <w:t>因此项目所在区域属于空气环境达标区。</w:t>
            </w:r>
          </w:p>
          <w:p>
            <w:pPr>
              <w:pStyle w:val="22"/>
              <w:autoSpaceDE w:val="0"/>
              <w:ind w:firstLine="482"/>
              <w:rPr>
                <w:rFonts w:ascii="Times New Roman" w:hAnsi="Times New Roman"/>
                <w:b/>
                <w:bCs/>
                <w:color w:val="000000" w:themeColor="text1"/>
                <w:sz w:val="24"/>
                <w14:textFill>
                  <w14:solidFill>
                    <w14:schemeClr w14:val="tx1"/>
                  </w14:solidFill>
                </w14:textFill>
              </w:rPr>
            </w:pPr>
            <w:r>
              <w:rPr>
                <w:rFonts w:hint="eastAsia" w:ascii="Times New Roman" w:hAnsi="Times New Roman"/>
                <w:b/>
                <w:bCs/>
                <w:color w:val="000000" w:themeColor="text1"/>
                <w:sz w:val="24"/>
                <w:szCs w:val="24"/>
                <w14:textFill>
                  <w14:solidFill>
                    <w14:schemeClr w14:val="tx1"/>
                  </w14:solidFill>
                </w14:textFill>
              </w:rPr>
              <w:t>（2）</w:t>
            </w:r>
            <w:r>
              <w:rPr>
                <w:rFonts w:ascii="Times New Roman" w:hAnsi="Times New Roman"/>
                <w:b/>
                <w:bCs/>
                <w:color w:val="000000" w:themeColor="text1"/>
                <w:sz w:val="24"/>
                <w14:textFill>
                  <w14:solidFill>
                    <w14:schemeClr w14:val="tx1"/>
                  </w14:solidFill>
                </w14:textFill>
              </w:rPr>
              <w:t>特征污染物质量现状</w:t>
            </w:r>
          </w:p>
          <w:p>
            <w:pPr>
              <w:widowControl/>
              <w:spacing w:line="360" w:lineRule="auto"/>
              <w:ind w:firstLine="480" w:firstLineChars="200"/>
              <w:jc w:val="left"/>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为了解本项目所在区域的TVOC</w:t>
            </w:r>
            <w:r>
              <w:rPr>
                <w:rFonts w:hint="eastAsia"/>
                <w:color w:val="000000" w:themeColor="text1"/>
                <w:sz w:val="24"/>
                <w14:textFill>
                  <w14:solidFill>
                    <w14:schemeClr w14:val="tx1"/>
                  </w14:solidFill>
                </w14:textFill>
              </w:rPr>
              <w:t>、TSP</w:t>
            </w:r>
            <w:r>
              <w:rPr>
                <w:color w:val="000000" w:themeColor="text1"/>
                <w:sz w:val="24"/>
                <w14:textFill>
                  <w14:solidFill>
                    <w14:schemeClr w14:val="tx1"/>
                  </w14:solidFill>
                </w14:textFill>
              </w:rPr>
              <w:t>环境空气质量现状，本报告引用博罗县创举电子有限公司委托东莞华溯检测技术有限公司的大气环境监测数据，监测点其项目所在地西面312m</w:t>
            </w:r>
            <w:r>
              <w:rPr>
                <w:rFonts w:hint="eastAsia"/>
                <w:color w:val="000000" w:themeColor="text1"/>
                <w:sz w:val="24"/>
                <w14:textFill>
                  <w14:solidFill>
                    <w14:schemeClr w14:val="tx1"/>
                  </w14:solidFill>
                </w14:textFill>
              </w:rPr>
              <w:t>处</w:t>
            </w:r>
            <w:r>
              <w:rPr>
                <w:color w:val="000000" w:themeColor="text1"/>
                <w:sz w:val="24"/>
                <w14:textFill>
                  <w14:solidFill>
                    <w14:schemeClr w14:val="tx1"/>
                  </w14:solidFill>
                </w14:textFill>
              </w:rPr>
              <w:t>位于项目的</w:t>
            </w:r>
            <w:r>
              <w:rPr>
                <w:rFonts w:hint="eastAsia"/>
                <w:color w:val="000000" w:themeColor="text1"/>
                <w:sz w:val="24"/>
                <w14:textFill>
                  <w14:solidFill>
                    <w14:schemeClr w14:val="tx1"/>
                  </w14:solidFill>
                </w14:textFill>
              </w:rPr>
              <w:t>西</w:t>
            </w:r>
            <w:r>
              <w:rPr>
                <w:color w:val="000000" w:themeColor="text1"/>
                <w:sz w:val="24"/>
                <w14:textFill>
                  <w14:solidFill>
                    <w14:schemeClr w14:val="tx1"/>
                  </w14:solidFill>
                </w14:textFill>
              </w:rPr>
              <w:t>面3.98</w:t>
            </w:r>
            <w:r>
              <w:rPr>
                <w:rFonts w:hint="eastAsia"/>
                <w:color w:val="000000" w:themeColor="text1"/>
                <w:sz w:val="24"/>
                <w14:textFill>
                  <w14:solidFill>
                    <w14:schemeClr w14:val="tx1"/>
                  </w14:solidFill>
                </w14:textFill>
              </w:rPr>
              <w:t>k</w:t>
            </w:r>
            <w:r>
              <w:rPr>
                <w:color w:val="000000" w:themeColor="text1"/>
                <w:sz w:val="24"/>
                <w14:textFill>
                  <w14:solidFill>
                    <w14:schemeClr w14:val="tx1"/>
                  </w14:solidFill>
                </w14:textFill>
              </w:rPr>
              <w:t>m，监测点位在本项目</w:t>
            </w:r>
            <w:r>
              <w:rPr>
                <w:rFonts w:hint="eastAsia"/>
                <w:color w:val="000000" w:themeColor="text1"/>
                <w:sz w:val="24"/>
                <w14:textFill>
                  <w14:solidFill>
                    <w14:schemeClr w14:val="tx1"/>
                  </w14:solidFill>
                </w14:textFill>
              </w:rPr>
              <w:t>5.0</w:t>
            </w:r>
            <w:r>
              <w:rPr>
                <w:color w:val="000000" w:themeColor="text1"/>
                <w:sz w:val="24"/>
                <w14:textFill>
                  <w14:solidFill>
                    <w14:schemeClr w14:val="tx1"/>
                  </w14:solidFill>
                </w14:textFill>
              </w:rPr>
              <w:t>km范围之内，</w:t>
            </w:r>
            <w:r>
              <w:rPr>
                <w:rFonts w:hint="eastAsia"/>
                <w:color w:val="000000" w:themeColor="text1"/>
                <w:sz w:val="24"/>
                <w14:textFill>
                  <w14:solidFill>
                    <w14:schemeClr w14:val="tx1"/>
                  </w14:solidFill>
                </w14:textFill>
              </w:rPr>
              <w:t>大气环境</w:t>
            </w:r>
            <w:r>
              <w:rPr>
                <w:color w:val="000000" w:themeColor="text1"/>
                <w:sz w:val="24"/>
                <w14:textFill>
                  <w14:solidFill>
                    <w14:schemeClr w14:val="tx1"/>
                  </w14:solidFill>
                </w14:textFill>
              </w:rPr>
              <w:t>监测点见附图</w:t>
            </w:r>
            <w:r>
              <w:rPr>
                <w:rFonts w:hint="eastAsia"/>
                <w:color w:val="000000" w:themeColor="text1"/>
                <w:sz w:val="24"/>
                <w14:textFill>
                  <w14:solidFill>
                    <w14:schemeClr w14:val="tx1"/>
                  </w14:solidFill>
                </w14:textFill>
              </w:rPr>
              <w:t>7</w:t>
            </w:r>
            <w:r>
              <w:rPr>
                <w:color w:val="000000" w:themeColor="text1"/>
                <w:sz w:val="24"/>
                <w14:textFill>
                  <w14:solidFill>
                    <w14:schemeClr w14:val="tx1"/>
                  </w14:solidFill>
                </w14:textFill>
              </w:rPr>
              <w:t>。东莞华溯检测技术有限公司在04月13日</w:t>
            </w:r>
            <w:r>
              <w:rPr>
                <w:rFonts w:hint="eastAsia"/>
                <w:color w:val="000000" w:themeColor="text1"/>
                <w:sz w:val="24"/>
                <w14:textFill>
                  <w14:solidFill>
                    <w14:schemeClr w14:val="tx1"/>
                  </w14:solidFill>
                </w14:textFill>
              </w:rPr>
              <w:t>至</w:t>
            </w:r>
            <w:r>
              <w:rPr>
                <w:color w:val="000000" w:themeColor="text1"/>
                <w:sz w:val="24"/>
                <w14:textFill>
                  <w14:solidFill>
                    <w14:schemeClr w14:val="tx1"/>
                  </w14:solidFill>
                </w14:textFill>
              </w:rPr>
              <w:t>04月15日对其项目所在地西面312m</w:t>
            </w:r>
            <w:r>
              <w:rPr>
                <w:rFonts w:hint="eastAsia"/>
                <w:color w:val="000000" w:themeColor="text1"/>
                <w:sz w:val="24"/>
                <w14:textFill>
                  <w14:solidFill>
                    <w14:schemeClr w14:val="tx1"/>
                  </w14:solidFill>
                </w14:textFill>
              </w:rPr>
              <w:t>处</w:t>
            </w:r>
            <w:r>
              <w:rPr>
                <w:color w:val="000000" w:themeColor="text1"/>
                <w:sz w:val="24"/>
                <w14:textFill>
                  <w14:solidFill>
                    <w14:schemeClr w14:val="tx1"/>
                  </w14:solidFill>
                </w14:textFill>
              </w:rPr>
              <w:t>进行现状监测，其检测报告见附件5，监测点位及监测因子见下表3-1，监测结果见下表3-2</w:t>
            </w:r>
            <w:r>
              <w:rPr>
                <w:color w:val="000000" w:themeColor="text1"/>
                <w:kern w:val="0"/>
                <w:sz w:val="24"/>
                <w14:textFill>
                  <w14:solidFill>
                    <w14:schemeClr w14:val="tx1"/>
                  </w14:solidFill>
                </w14:textFill>
              </w:rPr>
              <w:t>。</w:t>
            </w:r>
          </w:p>
          <w:p>
            <w:pPr>
              <w:pStyle w:val="55"/>
              <w:adjustRightInd w:val="0"/>
              <w:snapToGrid w:val="0"/>
              <w:ind w:firstLine="422" w:firstLineChars="200"/>
              <w:jc w:val="center"/>
              <w:rPr>
                <w:color w:val="000000" w:themeColor="text1"/>
                <w14:textFill>
                  <w14:solidFill>
                    <w14:schemeClr w14:val="tx1"/>
                  </w14:solidFill>
                </w14:textFill>
              </w:rPr>
            </w:pPr>
            <w:r>
              <w:rPr>
                <w:b/>
                <w:bCs/>
                <w:color w:val="000000" w:themeColor="text1"/>
                <w:sz w:val="21"/>
                <w:szCs w:val="21"/>
                <w14:textFill>
                  <w14:solidFill>
                    <w14:schemeClr w14:val="tx1"/>
                  </w14:solidFill>
                </w14:textFill>
              </w:rPr>
              <w:t>表3-1  TVOC监测点位基础信息</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8"/>
              <w:gridCol w:w="866"/>
              <w:gridCol w:w="1040"/>
              <w:gridCol w:w="1119"/>
              <w:gridCol w:w="1510"/>
              <w:gridCol w:w="1228"/>
              <w:gridCol w:w="1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 w:hRule="atLeast"/>
              </w:trPr>
              <w:tc>
                <w:tcPr>
                  <w:tcW w:w="1338" w:type="dxa"/>
                  <w:vMerge w:val="restart"/>
                  <w:vAlign w:val="center"/>
                </w:tcPr>
                <w:p>
                  <w:pPr>
                    <w:pStyle w:val="55"/>
                    <w:adjustRightInd w:val="0"/>
                    <w:snapToGrid w:val="0"/>
                    <w:spacing w:before="156" w:beforeLine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监测点名称</w:t>
                  </w:r>
                </w:p>
              </w:tc>
              <w:tc>
                <w:tcPr>
                  <w:tcW w:w="1906" w:type="dxa"/>
                  <w:gridSpan w:val="2"/>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监测点坐标/m</w:t>
                  </w:r>
                </w:p>
              </w:tc>
              <w:tc>
                <w:tcPr>
                  <w:tcW w:w="1119" w:type="dxa"/>
                  <w:vMerge w:val="restart"/>
                  <w:vAlign w:val="center"/>
                </w:tcPr>
                <w:p>
                  <w:pPr>
                    <w:pStyle w:val="55"/>
                    <w:adjustRightInd w:val="0"/>
                    <w:snapToGrid w:val="0"/>
                    <w:spacing w:before="156" w:beforeLine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监测因子</w:t>
                  </w:r>
                </w:p>
              </w:tc>
              <w:tc>
                <w:tcPr>
                  <w:tcW w:w="1510" w:type="dxa"/>
                  <w:vMerge w:val="restart"/>
                  <w:vAlign w:val="center"/>
                </w:tcPr>
                <w:p>
                  <w:pPr>
                    <w:pStyle w:val="55"/>
                    <w:adjustRightInd w:val="0"/>
                    <w:snapToGrid w:val="0"/>
                    <w:spacing w:before="156" w:beforeLines="5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监测时段</w:t>
                  </w:r>
                </w:p>
              </w:tc>
              <w:tc>
                <w:tcPr>
                  <w:tcW w:w="1228" w:type="dxa"/>
                  <w:vMerge w:val="restart"/>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相对厂址方位</w:t>
                  </w:r>
                </w:p>
              </w:tc>
              <w:tc>
                <w:tcPr>
                  <w:tcW w:w="1193" w:type="dxa"/>
                  <w:vMerge w:val="restart"/>
                  <w:vAlign w:val="center"/>
                </w:tcPr>
                <w:p>
                  <w:pPr>
                    <w:pStyle w:val="55"/>
                    <w:adjustRightInd w:val="0"/>
                    <w:snapToGrid w:val="0"/>
                    <w:jc w:val="center"/>
                    <w:rPr>
                      <w:b/>
                      <w:bCs/>
                      <w:color w:val="000000" w:themeColor="text1"/>
                      <w:sz w:val="21"/>
                      <w:szCs w:val="21"/>
                      <w:vertAlign w:val="subscript"/>
                      <w14:textFill>
                        <w14:solidFill>
                          <w14:schemeClr w14:val="tx1"/>
                        </w14:solidFill>
                      </w14:textFill>
                    </w:rPr>
                  </w:pPr>
                  <w:r>
                    <w:rPr>
                      <w:b/>
                      <w:bCs/>
                      <w:color w:val="000000" w:themeColor="text1"/>
                      <w:sz w:val="21"/>
                      <w:szCs w:val="21"/>
                      <w14:textFill>
                        <w14:solidFill>
                          <w14:schemeClr w14:val="tx1"/>
                        </w14:solidFill>
                      </w14:textFill>
                    </w:rPr>
                    <w:t>相对厂界距离/</w:t>
                  </w:r>
                  <w:r>
                    <w:rPr>
                      <w:rFonts w:hint="eastAsia"/>
                      <w:b/>
                      <w:bCs/>
                      <w:color w:val="000000" w:themeColor="text1"/>
                      <w:sz w:val="21"/>
                      <w:szCs w:val="21"/>
                      <w14:textFill>
                        <w14:solidFill>
                          <w14:schemeClr w14:val="tx1"/>
                        </w14:solidFill>
                      </w14:textFill>
                    </w:rPr>
                    <w:t>k</w:t>
                  </w:r>
                  <w:r>
                    <w:rPr>
                      <w:b/>
                      <w:bCs/>
                      <w:color w:val="000000" w:themeColor="text1"/>
                      <w:sz w:val="21"/>
                      <w:szCs w:val="21"/>
                      <w14:textFill>
                        <w14:solidFill>
                          <w14:schemeClr w14:val="tx1"/>
                        </w14:solidFill>
                      </w14:textFill>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 w:hRule="atLeast"/>
              </w:trPr>
              <w:tc>
                <w:tcPr>
                  <w:tcW w:w="1338" w:type="dxa"/>
                  <w:vMerge w:val="continue"/>
                  <w:vAlign w:val="center"/>
                </w:tcPr>
                <w:p>
                  <w:pPr>
                    <w:pStyle w:val="55"/>
                    <w:adjustRightInd w:val="0"/>
                    <w:snapToGrid w:val="0"/>
                    <w:spacing w:before="156" w:beforeLines="50"/>
                    <w:jc w:val="center"/>
                    <w:rPr>
                      <w:color w:val="000000" w:themeColor="text1"/>
                      <w14:textFill>
                        <w14:solidFill>
                          <w14:schemeClr w14:val="tx1"/>
                        </w14:solidFill>
                      </w14:textFill>
                    </w:rPr>
                  </w:pPr>
                </w:p>
              </w:tc>
              <w:tc>
                <w:tcPr>
                  <w:tcW w:w="866" w:type="dxa"/>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X</w:t>
                  </w:r>
                </w:p>
              </w:tc>
              <w:tc>
                <w:tcPr>
                  <w:tcW w:w="1040" w:type="dxa"/>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Y</w:t>
                  </w:r>
                </w:p>
              </w:tc>
              <w:tc>
                <w:tcPr>
                  <w:tcW w:w="1119" w:type="dxa"/>
                  <w:vMerge w:val="continue"/>
                  <w:vAlign w:val="center"/>
                </w:tcPr>
                <w:p>
                  <w:pPr>
                    <w:pStyle w:val="55"/>
                    <w:adjustRightInd w:val="0"/>
                    <w:snapToGrid w:val="0"/>
                    <w:spacing w:before="156" w:beforeLines="50"/>
                    <w:jc w:val="center"/>
                    <w:rPr>
                      <w:rFonts w:eastAsia="Times New Roman"/>
                      <w:color w:val="000000" w:themeColor="text1"/>
                      <w14:textFill>
                        <w14:solidFill>
                          <w14:schemeClr w14:val="tx1"/>
                        </w14:solidFill>
                      </w14:textFill>
                    </w:rPr>
                  </w:pPr>
                </w:p>
              </w:tc>
              <w:tc>
                <w:tcPr>
                  <w:tcW w:w="1510" w:type="dxa"/>
                  <w:vMerge w:val="continue"/>
                  <w:vAlign w:val="center"/>
                </w:tcPr>
                <w:p>
                  <w:pPr>
                    <w:pStyle w:val="55"/>
                    <w:adjustRightInd w:val="0"/>
                    <w:snapToGrid w:val="0"/>
                    <w:spacing w:before="156" w:beforeLines="50"/>
                    <w:jc w:val="center"/>
                    <w:rPr>
                      <w:rFonts w:eastAsia="Times New Roman"/>
                      <w:color w:val="000000" w:themeColor="text1"/>
                      <w14:textFill>
                        <w14:solidFill>
                          <w14:schemeClr w14:val="tx1"/>
                        </w14:solidFill>
                      </w14:textFill>
                    </w:rPr>
                  </w:pPr>
                </w:p>
              </w:tc>
              <w:tc>
                <w:tcPr>
                  <w:tcW w:w="1228" w:type="dxa"/>
                  <w:vMerge w:val="continue"/>
                  <w:vAlign w:val="center"/>
                </w:tcPr>
                <w:p>
                  <w:pPr>
                    <w:pStyle w:val="55"/>
                    <w:adjustRightInd w:val="0"/>
                    <w:snapToGrid w:val="0"/>
                    <w:spacing w:before="156" w:beforeLines="50"/>
                    <w:jc w:val="center"/>
                    <w:rPr>
                      <w:rFonts w:eastAsia="Times New Roman"/>
                      <w:color w:val="000000" w:themeColor="text1"/>
                      <w14:textFill>
                        <w14:solidFill>
                          <w14:schemeClr w14:val="tx1"/>
                        </w14:solidFill>
                      </w14:textFill>
                    </w:rPr>
                  </w:pPr>
                </w:p>
              </w:tc>
              <w:tc>
                <w:tcPr>
                  <w:tcW w:w="1193" w:type="dxa"/>
                  <w:vMerge w:val="continue"/>
                  <w:vAlign w:val="center"/>
                </w:tcPr>
                <w:p>
                  <w:pPr>
                    <w:pStyle w:val="55"/>
                    <w:adjustRightInd w:val="0"/>
                    <w:snapToGrid w:val="0"/>
                    <w:spacing w:before="156" w:beforeLines="50"/>
                    <w:jc w:val="center"/>
                    <w:rPr>
                      <w:rFonts w:eastAsia="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5" w:hRule="atLeast"/>
              </w:trPr>
              <w:tc>
                <w:tcPr>
                  <w:tcW w:w="1338" w:type="dxa"/>
                  <w:vMerge w:val="restart"/>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其项目所在地西面312m</w:t>
                  </w:r>
                  <w:r>
                    <w:rPr>
                      <w:rFonts w:hint="eastAsia"/>
                      <w:color w:val="000000" w:themeColor="text1"/>
                      <w:sz w:val="21"/>
                      <w:szCs w:val="21"/>
                      <w14:textFill>
                        <w14:solidFill>
                          <w14:schemeClr w14:val="tx1"/>
                        </w14:solidFill>
                      </w14:textFill>
                    </w:rPr>
                    <w:t>处</w:t>
                  </w:r>
                </w:p>
              </w:tc>
              <w:tc>
                <w:tcPr>
                  <w:tcW w:w="866" w:type="dxa"/>
                  <w:vMerge w:val="restart"/>
                  <w:vAlign w:val="center"/>
                </w:tcPr>
                <w:p>
                  <w:pPr>
                    <w:pStyle w:val="5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4046</w:t>
                  </w:r>
                </w:p>
              </w:tc>
              <w:tc>
                <w:tcPr>
                  <w:tcW w:w="1040" w:type="dxa"/>
                  <w:vMerge w:val="restart"/>
                  <w:vAlign w:val="center"/>
                </w:tcPr>
                <w:p>
                  <w:pPr>
                    <w:pStyle w:val="5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14</w:t>
                  </w:r>
                </w:p>
              </w:tc>
              <w:tc>
                <w:tcPr>
                  <w:tcW w:w="1119" w:type="dxa"/>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TVOC</w:t>
                  </w:r>
                </w:p>
              </w:tc>
              <w:tc>
                <w:tcPr>
                  <w:tcW w:w="1510" w:type="dxa"/>
                  <w:vMerge w:val="restart"/>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20</w:t>
                  </w:r>
                  <w:r>
                    <w:rPr>
                      <w:rFonts w:hint="eastAsia"/>
                      <w:color w:val="000000" w:themeColor="text1"/>
                      <w:sz w:val="21"/>
                      <w:szCs w:val="21"/>
                      <w14:textFill>
                        <w14:solidFill>
                          <w14:schemeClr w14:val="tx1"/>
                        </w14:solidFill>
                      </w14:textFill>
                    </w:rPr>
                    <w:t>20</w:t>
                  </w:r>
                  <w:r>
                    <w:rPr>
                      <w:color w:val="000000" w:themeColor="text1"/>
                      <w:sz w:val="21"/>
                      <w:szCs w:val="21"/>
                      <w14:textFill>
                        <w14:solidFill>
                          <w14:schemeClr w14:val="tx1"/>
                        </w14:solidFill>
                      </w14:textFill>
                    </w:rPr>
                    <w:t>年</w:t>
                  </w:r>
                  <w:r>
                    <w:rPr>
                      <w:rFonts w:hint="eastAsia"/>
                      <w:color w:val="000000" w:themeColor="text1"/>
                      <w:sz w:val="21"/>
                      <w:szCs w:val="21"/>
                      <w14:textFill>
                        <w14:solidFill>
                          <w14:schemeClr w14:val="tx1"/>
                        </w14:solidFill>
                      </w14:textFill>
                    </w:rPr>
                    <w:t>4</w:t>
                  </w:r>
                  <w:r>
                    <w:rPr>
                      <w:color w:val="000000" w:themeColor="text1"/>
                      <w:sz w:val="21"/>
                      <w:szCs w:val="21"/>
                      <w14:textFill>
                        <w14:solidFill>
                          <w14:schemeClr w14:val="tx1"/>
                        </w14:solidFill>
                      </w14:textFill>
                    </w:rPr>
                    <w:t>月</w:t>
                  </w:r>
                  <w:r>
                    <w:rPr>
                      <w:rFonts w:hint="eastAsia"/>
                      <w:color w:val="000000" w:themeColor="text1"/>
                      <w:sz w:val="21"/>
                      <w:szCs w:val="21"/>
                      <w14:textFill>
                        <w14:solidFill>
                          <w14:schemeClr w14:val="tx1"/>
                        </w14:solidFill>
                      </w14:textFill>
                    </w:rPr>
                    <w:t>13</w:t>
                  </w:r>
                  <w:r>
                    <w:rPr>
                      <w:color w:val="000000" w:themeColor="text1"/>
                      <w:sz w:val="21"/>
                      <w:szCs w:val="21"/>
                      <w14:textFill>
                        <w14:solidFill>
                          <w14:schemeClr w14:val="tx1"/>
                        </w14:solidFill>
                      </w14:textFill>
                    </w:rPr>
                    <w:t>日</w:t>
                  </w:r>
                  <w:r>
                    <w:rPr>
                      <w:rFonts w:hint="eastAsia"/>
                      <w:color w:val="000000" w:themeColor="text1"/>
                      <w:sz w:val="21"/>
                      <w:szCs w:val="21"/>
                      <w14:textFill>
                        <w14:solidFill>
                          <w14:schemeClr w14:val="tx1"/>
                        </w14:solidFill>
                      </w14:textFill>
                    </w:rPr>
                    <w:t>-15日</w:t>
                  </w:r>
                </w:p>
              </w:tc>
              <w:tc>
                <w:tcPr>
                  <w:tcW w:w="1228" w:type="dxa"/>
                  <w:vMerge w:val="restart"/>
                  <w:vAlign w:val="center"/>
                </w:tcPr>
                <w:p>
                  <w:pPr>
                    <w:pStyle w:val="5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西南</w:t>
                  </w:r>
                </w:p>
              </w:tc>
              <w:tc>
                <w:tcPr>
                  <w:tcW w:w="1193" w:type="dxa"/>
                  <w:vMerge w:val="restart"/>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8" w:type="dxa"/>
                  <w:vMerge w:val="continue"/>
                  <w:vAlign w:val="center"/>
                </w:tcPr>
                <w:p>
                  <w:pPr>
                    <w:pStyle w:val="55"/>
                    <w:adjustRightInd w:val="0"/>
                    <w:snapToGrid w:val="0"/>
                    <w:jc w:val="center"/>
                    <w:rPr>
                      <w:color w:val="000000" w:themeColor="text1"/>
                      <w:sz w:val="21"/>
                      <w:szCs w:val="21"/>
                      <w14:textFill>
                        <w14:solidFill>
                          <w14:schemeClr w14:val="tx1"/>
                        </w14:solidFill>
                      </w14:textFill>
                    </w:rPr>
                  </w:pPr>
                </w:p>
              </w:tc>
              <w:tc>
                <w:tcPr>
                  <w:tcW w:w="866" w:type="dxa"/>
                  <w:vMerge w:val="continue"/>
                  <w:vAlign w:val="center"/>
                </w:tcPr>
                <w:p>
                  <w:pPr>
                    <w:pStyle w:val="55"/>
                    <w:adjustRightInd w:val="0"/>
                    <w:snapToGrid w:val="0"/>
                    <w:jc w:val="center"/>
                    <w:rPr>
                      <w:color w:val="000000" w:themeColor="text1"/>
                      <w:sz w:val="21"/>
                      <w:szCs w:val="21"/>
                      <w14:textFill>
                        <w14:solidFill>
                          <w14:schemeClr w14:val="tx1"/>
                        </w14:solidFill>
                      </w14:textFill>
                    </w:rPr>
                  </w:pPr>
                </w:p>
              </w:tc>
              <w:tc>
                <w:tcPr>
                  <w:tcW w:w="1040" w:type="dxa"/>
                  <w:vMerge w:val="continue"/>
                  <w:vAlign w:val="center"/>
                </w:tcPr>
                <w:p>
                  <w:pPr>
                    <w:pStyle w:val="55"/>
                    <w:adjustRightInd w:val="0"/>
                    <w:snapToGrid w:val="0"/>
                    <w:jc w:val="center"/>
                    <w:rPr>
                      <w:color w:val="000000" w:themeColor="text1"/>
                      <w:sz w:val="21"/>
                      <w:szCs w:val="21"/>
                      <w14:textFill>
                        <w14:solidFill>
                          <w14:schemeClr w14:val="tx1"/>
                        </w14:solidFill>
                      </w14:textFill>
                    </w:rPr>
                  </w:pPr>
                </w:p>
              </w:tc>
              <w:tc>
                <w:tcPr>
                  <w:tcW w:w="1119" w:type="dxa"/>
                  <w:vAlign w:val="center"/>
                </w:tcPr>
                <w:p>
                  <w:pPr>
                    <w:pStyle w:val="55"/>
                    <w:adjustRightInd w:val="0"/>
                    <w:snapToGrid w:val="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TSP</w:t>
                  </w:r>
                </w:p>
              </w:tc>
              <w:tc>
                <w:tcPr>
                  <w:tcW w:w="1510" w:type="dxa"/>
                  <w:vMerge w:val="continue"/>
                  <w:vAlign w:val="center"/>
                </w:tcPr>
                <w:p>
                  <w:pPr>
                    <w:pStyle w:val="55"/>
                    <w:adjustRightInd w:val="0"/>
                    <w:snapToGrid w:val="0"/>
                    <w:jc w:val="center"/>
                    <w:rPr>
                      <w:color w:val="000000" w:themeColor="text1"/>
                      <w:sz w:val="21"/>
                      <w:szCs w:val="21"/>
                      <w14:textFill>
                        <w14:solidFill>
                          <w14:schemeClr w14:val="tx1"/>
                        </w14:solidFill>
                      </w14:textFill>
                    </w:rPr>
                  </w:pPr>
                </w:p>
              </w:tc>
              <w:tc>
                <w:tcPr>
                  <w:tcW w:w="1228" w:type="dxa"/>
                  <w:vMerge w:val="continue"/>
                  <w:vAlign w:val="center"/>
                </w:tcPr>
                <w:p>
                  <w:pPr>
                    <w:pStyle w:val="55"/>
                    <w:adjustRightInd w:val="0"/>
                    <w:snapToGrid w:val="0"/>
                    <w:jc w:val="center"/>
                    <w:rPr>
                      <w:color w:val="000000" w:themeColor="text1"/>
                      <w:sz w:val="21"/>
                      <w:szCs w:val="21"/>
                      <w14:textFill>
                        <w14:solidFill>
                          <w14:schemeClr w14:val="tx1"/>
                        </w14:solidFill>
                      </w14:textFill>
                    </w:rPr>
                  </w:pPr>
                </w:p>
              </w:tc>
              <w:tc>
                <w:tcPr>
                  <w:tcW w:w="1193" w:type="dxa"/>
                  <w:vMerge w:val="continue"/>
                  <w:vAlign w:val="center"/>
                </w:tcPr>
                <w:p>
                  <w:pPr>
                    <w:pStyle w:val="55"/>
                    <w:adjustRightInd w:val="0"/>
                    <w:snapToGrid w:val="0"/>
                    <w:jc w:val="center"/>
                    <w:rPr>
                      <w:color w:val="000000" w:themeColor="text1"/>
                      <w:sz w:val="21"/>
                      <w:szCs w:val="21"/>
                      <w14:textFill>
                        <w14:solidFill>
                          <w14:schemeClr w14:val="tx1"/>
                        </w14:solidFill>
                      </w14:textFill>
                    </w:rPr>
                  </w:pPr>
                </w:p>
              </w:tc>
            </w:tr>
          </w:tbl>
          <w:p>
            <w:pPr>
              <w:pStyle w:val="55"/>
              <w:adjustRightInd w:val="0"/>
              <w:snapToGrid w:val="0"/>
              <w:spacing w:before="156" w:beforeLines="50" w:line="360" w:lineRule="auto"/>
              <w:ind w:firstLine="422" w:firstLineChars="20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表3-2  TVOC 环境质量现状（监测结果）表</w:t>
            </w:r>
          </w:p>
          <w:tbl>
            <w:tblPr>
              <w:tblStyle w:val="39"/>
              <w:tblW w:w="8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745"/>
              <w:gridCol w:w="725"/>
              <w:gridCol w:w="798"/>
              <w:gridCol w:w="797"/>
              <w:gridCol w:w="1221"/>
              <w:gridCol w:w="1380"/>
              <w:gridCol w:w="740"/>
              <w:gridCol w:w="559"/>
              <w:gridCol w:w="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773" w:type="dxa"/>
                  <w:vMerge w:val="restart"/>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监测点位</w:t>
                  </w:r>
                </w:p>
              </w:tc>
              <w:tc>
                <w:tcPr>
                  <w:tcW w:w="1470" w:type="dxa"/>
                  <w:gridSpan w:val="2"/>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监测点坐标/m</w:t>
                  </w:r>
                </w:p>
              </w:tc>
              <w:tc>
                <w:tcPr>
                  <w:tcW w:w="798" w:type="dxa"/>
                  <w:vMerge w:val="restart"/>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污染物</w:t>
                  </w:r>
                </w:p>
              </w:tc>
              <w:tc>
                <w:tcPr>
                  <w:tcW w:w="797" w:type="dxa"/>
                  <w:vMerge w:val="restart"/>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平均时间</w:t>
                  </w:r>
                </w:p>
              </w:tc>
              <w:tc>
                <w:tcPr>
                  <w:tcW w:w="1221" w:type="dxa"/>
                  <w:vMerge w:val="restart"/>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评价标准（mg/m</w:t>
                  </w:r>
                  <w:r>
                    <w:rPr>
                      <w:b/>
                      <w:bCs/>
                      <w:color w:val="000000" w:themeColor="text1"/>
                      <w:sz w:val="21"/>
                      <w:szCs w:val="21"/>
                      <w:vertAlign w:val="superscript"/>
                      <w14:textFill>
                        <w14:solidFill>
                          <w14:schemeClr w14:val="tx1"/>
                        </w14:solidFill>
                      </w14:textFill>
                    </w:rPr>
                    <w:t>3</w:t>
                  </w:r>
                  <w:r>
                    <w:rPr>
                      <w:b/>
                      <w:bCs/>
                      <w:color w:val="000000" w:themeColor="text1"/>
                      <w:sz w:val="21"/>
                      <w:szCs w:val="21"/>
                      <w14:textFill>
                        <w14:solidFill>
                          <w14:schemeClr w14:val="tx1"/>
                        </w14:solidFill>
                      </w14:textFill>
                    </w:rPr>
                    <w:t>）</w:t>
                  </w:r>
                </w:p>
              </w:tc>
              <w:tc>
                <w:tcPr>
                  <w:tcW w:w="1380" w:type="dxa"/>
                  <w:vMerge w:val="restart"/>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监测浓度范围（</w:t>
                  </w:r>
                  <w:r>
                    <w:rPr>
                      <w:rFonts w:hint="eastAsia"/>
                      <w:b/>
                      <w:bCs/>
                      <w:color w:val="000000" w:themeColor="text1"/>
                      <w:sz w:val="21"/>
                      <w:szCs w:val="21"/>
                      <w14:textFill>
                        <w14:solidFill>
                          <w14:schemeClr w14:val="tx1"/>
                        </w14:solidFill>
                      </w14:textFill>
                    </w:rPr>
                    <w:t>m</w:t>
                  </w:r>
                  <w:r>
                    <w:rPr>
                      <w:b/>
                      <w:bCs/>
                      <w:color w:val="000000" w:themeColor="text1"/>
                      <w:sz w:val="21"/>
                      <w:szCs w:val="21"/>
                      <w14:textFill>
                        <w14:solidFill>
                          <w14:schemeClr w14:val="tx1"/>
                        </w14:solidFill>
                      </w14:textFill>
                    </w:rPr>
                    <w:t>g/m</w:t>
                  </w:r>
                  <w:r>
                    <w:rPr>
                      <w:b/>
                      <w:bCs/>
                      <w:color w:val="000000" w:themeColor="text1"/>
                      <w:sz w:val="21"/>
                      <w:szCs w:val="21"/>
                      <w:vertAlign w:val="superscript"/>
                      <w14:textFill>
                        <w14:solidFill>
                          <w14:schemeClr w14:val="tx1"/>
                        </w14:solidFill>
                      </w14:textFill>
                    </w:rPr>
                    <w:t>3</w:t>
                  </w:r>
                  <w:r>
                    <w:rPr>
                      <w:b/>
                      <w:bCs/>
                      <w:color w:val="000000" w:themeColor="text1"/>
                      <w:sz w:val="21"/>
                      <w:szCs w:val="21"/>
                      <w14:textFill>
                        <w14:solidFill>
                          <w14:schemeClr w14:val="tx1"/>
                        </w14:solidFill>
                      </w14:textFill>
                    </w:rPr>
                    <w:t>）</w:t>
                  </w:r>
                </w:p>
              </w:tc>
              <w:tc>
                <w:tcPr>
                  <w:tcW w:w="740" w:type="dxa"/>
                  <w:vMerge w:val="restart"/>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最大浓度占标率/%</w:t>
                  </w:r>
                </w:p>
              </w:tc>
              <w:tc>
                <w:tcPr>
                  <w:tcW w:w="559" w:type="dxa"/>
                  <w:vMerge w:val="restart"/>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超标率/%</w:t>
                  </w:r>
                </w:p>
              </w:tc>
              <w:tc>
                <w:tcPr>
                  <w:tcW w:w="556" w:type="dxa"/>
                  <w:vMerge w:val="restart"/>
                  <w:vAlign w:val="center"/>
                </w:tcPr>
                <w:p>
                  <w:pPr>
                    <w:pStyle w:val="55"/>
                    <w:adjustRightInd w:val="0"/>
                    <w:snapToGrid w:val="0"/>
                    <w:jc w:val="center"/>
                    <w:rPr>
                      <w:b/>
                      <w:bCs/>
                      <w:color w:val="000000" w:themeColor="text1"/>
                      <w:sz w:val="21"/>
                      <w:szCs w:val="21"/>
                      <w:vertAlign w:val="subscript"/>
                      <w14:textFill>
                        <w14:solidFill>
                          <w14:schemeClr w14:val="tx1"/>
                        </w14:solidFill>
                      </w14:textFill>
                    </w:rPr>
                  </w:pPr>
                  <w:r>
                    <w:rPr>
                      <w:b/>
                      <w:bCs/>
                      <w:color w:val="000000" w:themeColor="text1"/>
                      <w:sz w:val="21"/>
                      <w:szCs w:val="21"/>
                      <w14:textFill>
                        <w14:solidFill>
                          <w14:schemeClr w14:val="tx1"/>
                        </w14:solidFill>
                      </w14:textFill>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 w:hRule="atLeast"/>
                <w:jc w:val="center"/>
              </w:trPr>
              <w:tc>
                <w:tcPr>
                  <w:tcW w:w="773" w:type="dxa"/>
                  <w:vMerge w:val="continue"/>
                  <w:vAlign w:val="center"/>
                </w:tcPr>
                <w:p>
                  <w:pPr>
                    <w:pStyle w:val="55"/>
                    <w:adjustRightInd w:val="0"/>
                    <w:snapToGrid w:val="0"/>
                    <w:jc w:val="center"/>
                    <w:rPr>
                      <w:color w:val="000000" w:themeColor="text1"/>
                      <w14:textFill>
                        <w14:solidFill>
                          <w14:schemeClr w14:val="tx1"/>
                        </w14:solidFill>
                      </w14:textFill>
                    </w:rPr>
                  </w:pPr>
                </w:p>
              </w:tc>
              <w:tc>
                <w:tcPr>
                  <w:tcW w:w="745" w:type="dxa"/>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X</w:t>
                  </w:r>
                </w:p>
              </w:tc>
              <w:tc>
                <w:tcPr>
                  <w:tcW w:w="725" w:type="dxa"/>
                  <w:vAlign w:val="center"/>
                </w:tcPr>
                <w:p>
                  <w:pPr>
                    <w:pStyle w:val="55"/>
                    <w:adjustRightInd w:val="0"/>
                    <w:snapToGrid w:val="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Y</w:t>
                  </w:r>
                </w:p>
              </w:tc>
              <w:tc>
                <w:tcPr>
                  <w:tcW w:w="798" w:type="dxa"/>
                  <w:vMerge w:val="continue"/>
                  <w:vAlign w:val="center"/>
                </w:tcPr>
                <w:p>
                  <w:pPr>
                    <w:pStyle w:val="55"/>
                    <w:adjustRightInd w:val="0"/>
                    <w:snapToGrid w:val="0"/>
                    <w:jc w:val="center"/>
                    <w:rPr>
                      <w:rFonts w:eastAsia="Times New Roman"/>
                      <w:color w:val="000000" w:themeColor="text1"/>
                      <w14:textFill>
                        <w14:solidFill>
                          <w14:schemeClr w14:val="tx1"/>
                        </w14:solidFill>
                      </w14:textFill>
                    </w:rPr>
                  </w:pPr>
                </w:p>
              </w:tc>
              <w:tc>
                <w:tcPr>
                  <w:tcW w:w="797" w:type="dxa"/>
                  <w:vMerge w:val="continue"/>
                  <w:vAlign w:val="center"/>
                </w:tcPr>
                <w:p>
                  <w:pPr>
                    <w:pStyle w:val="55"/>
                    <w:adjustRightInd w:val="0"/>
                    <w:snapToGrid w:val="0"/>
                    <w:jc w:val="center"/>
                    <w:rPr>
                      <w:color w:val="000000" w:themeColor="text1"/>
                      <w14:textFill>
                        <w14:solidFill>
                          <w14:schemeClr w14:val="tx1"/>
                        </w14:solidFill>
                      </w14:textFill>
                    </w:rPr>
                  </w:pPr>
                </w:p>
              </w:tc>
              <w:tc>
                <w:tcPr>
                  <w:tcW w:w="1221" w:type="dxa"/>
                  <w:vMerge w:val="continue"/>
                  <w:vAlign w:val="center"/>
                </w:tcPr>
                <w:p>
                  <w:pPr>
                    <w:pStyle w:val="55"/>
                    <w:adjustRightInd w:val="0"/>
                    <w:snapToGrid w:val="0"/>
                    <w:jc w:val="center"/>
                    <w:rPr>
                      <w:color w:val="000000" w:themeColor="text1"/>
                      <w14:textFill>
                        <w14:solidFill>
                          <w14:schemeClr w14:val="tx1"/>
                        </w14:solidFill>
                      </w14:textFill>
                    </w:rPr>
                  </w:pPr>
                </w:p>
              </w:tc>
              <w:tc>
                <w:tcPr>
                  <w:tcW w:w="1380" w:type="dxa"/>
                  <w:vMerge w:val="continue"/>
                  <w:vAlign w:val="center"/>
                </w:tcPr>
                <w:p>
                  <w:pPr>
                    <w:pStyle w:val="55"/>
                    <w:adjustRightInd w:val="0"/>
                    <w:snapToGrid w:val="0"/>
                    <w:jc w:val="center"/>
                    <w:rPr>
                      <w:rFonts w:eastAsia="Times New Roman"/>
                      <w:color w:val="000000" w:themeColor="text1"/>
                      <w14:textFill>
                        <w14:solidFill>
                          <w14:schemeClr w14:val="tx1"/>
                        </w14:solidFill>
                      </w14:textFill>
                    </w:rPr>
                  </w:pPr>
                </w:p>
              </w:tc>
              <w:tc>
                <w:tcPr>
                  <w:tcW w:w="740" w:type="dxa"/>
                  <w:vMerge w:val="continue"/>
                  <w:vAlign w:val="center"/>
                </w:tcPr>
                <w:p>
                  <w:pPr>
                    <w:pStyle w:val="55"/>
                    <w:adjustRightInd w:val="0"/>
                    <w:snapToGrid w:val="0"/>
                    <w:jc w:val="center"/>
                    <w:rPr>
                      <w:color w:val="000000" w:themeColor="text1"/>
                      <w14:textFill>
                        <w14:solidFill>
                          <w14:schemeClr w14:val="tx1"/>
                        </w14:solidFill>
                      </w14:textFill>
                    </w:rPr>
                  </w:pPr>
                </w:p>
              </w:tc>
              <w:tc>
                <w:tcPr>
                  <w:tcW w:w="559" w:type="dxa"/>
                  <w:vMerge w:val="continue"/>
                  <w:vAlign w:val="center"/>
                </w:tcPr>
                <w:p>
                  <w:pPr>
                    <w:pStyle w:val="55"/>
                    <w:adjustRightInd w:val="0"/>
                    <w:snapToGrid w:val="0"/>
                    <w:jc w:val="center"/>
                    <w:rPr>
                      <w:rFonts w:eastAsia="Times New Roman"/>
                      <w:color w:val="000000" w:themeColor="text1"/>
                      <w14:textFill>
                        <w14:solidFill>
                          <w14:schemeClr w14:val="tx1"/>
                        </w14:solidFill>
                      </w14:textFill>
                    </w:rPr>
                  </w:pPr>
                </w:p>
              </w:tc>
              <w:tc>
                <w:tcPr>
                  <w:tcW w:w="556" w:type="dxa"/>
                  <w:vMerge w:val="continue"/>
                  <w:vAlign w:val="center"/>
                </w:tcPr>
                <w:p>
                  <w:pPr>
                    <w:pStyle w:val="55"/>
                    <w:adjustRightInd w:val="0"/>
                    <w:snapToGrid w:val="0"/>
                    <w:jc w:val="center"/>
                    <w:rPr>
                      <w:rFonts w:eastAsia="Times New Roman"/>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773" w:type="dxa"/>
                  <w:vMerge w:val="restart"/>
                  <w:vAlign w:val="center"/>
                </w:tcPr>
                <w:p>
                  <w:pPr>
                    <w:pStyle w:val="55"/>
                    <w:adjustRightInd w:val="0"/>
                    <w:snapToGrid w:val="0"/>
                    <w:ind w:left="-105" w:leftChars="-50" w:right="-105" w:rightChars="-5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其项目所在地西面312m处</w:t>
                  </w:r>
                </w:p>
              </w:tc>
              <w:tc>
                <w:tcPr>
                  <w:tcW w:w="745" w:type="dxa"/>
                  <w:vMerge w:val="restart"/>
                  <w:vAlign w:val="center"/>
                </w:tcPr>
                <w:p>
                  <w:pPr>
                    <w:pStyle w:val="5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4046</w:t>
                  </w:r>
                </w:p>
              </w:tc>
              <w:tc>
                <w:tcPr>
                  <w:tcW w:w="725" w:type="dxa"/>
                  <w:vMerge w:val="restart"/>
                  <w:vAlign w:val="center"/>
                </w:tcPr>
                <w:p>
                  <w:pPr>
                    <w:pStyle w:val="5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r>
                    <w:rPr>
                      <w:color w:val="000000" w:themeColor="text1"/>
                      <w:sz w:val="21"/>
                      <w:szCs w:val="21"/>
                      <w14:textFill>
                        <w14:solidFill>
                          <w14:schemeClr w14:val="tx1"/>
                        </w14:solidFill>
                      </w14:textFill>
                    </w:rPr>
                    <w:t>14</w:t>
                  </w:r>
                </w:p>
              </w:tc>
              <w:tc>
                <w:tcPr>
                  <w:tcW w:w="798" w:type="dxa"/>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TVOC</w:t>
                  </w:r>
                </w:p>
              </w:tc>
              <w:tc>
                <w:tcPr>
                  <w:tcW w:w="797" w:type="dxa"/>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8小时平均值</w:t>
                  </w:r>
                </w:p>
              </w:tc>
              <w:tc>
                <w:tcPr>
                  <w:tcW w:w="1221" w:type="dxa"/>
                  <w:vAlign w:val="center"/>
                </w:tcPr>
                <w:p>
                  <w:pPr>
                    <w:pStyle w:val="5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0.6</w:t>
                  </w:r>
                </w:p>
              </w:tc>
              <w:tc>
                <w:tcPr>
                  <w:tcW w:w="1380" w:type="dxa"/>
                  <w:vAlign w:val="center"/>
                </w:tcPr>
                <w:p>
                  <w:pPr>
                    <w:pStyle w:val="5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0.078~0.092</w:t>
                  </w:r>
                </w:p>
              </w:tc>
              <w:tc>
                <w:tcPr>
                  <w:tcW w:w="740" w:type="dxa"/>
                  <w:vAlign w:val="center"/>
                </w:tcPr>
                <w:p>
                  <w:pPr>
                    <w:pStyle w:val="5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15.3</w:t>
                  </w:r>
                </w:p>
              </w:tc>
              <w:tc>
                <w:tcPr>
                  <w:tcW w:w="559" w:type="dxa"/>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556" w:type="dxa"/>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773" w:type="dxa"/>
                  <w:vMerge w:val="continue"/>
                  <w:vAlign w:val="center"/>
                </w:tcPr>
                <w:p>
                  <w:pPr>
                    <w:pStyle w:val="55"/>
                    <w:adjustRightInd w:val="0"/>
                    <w:snapToGrid w:val="0"/>
                    <w:jc w:val="center"/>
                    <w:rPr>
                      <w:color w:val="000000" w:themeColor="text1"/>
                      <w:sz w:val="21"/>
                      <w:szCs w:val="21"/>
                      <w14:textFill>
                        <w14:solidFill>
                          <w14:schemeClr w14:val="tx1"/>
                        </w14:solidFill>
                      </w14:textFill>
                    </w:rPr>
                  </w:pPr>
                </w:p>
              </w:tc>
              <w:tc>
                <w:tcPr>
                  <w:tcW w:w="745" w:type="dxa"/>
                  <w:vMerge w:val="continue"/>
                  <w:vAlign w:val="center"/>
                </w:tcPr>
                <w:p>
                  <w:pPr>
                    <w:pStyle w:val="55"/>
                    <w:adjustRightInd w:val="0"/>
                    <w:snapToGrid w:val="0"/>
                    <w:jc w:val="center"/>
                    <w:rPr>
                      <w:color w:val="000000" w:themeColor="text1"/>
                      <w:sz w:val="21"/>
                      <w:szCs w:val="21"/>
                      <w14:textFill>
                        <w14:solidFill>
                          <w14:schemeClr w14:val="tx1"/>
                        </w14:solidFill>
                      </w14:textFill>
                    </w:rPr>
                  </w:pPr>
                </w:p>
              </w:tc>
              <w:tc>
                <w:tcPr>
                  <w:tcW w:w="725" w:type="dxa"/>
                  <w:vMerge w:val="continue"/>
                  <w:vAlign w:val="center"/>
                </w:tcPr>
                <w:p>
                  <w:pPr>
                    <w:pStyle w:val="55"/>
                    <w:adjustRightInd w:val="0"/>
                    <w:snapToGrid w:val="0"/>
                    <w:jc w:val="center"/>
                    <w:rPr>
                      <w:color w:val="000000" w:themeColor="text1"/>
                      <w:sz w:val="21"/>
                      <w:szCs w:val="21"/>
                      <w14:textFill>
                        <w14:solidFill>
                          <w14:schemeClr w14:val="tx1"/>
                        </w14:solidFill>
                      </w14:textFill>
                    </w:rPr>
                  </w:pPr>
                </w:p>
              </w:tc>
              <w:tc>
                <w:tcPr>
                  <w:tcW w:w="798" w:type="dxa"/>
                  <w:vAlign w:val="center"/>
                </w:tcPr>
                <w:p>
                  <w:pPr>
                    <w:pStyle w:val="55"/>
                    <w:adjustRightInd w:val="0"/>
                    <w:snapToGrid w:val="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TSP</w:t>
                  </w:r>
                </w:p>
              </w:tc>
              <w:tc>
                <w:tcPr>
                  <w:tcW w:w="797" w:type="dxa"/>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kern w:val="0"/>
                      <w:sz w:val="21"/>
                      <w:szCs w:val="21"/>
                      <w14:textFill>
                        <w14:solidFill>
                          <w14:schemeClr w14:val="tx1"/>
                        </w14:solidFill>
                      </w14:textFill>
                    </w:rPr>
                    <w:t>日均值</w:t>
                  </w:r>
                </w:p>
              </w:tc>
              <w:tc>
                <w:tcPr>
                  <w:tcW w:w="1221" w:type="dxa"/>
                  <w:vAlign w:val="center"/>
                </w:tcPr>
                <w:p>
                  <w:pPr>
                    <w:pStyle w:val="5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0.3</w:t>
                  </w:r>
                </w:p>
              </w:tc>
              <w:tc>
                <w:tcPr>
                  <w:tcW w:w="1380" w:type="dxa"/>
                  <w:vAlign w:val="center"/>
                </w:tcPr>
                <w:p>
                  <w:pPr>
                    <w:pStyle w:val="5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0.0165~0.083</w:t>
                  </w:r>
                </w:p>
              </w:tc>
              <w:tc>
                <w:tcPr>
                  <w:tcW w:w="740" w:type="dxa"/>
                  <w:vAlign w:val="center"/>
                </w:tcPr>
                <w:p>
                  <w:pPr>
                    <w:pStyle w:val="55"/>
                    <w:adjustRightInd w:val="0"/>
                    <w:snapToGrid w:val="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27.7</w:t>
                  </w:r>
                </w:p>
              </w:tc>
              <w:tc>
                <w:tcPr>
                  <w:tcW w:w="559" w:type="dxa"/>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0</w:t>
                  </w:r>
                </w:p>
              </w:tc>
              <w:tc>
                <w:tcPr>
                  <w:tcW w:w="556" w:type="dxa"/>
                  <w:vAlign w:val="center"/>
                </w:tcPr>
                <w:p>
                  <w:pPr>
                    <w:pStyle w:val="55"/>
                    <w:adjustRightInd w:val="0"/>
                    <w:snapToGrid w:val="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达标</w:t>
                  </w:r>
                </w:p>
              </w:tc>
            </w:tr>
          </w:tbl>
          <w:p>
            <w:pPr>
              <w:widowControl/>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由上述监测结果可知，本项目评价范围内监测点TVOC符合《环境影响评价技术导则-大气环境》（HJ2.2-2018）中附录D.1要求，TSP符合《环境空气质量标准》（GB3095-2012及其2018年修改单）中规定的二级标准要求，大气环境质量现状较好。</w:t>
            </w:r>
          </w:p>
          <w:p>
            <w:pPr>
              <w:pStyle w:val="2"/>
              <w:jc w:val="center"/>
              <w:rPr>
                <w:color w:val="7030A0"/>
              </w:rPr>
            </w:pPr>
            <w:r>
              <w:rPr>
                <w:color w:val="7030A0"/>
              </w:rPr>
              <w:pict>
                <v:shape id="1086" o:spid="_x0000_s2050" o:spt="75" type="#_x0000_t75" style="position:absolute;left:0pt;margin-left:329.85pt;margin-top:12.1pt;height:48.4pt;width:51.2pt;z-index:251663360;mso-width-relative:page;mso-height-relative:page;" o:ole="t" filled="f" o:preferrelative="t" stroked="f" coordsize="21600,21600">
                  <v:path/>
                  <v:fill on="f" focussize="0,0"/>
                  <v:stroke on="f" joinstyle="miter"/>
                  <v:imagedata r:id="rId26" o:title=""/>
                  <o:lock v:ext="edit" aspectratio="t"/>
                </v:shape>
                <o:OLEObject Type="Embed" ProgID="Visio.Drawing.15" ShapeID="1086" DrawAspect="Content" ObjectID="_1468075726" r:id="rId25">
                  <o:LockedField>false</o:LockedField>
                </o:OLEObject>
              </w:pict>
            </w:r>
            <w:r>
              <w:drawing>
                <wp:inline distT="0" distB="0" distL="0" distR="0">
                  <wp:extent cx="4528185" cy="3978910"/>
                  <wp:effectExtent l="0" t="0" r="5715" b="254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27"/>
                          <a:stretch>
                            <a:fillRect/>
                          </a:stretch>
                        </pic:blipFill>
                        <pic:spPr>
                          <a:xfrm>
                            <a:off x="0" y="0"/>
                            <a:ext cx="4550061" cy="3997991"/>
                          </a:xfrm>
                          <a:prstGeom prst="rect">
                            <a:avLst/>
                          </a:prstGeom>
                        </pic:spPr>
                      </pic:pic>
                    </a:graphicData>
                  </a:graphic>
                </wp:inline>
              </w:drawing>
            </w:r>
          </w:p>
          <w:p>
            <w:pPr>
              <w:spacing w:line="360" w:lineRule="auto"/>
              <w:jc w:val="center"/>
              <w:rPr>
                <w:color w:val="000000" w:themeColor="text1"/>
                <w14:textFill>
                  <w14:solidFill>
                    <w14:schemeClr w14:val="tx1"/>
                  </w14:solidFill>
                </w14:textFill>
              </w:rPr>
            </w:pPr>
            <w:r>
              <w:rPr>
                <w:rFonts w:hint="eastAsia"/>
                <w:b/>
                <w:bCs/>
                <w:color w:val="000000" w:themeColor="text1"/>
                <w:szCs w:val="21"/>
                <w14:textFill>
                  <w14:solidFill>
                    <w14:schemeClr w14:val="tx1"/>
                  </w14:solidFill>
                </w14:textFill>
              </w:rPr>
              <w:t>图</w:t>
            </w:r>
            <w:r>
              <w:rPr>
                <w:b/>
                <w:bCs/>
                <w:color w:val="000000" w:themeColor="text1"/>
                <w:szCs w:val="21"/>
                <w14:textFill>
                  <w14:solidFill>
                    <w14:schemeClr w14:val="tx1"/>
                  </w14:solidFill>
                </w14:textFill>
              </w:rPr>
              <w:t>3-</w:t>
            </w:r>
            <w:r>
              <w:rPr>
                <w:rFonts w:hint="eastAsia"/>
                <w:b/>
                <w:bCs/>
                <w:color w:val="000000" w:themeColor="text1"/>
                <w:szCs w:val="21"/>
                <w14:textFill>
                  <w14:solidFill>
                    <w14:schemeClr w14:val="tx1"/>
                  </w14:solidFill>
                </w14:textFill>
              </w:rPr>
              <w:t>2</w:t>
            </w: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创举电子有限公司大气环境监测报告监测点位与本项目的距离关系图</w:t>
            </w:r>
          </w:p>
          <w:p>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2．地表水环境</w:t>
            </w:r>
          </w:p>
          <w:p>
            <w:pPr>
              <w:pStyle w:val="11"/>
              <w:ind w:firstLine="480"/>
              <w:rPr>
                <w:color w:val="000000" w:themeColor="text1"/>
                <w14:textFill>
                  <w14:solidFill>
                    <w14:schemeClr w14:val="tx1"/>
                  </w14:solidFill>
                </w14:textFill>
              </w:rPr>
            </w:pPr>
            <w:r>
              <w:rPr>
                <w:color w:val="000000" w:themeColor="text1"/>
                <w14:textFill>
                  <w14:solidFill>
                    <w14:schemeClr w14:val="tx1"/>
                  </w14:solidFill>
                </w14:textFill>
              </w:rPr>
              <w:t>本项目所在地区属于福田镇生活污水处理厂集污范围，纳污水体为福田河，福田河在《广东省地表水环境功能区划》（粤环〔2011〕14号）中没有明确规划，根据现场调查和当地环保部门的意见，可参照《地表水环境质量标准》（GB3838-2002）Ⅴ类标准。</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本评价引用《惠州市潍林科技有限公司建设项目环境影响报告表》中委托深圳市中创检测有限公司于2020年10月15日～10月17日对福田河河段水质的监测报告进行评价，详细见下表。</w:t>
            </w:r>
          </w:p>
          <w:p>
            <w:pPr>
              <w:pStyle w:val="2"/>
            </w:pPr>
          </w:p>
          <w:p/>
          <w:p>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hint="eastAsia" w:ascii="Times New Roman" w:hAnsi="Times New Roman" w:eastAsia="宋体"/>
                <w:color w:val="000000" w:themeColor="text1"/>
                <w:sz w:val="21"/>
                <w:szCs w:val="21"/>
                <w14:textFill>
                  <w14:solidFill>
                    <w14:schemeClr w14:val="tx1"/>
                  </w14:solidFill>
                </w14:textFill>
              </w:rPr>
              <w:t>表3-</w:t>
            </w:r>
            <w:r>
              <w:rPr>
                <w:rFonts w:ascii="Times New Roman" w:hAnsi="Times New Roman" w:eastAsia="宋体"/>
                <w:color w:val="000000" w:themeColor="text1"/>
                <w:sz w:val="21"/>
                <w:szCs w:val="21"/>
                <w14:textFill>
                  <w14:solidFill>
                    <w14:schemeClr w14:val="tx1"/>
                  </w14:solidFill>
                </w14:textFill>
              </w:rPr>
              <w:t>3地表水水质现状监测结果</w:t>
            </w:r>
          </w:p>
          <w:p>
            <w:pPr>
              <w:ind w:firstLine="357"/>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单位（pH、水温除外，水温的单位为℃，pH值无量纲）：mg/L</w:t>
            </w:r>
          </w:p>
          <w:tbl>
            <w:tblPr>
              <w:tblStyle w:val="39"/>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132"/>
              <w:gridCol w:w="783"/>
              <w:gridCol w:w="796"/>
              <w:gridCol w:w="783"/>
              <w:gridCol w:w="801"/>
              <w:gridCol w:w="831"/>
              <w:gridCol w:w="852"/>
              <w:gridCol w:w="831"/>
              <w:gridCol w:w="670"/>
              <w:gridCol w:w="81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6" w:hRule="atLeast"/>
                <w:jc w:val="center"/>
              </w:trPr>
              <w:tc>
                <w:tcPr>
                  <w:tcW w:w="683" w:type="pct"/>
                  <w:vMerge w:val="restart"/>
                  <w:vAlign w:val="center"/>
                </w:tcPr>
                <w:p>
                  <w:pPr>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检测项目</w:t>
                  </w:r>
                </w:p>
              </w:tc>
              <w:tc>
                <w:tcPr>
                  <w:tcW w:w="2922" w:type="pct"/>
                  <w:gridSpan w:val="6"/>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采样日期</w:t>
                  </w:r>
                </w:p>
              </w:tc>
              <w:tc>
                <w:tcPr>
                  <w:tcW w:w="501" w:type="pct"/>
                  <w:vMerge w:val="restart"/>
                  <w:vAlign w:val="center"/>
                </w:tcPr>
                <w:p>
                  <w:pPr>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最高允许排放浓度限值</w:t>
                  </w:r>
                </w:p>
              </w:tc>
              <w:tc>
                <w:tcPr>
                  <w:tcW w:w="404" w:type="pct"/>
                  <w:vMerge w:val="restart"/>
                  <w:vAlign w:val="center"/>
                </w:tcPr>
                <w:p>
                  <w:pPr>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单位</w:t>
                  </w:r>
                </w:p>
              </w:tc>
              <w:tc>
                <w:tcPr>
                  <w:tcW w:w="490" w:type="pct"/>
                  <w:vMerge w:val="restart"/>
                  <w:vAlign w:val="center"/>
                </w:tcPr>
                <w:p>
                  <w:pPr>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91" w:hRule="atLeast"/>
                <w:jc w:val="center"/>
              </w:trPr>
              <w:tc>
                <w:tcPr>
                  <w:tcW w:w="683" w:type="pct"/>
                  <w:vMerge w:val="continue"/>
                  <w:vAlign w:val="center"/>
                </w:tcPr>
                <w:p>
                  <w:pPr>
                    <w:widowControl/>
                    <w:jc w:val="left"/>
                    <w:rPr>
                      <w:color w:val="000000" w:themeColor="text1"/>
                      <w:szCs w:val="21"/>
                      <w14:textFill>
                        <w14:solidFill>
                          <w14:schemeClr w14:val="tx1"/>
                        </w14:solidFill>
                      </w14:textFill>
                    </w:rPr>
                  </w:pPr>
                </w:p>
              </w:tc>
              <w:tc>
                <w:tcPr>
                  <w:tcW w:w="952" w:type="pct"/>
                  <w:gridSpan w:val="2"/>
                  <w:vAlign w:val="center"/>
                </w:tcPr>
                <w:p>
                  <w:pPr>
                    <w:jc w:val="center"/>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2020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10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15</w:t>
                  </w:r>
                  <w:r>
                    <w:rPr>
                      <w:b/>
                      <w:bCs/>
                      <w:color w:val="000000" w:themeColor="text1"/>
                      <w:szCs w:val="21"/>
                      <w14:textFill>
                        <w14:solidFill>
                          <w14:schemeClr w14:val="tx1"/>
                        </w14:solidFill>
                      </w14:textFill>
                    </w:rPr>
                    <w:t xml:space="preserve"> </w:t>
                  </w:r>
                </w:p>
              </w:tc>
              <w:tc>
                <w:tcPr>
                  <w:tcW w:w="955" w:type="pct"/>
                  <w:gridSpan w:val="2"/>
                  <w:vAlign w:val="center"/>
                </w:tcPr>
                <w:p>
                  <w:pPr>
                    <w:jc w:val="center"/>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2020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10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16</w:t>
                  </w:r>
                </w:p>
              </w:tc>
              <w:tc>
                <w:tcPr>
                  <w:tcW w:w="1014" w:type="pct"/>
                  <w:gridSpan w:val="2"/>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2020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10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17</w:t>
                  </w:r>
                </w:p>
              </w:tc>
              <w:tc>
                <w:tcPr>
                  <w:tcW w:w="501" w:type="pct"/>
                  <w:vMerge w:val="continue"/>
                  <w:vAlign w:val="center"/>
                </w:tcPr>
                <w:p>
                  <w:pPr>
                    <w:widowControl/>
                    <w:jc w:val="left"/>
                    <w:rPr>
                      <w:color w:val="000000" w:themeColor="text1"/>
                      <w:szCs w:val="21"/>
                      <w14:textFill>
                        <w14:solidFill>
                          <w14:schemeClr w14:val="tx1"/>
                        </w14:solidFill>
                      </w14:textFill>
                    </w:rPr>
                  </w:pPr>
                </w:p>
              </w:tc>
              <w:tc>
                <w:tcPr>
                  <w:tcW w:w="404" w:type="pct"/>
                  <w:vMerge w:val="continue"/>
                  <w:vAlign w:val="center"/>
                </w:tcPr>
                <w:p>
                  <w:pPr>
                    <w:widowControl/>
                    <w:jc w:val="left"/>
                    <w:rPr>
                      <w:color w:val="000000" w:themeColor="text1"/>
                      <w:szCs w:val="21"/>
                      <w14:textFill>
                        <w14:solidFill>
                          <w14:schemeClr w14:val="tx1"/>
                        </w14:solidFill>
                      </w14:textFill>
                    </w:rPr>
                  </w:pPr>
                </w:p>
              </w:tc>
              <w:tc>
                <w:tcPr>
                  <w:tcW w:w="490" w:type="pct"/>
                  <w:vMerge w:val="continue"/>
                  <w:vAlign w:val="center"/>
                </w:tcPr>
                <w:p>
                  <w:pPr>
                    <w:widowControl/>
                    <w:jc w:val="left"/>
                    <w:rPr>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142" w:hRule="atLeast"/>
                <w:jc w:val="center"/>
              </w:trPr>
              <w:tc>
                <w:tcPr>
                  <w:tcW w:w="683" w:type="pct"/>
                  <w:vMerge w:val="continue"/>
                  <w:vAlign w:val="center"/>
                </w:tcPr>
                <w:p>
                  <w:pPr>
                    <w:widowControl/>
                    <w:jc w:val="left"/>
                    <w:rPr>
                      <w:color w:val="000000" w:themeColor="text1"/>
                      <w:szCs w:val="21"/>
                      <w14:textFill>
                        <w14:solidFill>
                          <w14:schemeClr w14:val="tx1"/>
                        </w14:solidFill>
                      </w14:textFill>
                    </w:rPr>
                  </w:pP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W1</w:t>
                  </w:r>
                </w:p>
              </w:tc>
              <w:tc>
                <w:tcPr>
                  <w:tcW w:w="48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W2</w:t>
                  </w: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W1</w:t>
                  </w:r>
                </w:p>
              </w:tc>
              <w:tc>
                <w:tcPr>
                  <w:tcW w:w="4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W2</w:t>
                  </w:r>
                </w:p>
              </w:tc>
              <w:tc>
                <w:tcPr>
                  <w:tcW w:w="50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W1</w:t>
                  </w:r>
                </w:p>
              </w:tc>
              <w:tc>
                <w:tcPr>
                  <w:tcW w:w="51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W2</w:t>
                  </w:r>
                </w:p>
              </w:tc>
              <w:tc>
                <w:tcPr>
                  <w:tcW w:w="501" w:type="pct"/>
                  <w:vMerge w:val="continue"/>
                  <w:vAlign w:val="center"/>
                </w:tcPr>
                <w:p>
                  <w:pPr>
                    <w:widowControl/>
                    <w:jc w:val="left"/>
                    <w:rPr>
                      <w:color w:val="000000" w:themeColor="text1"/>
                      <w:szCs w:val="21"/>
                      <w14:textFill>
                        <w14:solidFill>
                          <w14:schemeClr w14:val="tx1"/>
                        </w14:solidFill>
                      </w14:textFill>
                    </w:rPr>
                  </w:pPr>
                </w:p>
              </w:tc>
              <w:tc>
                <w:tcPr>
                  <w:tcW w:w="404" w:type="pct"/>
                  <w:vMerge w:val="continue"/>
                  <w:vAlign w:val="center"/>
                </w:tcPr>
                <w:p>
                  <w:pPr>
                    <w:widowControl/>
                    <w:jc w:val="left"/>
                    <w:rPr>
                      <w:color w:val="000000" w:themeColor="text1"/>
                      <w:szCs w:val="21"/>
                      <w14:textFill>
                        <w14:solidFill>
                          <w14:schemeClr w14:val="tx1"/>
                        </w14:solidFill>
                      </w14:textFill>
                    </w:rPr>
                  </w:pPr>
                </w:p>
              </w:tc>
              <w:tc>
                <w:tcPr>
                  <w:tcW w:w="490" w:type="pct"/>
                  <w:vMerge w:val="continue"/>
                  <w:vAlign w:val="center"/>
                </w:tcPr>
                <w:p>
                  <w:pPr>
                    <w:widowControl/>
                    <w:jc w:val="left"/>
                    <w:rPr>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90" w:hRule="atLeast"/>
                <w:jc w:val="center"/>
              </w:trPr>
              <w:tc>
                <w:tcPr>
                  <w:tcW w:w="6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pH</w:t>
                  </w: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6.44</w:t>
                  </w:r>
                </w:p>
              </w:tc>
              <w:tc>
                <w:tcPr>
                  <w:tcW w:w="48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6.40</w:t>
                  </w: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6.32</w:t>
                  </w:r>
                </w:p>
              </w:tc>
              <w:tc>
                <w:tcPr>
                  <w:tcW w:w="4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6.30</w:t>
                  </w:r>
                </w:p>
              </w:tc>
              <w:tc>
                <w:tcPr>
                  <w:tcW w:w="50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6.49</w:t>
                  </w:r>
                </w:p>
              </w:tc>
              <w:tc>
                <w:tcPr>
                  <w:tcW w:w="51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6.52</w:t>
                  </w:r>
                </w:p>
              </w:tc>
              <w:tc>
                <w:tcPr>
                  <w:tcW w:w="50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6～9</w:t>
                  </w:r>
                </w:p>
              </w:tc>
              <w:tc>
                <w:tcPr>
                  <w:tcW w:w="40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无量纲</w:t>
                  </w:r>
                </w:p>
              </w:tc>
              <w:tc>
                <w:tcPr>
                  <w:tcW w:w="490" w:type="pct"/>
                  <w:vAlign w:val="center"/>
                </w:tcPr>
                <w:p>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达标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26" w:hRule="atLeast"/>
                <w:jc w:val="center"/>
              </w:trPr>
              <w:tc>
                <w:tcPr>
                  <w:tcW w:w="6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COD（化学需氧量）</w:t>
                  </w: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16.4</w:t>
                  </w:r>
                </w:p>
              </w:tc>
              <w:tc>
                <w:tcPr>
                  <w:tcW w:w="48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16.8</w:t>
                  </w: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13.5</w:t>
                  </w:r>
                </w:p>
              </w:tc>
              <w:tc>
                <w:tcPr>
                  <w:tcW w:w="4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19.1</w:t>
                  </w:r>
                </w:p>
              </w:tc>
              <w:tc>
                <w:tcPr>
                  <w:tcW w:w="50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18.9</w:t>
                  </w:r>
                </w:p>
              </w:tc>
              <w:tc>
                <w:tcPr>
                  <w:tcW w:w="51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19.2</w:t>
                  </w:r>
                </w:p>
              </w:tc>
              <w:tc>
                <w:tcPr>
                  <w:tcW w:w="50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w:t>
                  </w:r>
                </w:p>
              </w:tc>
              <w:tc>
                <w:tcPr>
                  <w:tcW w:w="40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mg/L</w:t>
                  </w:r>
                </w:p>
              </w:tc>
              <w:tc>
                <w:tcPr>
                  <w:tcW w:w="490" w:type="pct"/>
                  <w:vAlign w:val="center"/>
                </w:tcPr>
                <w:p>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达标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26" w:hRule="atLeast"/>
                <w:jc w:val="center"/>
              </w:trPr>
              <w:tc>
                <w:tcPr>
                  <w:tcW w:w="6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r>
                    <w:rPr>
                      <w:color w:val="000000" w:themeColor="text1"/>
                      <w:szCs w:val="21"/>
                      <w14:textFill>
                        <w14:solidFill>
                          <w14:schemeClr w14:val="tx1"/>
                        </w14:solidFill>
                      </w14:textFill>
                    </w:rPr>
                    <w:t>（五日生化需氧量）</w:t>
                  </w: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3.65</w:t>
                  </w:r>
                </w:p>
              </w:tc>
              <w:tc>
                <w:tcPr>
                  <w:tcW w:w="48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2.90</w:t>
                  </w: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3.32</w:t>
                  </w:r>
                </w:p>
              </w:tc>
              <w:tc>
                <w:tcPr>
                  <w:tcW w:w="4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4.22</w:t>
                  </w:r>
                </w:p>
              </w:tc>
              <w:tc>
                <w:tcPr>
                  <w:tcW w:w="50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5.33</w:t>
                  </w:r>
                </w:p>
              </w:tc>
              <w:tc>
                <w:tcPr>
                  <w:tcW w:w="51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4.97</w:t>
                  </w:r>
                </w:p>
              </w:tc>
              <w:tc>
                <w:tcPr>
                  <w:tcW w:w="50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40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mg/L</w:t>
                  </w:r>
                </w:p>
              </w:tc>
              <w:tc>
                <w:tcPr>
                  <w:tcW w:w="490" w:type="pct"/>
                  <w:vAlign w:val="center"/>
                </w:tcPr>
                <w:p>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达标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25" w:hRule="atLeast"/>
                <w:jc w:val="center"/>
              </w:trPr>
              <w:tc>
                <w:tcPr>
                  <w:tcW w:w="6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SS（悬浮物）</w:t>
                  </w: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1.2</w:t>
                  </w:r>
                </w:p>
              </w:tc>
              <w:tc>
                <w:tcPr>
                  <w:tcW w:w="48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1.4</w:t>
                  </w: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w:t>
                  </w:r>
                </w:p>
              </w:tc>
              <w:tc>
                <w:tcPr>
                  <w:tcW w:w="4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1.6</w:t>
                  </w:r>
                </w:p>
              </w:tc>
              <w:tc>
                <w:tcPr>
                  <w:tcW w:w="50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w:t>
                  </w:r>
                </w:p>
              </w:tc>
              <w:tc>
                <w:tcPr>
                  <w:tcW w:w="51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2.2</w:t>
                  </w:r>
                </w:p>
              </w:tc>
              <w:tc>
                <w:tcPr>
                  <w:tcW w:w="50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0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mg/L</w:t>
                  </w:r>
                </w:p>
              </w:tc>
              <w:tc>
                <w:tcPr>
                  <w:tcW w:w="490" w:type="pct"/>
                  <w:vAlign w:val="center"/>
                </w:tcPr>
                <w:p>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26" w:hRule="atLeast"/>
                <w:jc w:val="center"/>
              </w:trPr>
              <w:tc>
                <w:tcPr>
                  <w:tcW w:w="6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-N（氨氮）</w:t>
                  </w: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0.86</w:t>
                  </w:r>
                </w:p>
              </w:tc>
              <w:tc>
                <w:tcPr>
                  <w:tcW w:w="480"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0.76</w:t>
                  </w:r>
                </w:p>
              </w:tc>
              <w:tc>
                <w:tcPr>
                  <w:tcW w:w="47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0.83</w:t>
                  </w:r>
                </w:p>
              </w:tc>
              <w:tc>
                <w:tcPr>
                  <w:tcW w:w="48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0.88</w:t>
                  </w:r>
                </w:p>
              </w:tc>
              <w:tc>
                <w:tcPr>
                  <w:tcW w:w="50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0.92</w:t>
                  </w:r>
                </w:p>
              </w:tc>
              <w:tc>
                <w:tcPr>
                  <w:tcW w:w="513"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0.89</w:t>
                  </w:r>
                </w:p>
              </w:tc>
              <w:tc>
                <w:tcPr>
                  <w:tcW w:w="50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40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mg/L</w:t>
                  </w:r>
                </w:p>
              </w:tc>
              <w:tc>
                <w:tcPr>
                  <w:tcW w:w="490" w:type="pct"/>
                  <w:vAlign w:val="center"/>
                </w:tcPr>
                <w:p>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达标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26" w:hRule="atLeast"/>
                <w:jc w:val="center"/>
              </w:trPr>
              <w:tc>
                <w:tcPr>
                  <w:tcW w:w="5000" w:type="pct"/>
                  <w:gridSpan w:val="10"/>
                  <w:vAlign w:val="center"/>
                </w:tcPr>
                <w:p>
                  <w:pPr>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注：1、“——”表示没有相关规定；2、限值标准执行《地表水环境质量标准》（GB3838-2002）Ⅴ类标准；3、W1、W2表示采样点位置，分别为福田镇生活污水处理厂上游500m处及福田镇生活污水处理厂下游1000m处。</w:t>
                  </w:r>
                </w:p>
              </w:tc>
            </w:tr>
          </w:tbl>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纳污水体福田河的监测结果表明，项目所在地地表水环境的各监测指标均达到《地表水环境质量标准》（GB3838-2002）中的Ⅴ类标准，福田河水质符合《地表水环境质量标准》（GB3838-2002）中的Ⅴ类标准要求。</w:t>
            </w:r>
          </w:p>
          <w:p>
            <w:pPr>
              <w:spacing w:line="360" w:lineRule="auto"/>
              <w:ind w:firstLine="480" w:firstLineChars="200"/>
              <w:rPr>
                <w:bCs/>
                <w:color w:val="000000" w:themeColor="text1"/>
                <w:sz w:val="24"/>
                <w:szCs w:val="22"/>
                <w14:textFill>
                  <w14:solidFill>
                    <w14:schemeClr w14:val="tx1"/>
                  </w14:solidFill>
                </w14:textFill>
              </w:rPr>
            </w:pPr>
            <w:r>
              <w:rPr>
                <w:color w:val="000000" w:themeColor="text1"/>
                <w:sz w:val="24"/>
                <w14:textFill>
                  <w14:solidFill>
                    <w14:schemeClr w14:val="tx1"/>
                  </w14:solidFill>
                </w14:textFill>
              </w:rPr>
              <w:t>本项目生活污水经化粪池预处理后进入福田镇生活污水处理厂处理，对周围水环境影响不大</w:t>
            </w:r>
            <w:r>
              <w:rPr>
                <w:bCs/>
                <w:color w:val="000000" w:themeColor="text1"/>
                <w:sz w:val="24"/>
                <w:szCs w:val="22"/>
                <w14:textFill>
                  <w14:solidFill>
                    <w14:schemeClr w14:val="tx1"/>
                  </w14:solidFill>
                </w14:textFill>
              </w:rPr>
              <w:t>。</w:t>
            </w:r>
          </w:p>
          <w:p>
            <w:pPr>
              <w:pStyle w:val="38"/>
              <w:ind w:left="0" w:leftChars="0"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drawing>
                <wp:inline distT="0" distB="0" distL="0" distR="0">
                  <wp:extent cx="3677285" cy="2734310"/>
                  <wp:effectExtent l="0" t="0" r="0" b="8890"/>
                  <wp:docPr id="1088" name="图片 158" descr="1654501988988"/>
                  <wp:cNvGraphicFramePr/>
                  <a:graphic xmlns:a="http://schemas.openxmlformats.org/drawingml/2006/main">
                    <a:graphicData uri="http://schemas.openxmlformats.org/drawingml/2006/picture">
                      <pic:pic xmlns:pic="http://schemas.openxmlformats.org/drawingml/2006/picture">
                        <pic:nvPicPr>
                          <pic:cNvPr id="1088" name="图片 158" descr="1654501988988"/>
                          <pic:cNvPicPr/>
                        </pic:nvPicPr>
                        <pic:blipFill>
                          <a:blip r:embed="rId28"/>
                          <a:srcRect/>
                          <a:stretch>
                            <a:fillRect/>
                          </a:stretch>
                        </pic:blipFill>
                        <pic:spPr>
                          <a:xfrm>
                            <a:off x="0" y="0"/>
                            <a:ext cx="3685585" cy="2740425"/>
                          </a:xfrm>
                          <a:prstGeom prst="rect">
                            <a:avLst/>
                          </a:prstGeom>
                        </pic:spPr>
                      </pic:pic>
                    </a:graphicData>
                  </a:graphic>
                </wp:inline>
              </w:drawing>
            </w:r>
          </w:p>
          <w:p>
            <w:pPr>
              <w:spacing w:line="360" w:lineRule="auto"/>
              <w:jc w:val="center"/>
              <w:rPr>
                <w:color w:val="000000" w:themeColor="text1"/>
                <w14:textFill>
                  <w14:solidFill>
                    <w14:schemeClr w14:val="tx1"/>
                  </w14:solidFill>
                </w14:textFill>
              </w:rPr>
            </w:pPr>
            <w:r>
              <w:rPr>
                <w:rFonts w:hint="eastAsia"/>
                <w:b/>
                <w:bCs/>
                <w:color w:val="000000" w:themeColor="text1"/>
                <w:szCs w:val="21"/>
                <w14:textFill>
                  <w14:solidFill>
                    <w14:schemeClr w14:val="tx1"/>
                  </w14:solidFill>
                </w14:textFill>
              </w:rPr>
              <w:t>图</w:t>
            </w:r>
            <w:r>
              <w:rPr>
                <w:b/>
                <w:bCs/>
                <w:color w:val="000000" w:themeColor="text1"/>
                <w:szCs w:val="21"/>
                <w14:textFill>
                  <w14:solidFill>
                    <w14:schemeClr w14:val="tx1"/>
                  </w14:solidFill>
                </w14:textFill>
              </w:rPr>
              <w:t>3-</w:t>
            </w:r>
            <w:r>
              <w:rPr>
                <w:rFonts w:hint="eastAsia"/>
                <w:b/>
                <w:bCs/>
                <w:color w:val="000000" w:themeColor="text1"/>
                <w:szCs w:val="21"/>
                <w14:textFill>
                  <w14:solidFill>
                    <w14:schemeClr w14:val="tx1"/>
                  </w14:solidFill>
                </w14:textFill>
              </w:rPr>
              <w:t>3</w:t>
            </w:r>
            <w:r>
              <w:rPr>
                <w:b/>
                <w:bCs/>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惠州市潍林科技有限公司福田河河段水质的监测报告监测点位图</w:t>
            </w:r>
          </w:p>
          <w:p>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3．声环境</w:t>
            </w:r>
          </w:p>
          <w:p>
            <w:pPr>
              <w:spacing w:line="360" w:lineRule="auto"/>
              <w:ind w:firstLine="472" w:firstLineChars="200"/>
              <w:rPr>
                <w:color w:val="000000" w:themeColor="text1"/>
                <w:spacing w:val="-2"/>
                <w:sz w:val="24"/>
                <w14:textFill>
                  <w14:solidFill>
                    <w14:schemeClr w14:val="tx1"/>
                  </w14:solidFill>
                </w14:textFill>
              </w:rPr>
            </w:pPr>
            <w:r>
              <w:rPr>
                <w:rFonts w:hint="eastAsia"/>
                <w:color w:val="000000" w:themeColor="text1"/>
                <w:spacing w:val="-2"/>
                <w:sz w:val="24"/>
                <w14:textFill>
                  <w14:solidFill>
                    <w14:schemeClr w14:val="tx1"/>
                  </w14:solidFill>
                </w14:textFill>
              </w:rPr>
              <w:t>根据202</w:t>
            </w:r>
            <w:r>
              <w:rPr>
                <w:color w:val="000000" w:themeColor="text1"/>
                <w:spacing w:val="-2"/>
                <w:sz w:val="24"/>
                <w14:textFill>
                  <w14:solidFill>
                    <w14:schemeClr w14:val="tx1"/>
                  </w14:solidFill>
                </w14:textFill>
              </w:rPr>
              <w:t>1</w:t>
            </w:r>
            <w:r>
              <w:rPr>
                <w:rFonts w:hint="eastAsia"/>
                <w:color w:val="000000" w:themeColor="text1"/>
                <w:spacing w:val="-2"/>
                <w:sz w:val="24"/>
                <w14:textFill>
                  <w14:solidFill>
                    <w14:schemeClr w14:val="tx1"/>
                  </w14:solidFill>
                </w14:textFill>
              </w:rPr>
              <w:t>年惠州市环境质量状况公报，2021年，惠州市城市区域声环境质量昼间平均等效声级为54.5分贝，质量等级为较好；城市道路交通噪声昼间平均等效声级为67.2分贝，质量等级为好；市区功能区声环境昼间、夜间达标率均为100%。与20</w:t>
            </w:r>
            <w:r>
              <w:rPr>
                <w:color w:val="000000" w:themeColor="text1"/>
                <w:spacing w:val="-2"/>
                <w:sz w:val="24"/>
                <w14:textFill>
                  <w14:solidFill>
                    <w14:schemeClr w14:val="tx1"/>
                  </w14:solidFill>
                </w14:textFill>
              </w:rPr>
              <w:t>20</w:t>
            </w:r>
            <w:r>
              <w:rPr>
                <w:rFonts w:hint="eastAsia"/>
                <w:color w:val="000000" w:themeColor="text1"/>
                <w:spacing w:val="-2"/>
                <w:sz w:val="24"/>
                <w14:textFill>
                  <w14:solidFill>
                    <w14:schemeClr w14:val="tx1"/>
                  </w14:solidFill>
                </w14:textFill>
              </w:rPr>
              <w:t>年相比，惠州市城市区域声环境质量保持稳定。</w:t>
            </w:r>
          </w:p>
          <w:p>
            <w:pPr>
              <w:adjustRightInd w:val="0"/>
              <w:snapToGrid w:val="0"/>
              <w:spacing w:line="360" w:lineRule="auto"/>
              <w:ind w:firstLine="472" w:firstLineChars="200"/>
              <w:rPr>
                <w:color w:val="000000" w:themeColor="text1"/>
                <w:spacing w:val="-5"/>
                <w:sz w:val="24"/>
                <w14:textFill>
                  <w14:solidFill>
                    <w14:schemeClr w14:val="tx1"/>
                  </w14:solidFill>
                </w14:textFill>
              </w:rPr>
            </w:pPr>
            <w:r>
              <w:rPr>
                <w:rFonts w:hint="eastAsia"/>
                <w:color w:val="000000" w:themeColor="text1"/>
                <w:spacing w:val="-2"/>
                <w:sz w:val="24"/>
                <w14:textFill>
                  <w14:solidFill>
                    <w14:schemeClr w14:val="tx1"/>
                  </w14:solidFill>
                </w14:textFill>
              </w:rPr>
              <w:t>本项目所在区域属于声环境功能2类区，执行《声环境质量标准》（GB3096-2008）2类标准（昼间≤60dB（A），夜间≤50dB（A）），本项目50m范围内不存在噪声环境敏感点，本次评价不作声环境质量现状调查。</w:t>
            </w:r>
          </w:p>
          <w:p>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4. 地下水环境</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项目无地下水污染途径，故不开展地下水环境质量现状调查。</w:t>
            </w:r>
          </w:p>
          <w:p>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5. 土壤环境</w:t>
            </w:r>
          </w:p>
          <w:p>
            <w:pPr>
              <w:spacing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项目无污染土壤途径，故不开展土壤现状调查。</w:t>
            </w:r>
          </w:p>
          <w:p>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6．生态环境</w:t>
            </w:r>
          </w:p>
          <w:p>
            <w:pPr>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sz w:val="24"/>
                <w14:textFill>
                  <w14:solidFill>
                    <w14:schemeClr w14:val="tx1"/>
                  </w14:solidFill>
                </w14:textFill>
              </w:rPr>
              <w:t>本项目位于</w:t>
            </w:r>
            <w:r>
              <w:rPr>
                <w:rFonts w:hint="eastAsia" w:ascii="宋体" w:hAnsi="宋体"/>
                <w:color w:val="000000" w:themeColor="text1"/>
                <w:sz w:val="24"/>
                <w14:textFill>
                  <w14:solidFill>
                    <w14:schemeClr w14:val="tx1"/>
                  </w14:solidFill>
                </w14:textFill>
              </w:rPr>
              <w:t>惠州市</w:t>
            </w:r>
            <w:r>
              <w:rPr>
                <w:rFonts w:hint="eastAsia"/>
                <w:color w:val="000000" w:themeColor="text1"/>
                <w:sz w:val="24"/>
                <w14:textFill>
                  <w14:solidFill>
                    <w14:schemeClr w14:val="tx1"/>
                  </w14:solidFill>
                </w14:textFill>
              </w:rPr>
              <w:t>博罗县福田镇新屋仔村麦园下，租用现有厂房进行建设，不新增用地，且用地范围内不涉及生态环境保护目标，无需进行生态现状调查。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2400" w:hRule="atLeast"/>
        </w:trPr>
        <w:tc>
          <w:tcPr>
            <w:tcW w:w="663" w:type="dxa"/>
            <w:vAlign w:val="center"/>
          </w:tcPr>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环境</w:t>
            </w:r>
          </w:p>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保护</w:t>
            </w:r>
          </w:p>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目标</w:t>
            </w:r>
          </w:p>
        </w:tc>
        <w:tc>
          <w:tcPr>
            <w:tcW w:w="8351" w:type="dxa"/>
            <w:vAlign w:val="center"/>
          </w:tcPr>
          <w:p>
            <w:pPr>
              <w:pStyle w:val="30"/>
              <w:snapToGrid/>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1、大气环境</w:t>
            </w:r>
          </w:p>
          <w:p>
            <w:pPr>
              <w:adjustRightInd w:val="0"/>
              <w:snapToGrid w:val="0"/>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本项目周围500m范围内大气环境敏感点见表3-4，敏感点位置示意图见附图</w:t>
            </w:r>
            <w:r>
              <w:rPr>
                <w:rFonts w:hint="eastAsia"/>
                <w:color w:val="000000" w:themeColor="text1"/>
                <w:sz w:val="24"/>
                <w14:textFill>
                  <w14:solidFill>
                    <w14:schemeClr w14:val="tx1"/>
                  </w14:solidFill>
                </w14:textFill>
              </w:rPr>
              <w:t>4</w:t>
            </w:r>
            <w:r>
              <w:rPr>
                <w:color w:val="000000" w:themeColor="text1"/>
                <w:sz w:val="24"/>
                <w14:textFill>
                  <w14:solidFill>
                    <w14:schemeClr w14:val="tx1"/>
                  </w14:solidFill>
                </w14:textFill>
              </w:rPr>
              <w:t>。</w:t>
            </w:r>
          </w:p>
          <w:p>
            <w:pPr>
              <w:adjustRightInd w:val="0"/>
              <w:snapToGrid w:val="0"/>
              <w:spacing w:line="276"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表3-4  大气环境保护目标一览表</w:t>
            </w:r>
          </w:p>
          <w:tbl>
            <w:tblPr>
              <w:tblStyle w:val="39"/>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28" w:type="dxa"/>
                <w:bottom w:w="0" w:type="dxa"/>
                <w:right w:w="28" w:type="dxa"/>
              </w:tblCellMar>
            </w:tblPr>
            <w:tblGrid>
              <w:gridCol w:w="729"/>
              <w:gridCol w:w="1046"/>
              <w:gridCol w:w="949"/>
              <w:gridCol w:w="616"/>
              <w:gridCol w:w="765"/>
              <w:gridCol w:w="961"/>
              <w:gridCol w:w="848"/>
              <w:gridCol w:w="1140"/>
              <w:gridCol w:w="125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43" w:hRule="atLeast"/>
                <w:jc w:val="center"/>
              </w:trPr>
              <w:tc>
                <w:tcPr>
                  <w:tcW w:w="729" w:type="dxa"/>
                  <w:vMerge w:val="restart"/>
                  <w:vAlign w:val="center"/>
                </w:tcPr>
                <w:p>
                  <w:pPr>
                    <w:pStyle w:val="124"/>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名称</w:t>
                  </w:r>
                </w:p>
              </w:tc>
              <w:tc>
                <w:tcPr>
                  <w:tcW w:w="1995" w:type="dxa"/>
                  <w:gridSpan w:val="2"/>
                  <w:vAlign w:val="center"/>
                </w:tcPr>
                <w:p>
                  <w:pPr>
                    <w:pStyle w:val="124"/>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坐标/</w:t>
                  </w:r>
                  <w:r>
                    <w:rPr>
                      <w:rFonts w:hint="eastAsia" w:hAnsi="Times New Roman"/>
                      <w:b/>
                      <w:bCs/>
                      <w:color w:val="000000" w:themeColor="text1"/>
                      <w14:textFill>
                        <w14:solidFill>
                          <w14:schemeClr w14:val="tx1"/>
                        </w14:solidFill>
                      </w14:textFill>
                    </w:rPr>
                    <w:t>°</w:t>
                  </w:r>
                </w:p>
              </w:tc>
              <w:tc>
                <w:tcPr>
                  <w:tcW w:w="616" w:type="dxa"/>
                  <w:vMerge w:val="restart"/>
                  <w:vAlign w:val="center"/>
                </w:tcPr>
                <w:p>
                  <w:pPr>
                    <w:pStyle w:val="124"/>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保护对象</w:t>
                  </w:r>
                </w:p>
              </w:tc>
              <w:tc>
                <w:tcPr>
                  <w:tcW w:w="765" w:type="dxa"/>
                  <w:vMerge w:val="restart"/>
                  <w:vAlign w:val="center"/>
                </w:tcPr>
                <w:p>
                  <w:pPr>
                    <w:pStyle w:val="124"/>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保护内容</w:t>
                  </w:r>
                </w:p>
              </w:tc>
              <w:tc>
                <w:tcPr>
                  <w:tcW w:w="961" w:type="dxa"/>
                  <w:vMerge w:val="restart"/>
                  <w:vAlign w:val="center"/>
                </w:tcPr>
                <w:p>
                  <w:pPr>
                    <w:pStyle w:val="124"/>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环境功能区</w:t>
                  </w:r>
                </w:p>
              </w:tc>
              <w:tc>
                <w:tcPr>
                  <w:tcW w:w="848" w:type="dxa"/>
                  <w:vMerge w:val="restart"/>
                  <w:vAlign w:val="center"/>
                </w:tcPr>
                <w:p>
                  <w:pPr>
                    <w:pStyle w:val="124"/>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相对厂址方位</w:t>
                  </w:r>
                </w:p>
              </w:tc>
              <w:tc>
                <w:tcPr>
                  <w:tcW w:w="1140" w:type="dxa"/>
                  <w:vMerge w:val="restart"/>
                  <w:vAlign w:val="center"/>
                </w:tcPr>
                <w:p>
                  <w:pPr>
                    <w:pStyle w:val="124"/>
                    <w:rPr>
                      <w:rFonts w:hAnsi="Times New Roman"/>
                      <w:b/>
                      <w:bCs/>
                      <w:color w:val="000000" w:themeColor="text1"/>
                      <w14:textFill>
                        <w14:solidFill>
                          <w14:schemeClr w14:val="tx1"/>
                        </w14:solidFill>
                      </w14:textFill>
                    </w:rPr>
                  </w:pPr>
                  <w:r>
                    <w:rPr>
                      <w:rFonts w:hAnsi="Times New Roman"/>
                      <w:b/>
                      <w:bCs/>
                      <w:color w:val="000000" w:themeColor="text1"/>
                      <w14:textFill>
                        <w14:solidFill>
                          <w14:schemeClr w14:val="tx1"/>
                        </w14:solidFill>
                      </w14:textFill>
                    </w:rPr>
                    <w:t>距</w:t>
                  </w:r>
                  <w:r>
                    <w:rPr>
                      <w:rFonts w:hint="eastAsia" w:hAnsi="Times New Roman"/>
                      <w:b/>
                      <w:bCs/>
                      <w:color w:val="000000" w:themeColor="text1"/>
                      <w14:textFill>
                        <w14:solidFill>
                          <w14:schemeClr w14:val="tx1"/>
                        </w14:solidFill>
                      </w14:textFill>
                    </w:rPr>
                    <w:t>厂界</w:t>
                  </w:r>
                  <w:r>
                    <w:rPr>
                      <w:rFonts w:hAnsi="Times New Roman"/>
                      <w:b/>
                      <w:bCs/>
                      <w:color w:val="000000" w:themeColor="text1"/>
                      <w14:textFill>
                        <w14:solidFill>
                          <w14:schemeClr w14:val="tx1"/>
                        </w14:solidFill>
                      </w14:textFill>
                    </w:rPr>
                    <w:t>最近距离/m</w:t>
                  </w:r>
                </w:p>
              </w:tc>
              <w:tc>
                <w:tcPr>
                  <w:tcW w:w="1256" w:type="dxa"/>
                  <w:vMerge w:val="restart"/>
                  <w:vAlign w:val="center"/>
                </w:tcPr>
                <w:p>
                  <w:pPr>
                    <w:pStyle w:val="124"/>
                    <w:rPr>
                      <w:rFonts w:hAnsi="Times New Roman"/>
                      <w:b/>
                      <w:bCs/>
                      <w:color w:val="000000" w:themeColor="text1"/>
                      <w14:textFill>
                        <w14:solidFill>
                          <w14:schemeClr w14:val="tx1"/>
                        </w14:solidFill>
                      </w14:textFill>
                    </w:rPr>
                  </w:pPr>
                  <w:r>
                    <w:rPr>
                      <w:rFonts w:hint="eastAsia" w:hAnsi="Times New Roman"/>
                      <w:b/>
                      <w:bCs/>
                      <w:color w:val="000000" w:themeColor="text1"/>
                      <w14:textFill>
                        <w14:solidFill>
                          <w14:schemeClr w14:val="tx1"/>
                        </w14:solidFill>
                      </w14:textFill>
                    </w:rPr>
                    <w:t>与产污车间的距离</w:t>
                  </w:r>
                  <w:r>
                    <w:rPr>
                      <w:rFonts w:hAnsi="Times New Roman"/>
                      <w:b/>
                      <w:bCs/>
                      <w:color w:val="000000" w:themeColor="text1"/>
                      <w14:textFill>
                        <w14:solidFill>
                          <w14:schemeClr w14:val="tx1"/>
                        </w14:solidFill>
                      </w14:textFill>
                    </w:rPr>
                    <w:t>/m</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43" w:hRule="atLeast"/>
                <w:jc w:val="center"/>
              </w:trPr>
              <w:tc>
                <w:tcPr>
                  <w:tcW w:w="729" w:type="dxa"/>
                  <w:vMerge w:val="continue"/>
                  <w:vAlign w:val="center"/>
                </w:tcPr>
                <w:p>
                  <w:pPr>
                    <w:pStyle w:val="124"/>
                    <w:rPr>
                      <w:rFonts w:hAnsi="Times New Roman"/>
                      <w:bCs/>
                      <w:color w:val="000000" w:themeColor="text1"/>
                      <w14:textFill>
                        <w14:solidFill>
                          <w14:schemeClr w14:val="tx1"/>
                        </w14:solidFill>
                      </w14:textFill>
                    </w:rPr>
                  </w:pPr>
                </w:p>
              </w:tc>
              <w:tc>
                <w:tcPr>
                  <w:tcW w:w="1046" w:type="dxa"/>
                  <w:vAlign w:val="center"/>
                </w:tcPr>
                <w:p>
                  <w:pPr>
                    <w:pStyle w:val="124"/>
                    <w:rPr>
                      <w:rFonts w:hAnsi="Times New Roman"/>
                      <w:b/>
                      <w:bCs/>
                      <w:color w:val="000000" w:themeColor="text1"/>
                      <w14:textFill>
                        <w14:solidFill>
                          <w14:schemeClr w14:val="tx1"/>
                        </w14:solidFill>
                      </w14:textFill>
                    </w:rPr>
                  </w:pPr>
                  <w:r>
                    <w:rPr>
                      <w:rFonts w:hint="eastAsia" w:hAnsi="Times New Roman"/>
                      <w:b/>
                      <w:bCs/>
                      <w:color w:val="000000" w:themeColor="text1"/>
                      <w14:textFill>
                        <w14:solidFill>
                          <w14:schemeClr w14:val="tx1"/>
                        </w14:solidFill>
                      </w14:textFill>
                    </w:rPr>
                    <w:t>经度</w:t>
                  </w:r>
                </w:p>
              </w:tc>
              <w:tc>
                <w:tcPr>
                  <w:tcW w:w="949" w:type="dxa"/>
                  <w:vAlign w:val="center"/>
                </w:tcPr>
                <w:p>
                  <w:pPr>
                    <w:pStyle w:val="124"/>
                    <w:rPr>
                      <w:rFonts w:hAnsi="Times New Roman"/>
                      <w:b/>
                      <w:bCs/>
                      <w:color w:val="000000" w:themeColor="text1"/>
                      <w14:textFill>
                        <w14:solidFill>
                          <w14:schemeClr w14:val="tx1"/>
                        </w14:solidFill>
                      </w14:textFill>
                    </w:rPr>
                  </w:pPr>
                  <w:r>
                    <w:rPr>
                      <w:rFonts w:hint="eastAsia" w:hAnsi="Times New Roman"/>
                      <w:b/>
                      <w:bCs/>
                      <w:color w:val="000000" w:themeColor="text1"/>
                      <w14:textFill>
                        <w14:solidFill>
                          <w14:schemeClr w14:val="tx1"/>
                        </w14:solidFill>
                      </w14:textFill>
                    </w:rPr>
                    <w:t>维度</w:t>
                  </w:r>
                </w:p>
              </w:tc>
              <w:tc>
                <w:tcPr>
                  <w:tcW w:w="616" w:type="dxa"/>
                  <w:vMerge w:val="continue"/>
                  <w:vAlign w:val="center"/>
                </w:tcPr>
                <w:p>
                  <w:pPr>
                    <w:pStyle w:val="124"/>
                    <w:rPr>
                      <w:rFonts w:hAnsi="Times New Roman"/>
                      <w:bCs/>
                      <w:color w:val="000000" w:themeColor="text1"/>
                      <w14:textFill>
                        <w14:solidFill>
                          <w14:schemeClr w14:val="tx1"/>
                        </w14:solidFill>
                      </w14:textFill>
                    </w:rPr>
                  </w:pPr>
                </w:p>
              </w:tc>
              <w:tc>
                <w:tcPr>
                  <w:tcW w:w="765" w:type="dxa"/>
                  <w:vMerge w:val="continue"/>
                  <w:vAlign w:val="center"/>
                </w:tcPr>
                <w:p>
                  <w:pPr>
                    <w:pStyle w:val="124"/>
                    <w:rPr>
                      <w:rFonts w:hAnsi="Times New Roman"/>
                      <w:bCs/>
                      <w:color w:val="000000" w:themeColor="text1"/>
                      <w14:textFill>
                        <w14:solidFill>
                          <w14:schemeClr w14:val="tx1"/>
                        </w14:solidFill>
                      </w14:textFill>
                    </w:rPr>
                  </w:pPr>
                </w:p>
              </w:tc>
              <w:tc>
                <w:tcPr>
                  <w:tcW w:w="961" w:type="dxa"/>
                  <w:vMerge w:val="continue"/>
                  <w:vAlign w:val="center"/>
                </w:tcPr>
                <w:p>
                  <w:pPr>
                    <w:pStyle w:val="124"/>
                    <w:rPr>
                      <w:rFonts w:hAnsi="Times New Roman"/>
                      <w:bCs/>
                      <w:color w:val="000000" w:themeColor="text1"/>
                      <w14:textFill>
                        <w14:solidFill>
                          <w14:schemeClr w14:val="tx1"/>
                        </w14:solidFill>
                      </w14:textFill>
                    </w:rPr>
                  </w:pPr>
                </w:p>
              </w:tc>
              <w:tc>
                <w:tcPr>
                  <w:tcW w:w="848" w:type="dxa"/>
                  <w:vMerge w:val="continue"/>
                  <w:vAlign w:val="center"/>
                </w:tcPr>
                <w:p>
                  <w:pPr>
                    <w:pStyle w:val="124"/>
                    <w:rPr>
                      <w:rFonts w:hAnsi="Times New Roman"/>
                      <w:bCs/>
                      <w:color w:val="000000" w:themeColor="text1"/>
                      <w14:textFill>
                        <w14:solidFill>
                          <w14:schemeClr w14:val="tx1"/>
                        </w14:solidFill>
                      </w14:textFill>
                    </w:rPr>
                  </w:pPr>
                </w:p>
              </w:tc>
              <w:tc>
                <w:tcPr>
                  <w:tcW w:w="1140" w:type="dxa"/>
                  <w:vMerge w:val="continue"/>
                </w:tcPr>
                <w:p>
                  <w:pPr>
                    <w:pStyle w:val="124"/>
                    <w:jc w:val="both"/>
                    <w:rPr>
                      <w:rFonts w:hAnsi="Times New Roman"/>
                      <w:bCs/>
                      <w:color w:val="000000" w:themeColor="text1"/>
                      <w14:textFill>
                        <w14:solidFill>
                          <w14:schemeClr w14:val="tx1"/>
                        </w14:solidFill>
                      </w14:textFill>
                    </w:rPr>
                  </w:pPr>
                </w:p>
              </w:tc>
              <w:tc>
                <w:tcPr>
                  <w:tcW w:w="1256" w:type="dxa"/>
                  <w:vMerge w:val="continue"/>
                </w:tcPr>
                <w:p>
                  <w:pPr>
                    <w:pStyle w:val="124"/>
                    <w:jc w:val="both"/>
                    <w:rPr>
                      <w:rFonts w:hAnsi="Times New Roman"/>
                      <w:bCs/>
                      <w:color w:val="000000" w:themeColor="text1"/>
                      <w14:textFill>
                        <w14:solidFill>
                          <w14:schemeClr w14:val="tx1"/>
                        </w14:solidFill>
                      </w14:textFill>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29"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福田镇</w:t>
                  </w:r>
                </w:p>
              </w:tc>
              <w:tc>
                <w:tcPr>
                  <w:tcW w:w="1046"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113.960293</w:t>
                  </w:r>
                </w:p>
              </w:tc>
              <w:tc>
                <w:tcPr>
                  <w:tcW w:w="949"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23.215332</w:t>
                  </w:r>
                </w:p>
              </w:tc>
              <w:tc>
                <w:tcPr>
                  <w:tcW w:w="616"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居民</w:t>
                  </w:r>
                </w:p>
              </w:tc>
              <w:tc>
                <w:tcPr>
                  <w:tcW w:w="76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约</w:t>
                  </w:r>
                  <w:r>
                    <w:rPr>
                      <w:rFonts w:hint="eastAsia"/>
                      <w:color w:val="000000" w:themeColor="text1"/>
                      <w:szCs w:val="21"/>
                      <w14:textFill>
                        <w14:solidFill>
                          <w14:schemeClr w14:val="tx1"/>
                        </w14:solidFill>
                      </w14:textFill>
                    </w:rPr>
                    <w:t>1000</w:t>
                  </w:r>
                  <w:r>
                    <w:rPr>
                      <w:color w:val="000000" w:themeColor="text1"/>
                      <w:szCs w:val="21"/>
                      <w14:textFill>
                        <w14:solidFill>
                          <w14:schemeClr w14:val="tx1"/>
                        </w14:solidFill>
                      </w14:textFill>
                    </w:rPr>
                    <w:t>人</w:t>
                  </w:r>
                </w:p>
              </w:tc>
              <w:tc>
                <w:tcPr>
                  <w:tcW w:w="961" w:type="dxa"/>
                  <w:vMerge w:val="restart"/>
                  <w:vAlign w:val="center"/>
                </w:tcPr>
                <w:p>
                  <w:pPr>
                    <w:pStyle w:val="124"/>
                    <w:adjustRightInd w:val="0"/>
                    <w:snapToGrid w:val="0"/>
                    <w:rPr>
                      <w:rFonts w:hAnsi="Times New Roman"/>
                      <w:color w:val="000000" w:themeColor="text1"/>
                      <w14:textFill>
                        <w14:solidFill>
                          <w14:schemeClr w14:val="tx1"/>
                        </w14:solidFill>
                      </w14:textFill>
                    </w:rPr>
                  </w:pPr>
                  <w:r>
                    <w:rPr>
                      <w:rFonts w:hAnsi="Times New Roman"/>
                      <w:color w:val="000000" w:themeColor="text1"/>
                      <w14:textFill>
                        <w14:solidFill>
                          <w14:schemeClr w14:val="tx1"/>
                        </w14:solidFill>
                      </w14:textFill>
                    </w:rPr>
                    <w:t>环境空气二类区</w:t>
                  </w:r>
                </w:p>
              </w:tc>
              <w:tc>
                <w:tcPr>
                  <w:tcW w:w="848"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北</w:t>
                  </w:r>
                </w:p>
              </w:tc>
              <w:tc>
                <w:tcPr>
                  <w:tcW w:w="114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194</w:t>
                  </w:r>
                </w:p>
              </w:tc>
              <w:tc>
                <w:tcPr>
                  <w:tcW w:w="1256"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197</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29"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新屋仔村</w:t>
                  </w:r>
                </w:p>
              </w:tc>
              <w:tc>
                <w:tcPr>
                  <w:tcW w:w="1046"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113.962600</w:t>
                  </w:r>
                </w:p>
              </w:tc>
              <w:tc>
                <w:tcPr>
                  <w:tcW w:w="949"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23.214045</w:t>
                  </w:r>
                </w:p>
              </w:tc>
              <w:tc>
                <w:tcPr>
                  <w:tcW w:w="616"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居民</w:t>
                  </w:r>
                </w:p>
              </w:tc>
              <w:tc>
                <w:tcPr>
                  <w:tcW w:w="76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约600人</w:t>
                  </w:r>
                </w:p>
              </w:tc>
              <w:tc>
                <w:tcPr>
                  <w:tcW w:w="961" w:type="dxa"/>
                  <w:vMerge w:val="continue"/>
                  <w:vAlign w:val="center"/>
                </w:tcPr>
                <w:p>
                  <w:pPr>
                    <w:pStyle w:val="124"/>
                    <w:adjustRightInd w:val="0"/>
                    <w:snapToGrid w:val="0"/>
                    <w:rPr>
                      <w:rFonts w:hAnsi="Times New Roman"/>
                      <w:color w:val="000000" w:themeColor="text1"/>
                      <w14:textFill>
                        <w14:solidFill>
                          <w14:schemeClr w14:val="tx1"/>
                        </w14:solidFill>
                      </w14:textFill>
                    </w:rPr>
                  </w:pPr>
                </w:p>
              </w:tc>
              <w:tc>
                <w:tcPr>
                  <w:tcW w:w="848"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东</w:t>
                  </w:r>
                </w:p>
              </w:tc>
              <w:tc>
                <w:tcPr>
                  <w:tcW w:w="114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c>
                <w:tcPr>
                  <w:tcW w:w="1256"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20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97" w:hRule="atLeast"/>
                <w:jc w:val="center"/>
              </w:trPr>
              <w:tc>
                <w:tcPr>
                  <w:tcW w:w="729"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横一村</w:t>
                  </w:r>
                </w:p>
              </w:tc>
              <w:tc>
                <w:tcPr>
                  <w:tcW w:w="1046"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113.962316</w:t>
                  </w:r>
                </w:p>
              </w:tc>
              <w:tc>
                <w:tcPr>
                  <w:tcW w:w="949"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23.211448</w:t>
                  </w:r>
                </w:p>
              </w:tc>
              <w:tc>
                <w:tcPr>
                  <w:tcW w:w="616"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居民</w:t>
                  </w:r>
                </w:p>
              </w:tc>
              <w:tc>
                <w:tcPr>
                  <w:tcW w:w="76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约20</w:t>
                  </w: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人</w:t>
                  </w:r>
                </w:p>
              </w:tc>
              <w:tc>
                <w:tcPr>
                  <w:tcW w:w="961" w:type="dxa"/>
                  <w:vMerge w:val="continue"/>
                  <w:vAlign w:val="center"/>
                </w:tcPr>
                <w:p>
                  <w:pPr>
                    <w:pStyle w:val="124"/>
                    <w:adjustRightInd w:val="0"/>
                    <w:snapToGrid w:val="0"/>
                    <w:rPr>
                      <w:rFonts w:hAnsi="Times New Roman"/>
                      <w:color w:val="000000" w:themeColor="text1"/>
                      <w14:textFill>
                        <w14:solidFill>
                          <w14:schemeClr w14:val="tx1"/>
                        </w14:solidFill>
                      </w14:textFill>
                    </w:rPr>
                  </w:pPr>
                </w:p>
              </w:tc>
              <w:tc>
                <w:tcPr>
                  <w:tcW w:w="848"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东南</w:t>
                  </w:r>
                </w:p>
              </w:tc>
              <w:tc>
                <w:tcPr>
                  <w:tcW w:w="1140"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40</w:t>
                  </w:r>
                </w:p>
              </w:tc>
              <w:tc>
                <w:tcPr>
                  <w:tcW w:w="1256"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260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81" w:hRule="atLeast"/>
                <w:jc w:val="center"/>
              </w:trPr>
              <w:tc>
                <w:tcPr>
                  <w:tcW w:w="8310" w:type="dxa"/>
                  <w:gridSpan w:val="9"/>
                  <w:vAlign w:val="center"/>
                </w:tcPr>
                <w:p>
                  <w:pPr>
                    <w:snapToGrid w:val="0"/>
                    <w:rPr>
                      <w:color w:val="7030A0"/>
                      <w:szCs w:val="21"/>
                    </w:rPr>
                  </w:pPr>
                  <w:r>
                    <w:rPr>
                      <w:color w:val="000000" w:themeColor="text1"/>
                      <w:szCs w:val="21"/>
                      <w14:textFill>
                        <w14:solidFill>
                          <w14:schemeClr w14:val="tx1"/>
                        </w14:solidFill>
                      </w14:textFill>
                    </w:rPr>
                    <w:t>备注：环境保护目标坐标取距离项目厂址中心点的最近点位置，项目中心点为113. 960812</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23. 213244。</w:t>
                  </w:r>
                </w:p>
              </w:tc>
            </w:tr>
          </w:tbl>
          <w:p>
            <w:pPr>
              <w:pStyle w:val="30"/>
              <w:adjustRightInd w:val="0"/>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2、地下水环境</w:t>
            </w:r>
          </w:p>
          <w:p>
            <w:pPr>
              <w:adjustRightInd w:val="0"/>
              <w:snapToGrid w:val="0"/>
              <w:spacing w:line="360" w:lineRule="auto"/>
              <w:ind w:firstLine="482"/>
              <w:rPr>
                <w:color w:val="000000" w:themeColor="text1"/>
                <w:sz w:val="24"/>
                <w14:textFill>
                  <w14:solidFill>
                    <w14:schemeClr w14:val="tx1"/>
                  </w14:solidFill>
                </w14:textFill>
              </w:rPr>
            </w:pPr>
            <w:r>
              <w:rPr>
                <w:color w:val="000000" w:themeColor="text1"/>
                <w:kern w:val="0"/>
                <w:sz w:val="24"/>
                <w14:textFill>
                  <w14:solidFill>
                    <w14:schemeClr w14:val="tx1"/>
                  </w14:solidFill>
                </w14:textFill>
              </w:rPr>
              <w:t>本项目厂界外500 m范围内不存在地下水集中式饮用水水源和热水、矿泉水、温泉等特殊地下水资源。</w:t>
            </w:r>
          </w:p>
          <w:p>
            <w:pPr>
              <w:pStyle w:val="30"/>
              <w:adjustRightInd w:val="0"/>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3、声环境</w:t>
            </w:r>
          </w:p>
          <w:p>
            <w:pPr>
              <w:adjustRightInd w:val="0"/>
              <w:snapToGrid w:val="0"/>
              <w:spacing w:line="360" w:lineRule="auto"/>
              <w:ind w:firstLine="506" w:firstLineChars="211"/>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本项目</w:t>
            </w:r>
            <w:r>
              <w:rPr>
                <w:rFonts w:hint="eastAsia"/>
                <w:color w:val="000000" w:themeColor="text1"/>
                <w:kern w:val="0"/>
                <w:sz w:val="24"/>
                <w14:textFill>
                  <w14:solidFill>
                    <w14:schemeClr w14:val="tx1"/>
                  </w14:solidFill>
                </w14:textFill>
              </w:rPr>
              <w:t>生产车间</w:t>
            </w:r>
            <w:r>
              <w:rPr>
                <w:color w:val="000000" w:themeColor="text1"/>
                <w:kern w:val="0"/>
                <w:sz w:val="24"/>
                <w14:textFill>
                  <w14:solidFill>
                    <w14:schemeClr w14:val="tx1"/>
                  </w14:solidFill>
                </w14:textFill>
              </w:rPr>
              <w:t>厂界外50 m范围内</w:t>
            </w:r>
            <w:r>
              <w:rPr>
                <w:rFonts w:hint="eastAsia"/>
                <w:color w:val="000000" w:themeColor="text1"/>
                <w:kern w:val="0"/>
                <w:sz w:val="24"/>
                <w14:textFill>
                  <w14:solidFill>
                    <w14:schemeClr w14:val="tx1"/>
                  </w14:solidFill>
                </w14:textFill>
              </w:rPr>
              <w:t>无</w:t>
            </w:r>
            <w:r>
              <w:rPr>
                <w:color w:val="000000" w:themeColor="text1"/>
                <w:kern w:val="0"/>
                <w:sz w:val="24"/>
                <w14:textFill>
                  <w14:solidFill>
                    <w14:schemeClr w14:val="tx1"/>
                  </w14:solidFill>
                </w14:textFill>
              </w:rPr>
              <w:t>声环境保护目标</w:t>
            </w:r>
            <w:r>
              <w:rPr>
                <w:rFonts w:hint="eastAsia"/>
                <w:color w:val="000000" w:themeColor="text1"/>
                <w:kern w:val="0"/>
                <w:sz w:val="24"/>
                <w14:textFill>
                  <w14:solidFill>
                    <w14:schemeClr w14:val="tx1"/>
                  </w14:solidFill>
                </w14:textFill>
              </w:rPr>
              <w:t>。</w:t>
            </w:r>
          </w:p>
          <w:p>
            <w:pPr>
              <w:adjustRightInd w:val="0"/>
              <w:snapToGrid w:val="0"/>
              <w:spacing w:line="360" w:lineRule="auto"/>
              <w:ind w:firstLine="508" w:firstLineChars="211"/>
              <w:rPr>
                <w:b/>
                <w:color w:val="000000" w:themeColor="text1"/>
                <w:sz w:val="24"/>
                <w14:textFill>
                  <w14:solidFill>
                    <w14:schemeClr w14:val="tx1"/>
                  </w14:solidFill>
                </w14:textFill>
              </w:rPr>
            </w:pPr>
            <w:r>
              <w:rPr>
                <w:b/>
                <w:color w:val="000000" w:themeColor="text1"/>
                <w:sz w:val="24"/>
                <w14:textFill>
                  <w14:solidFill>
                    <w14:schemeClr w14:val="tx1"/>
                  </w14:solidFill>
                </w14:textFill>
              </w:rPr>
              <w:t>4、生态环境</w:t>
            </w:r>
          </w:p>
          <w:p>
            <w:pPr>
              <w:widowControl/>
              <w:adjustRightInd w:val="0"/>
              <w:snapToGrid w:val="0"/>
              <w:ind w:firstLine="480" w:firstLineChars="200"/>
              <w:jc w:val="left"/>
              <w:rPr>
                <w:color w:val="000000" w:themeColor="text1"/>
                <w:kern w:val="0"/>
                <w:sz w:val="24"/>
                <w14:textFill>
                  <w14:solidFill>
                    <w14:schemeClr w14:val="tx1"/>
                  </w14:solidFill>
                </w14:textFill>
              </w:rPr>
            </w:pPr>
            <w:r>
              <w:rPr>
                <w:rFonts w:hint="eastAsia"/>
                <w:color w:val="000000" w:themeColor="text1"/>
                <w:sz w:val="24"/>
                <w14:textFill>
                  <w14:solidFill>
                    <w14:schemeClr w14:val="tx1"/>
                  </w14:solidFill>
                </w14:textFill>
              </w:rPr>
              <w:t>项目租赁已建好的厂房，无新增用地，无生态环境保护目标。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676" w:hRule="atLeast"/>
        </w:trPr>
        <w:tc>
          <w:tcPr>
            <w:tcW w:w="663" w:type="dxa"/>
            <w:tcMar>
              <w:left w:w="28" w:type="dxa"/>
              <w:right w:w="28" w:type="dxa"/>
            </w:tcMar>
            <w:vAlign w:val="center"/>
          </w:tcPr>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污染</w:t>
            </w:r>
          </w:p>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物排</w:t>
            </w:r>
          </w:p>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放控</w:t>
            </w:r>
          </w:p>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制标</w:t>
            </w:r>
          </w:p>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准</w:t>
            </w:r>
          </w:p>
        </w:tc>
        <w:tc>
          <w:tcPr>
            <w:tcW w:w="8351" w:type="dxa"/>
            <w:vAlign w:val="center"/>
          </w:tcPr>
          <w:p>
            <w:pPr>
              <w:pStyle w:val="55"/>
              <w:spacing w:line="360" w:lineRule="auto"/>
              <w:ind w:firstLine="482"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1、水污染物排放标准</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项目生活污水经</w:t>
            </w:r>
            <w:r>
              <w:rPr>
                <w:rFonts w:hint="eastAsia"/>
                <w:color w:val="000000" w:themeColor="text1"/>
                <w:sz w:val="24"/>
                <w14:textFill>
                  <w14:solidFill>
                    <w14:schemeClr w14:val="tx1"/>
                  </w14:solidFill>
                </w14:textFill>
              </w:rPr>
              <w:t>隔油隔渣、</w:t>
            </w:r>
            <w:r>
              <w:rPr>
                <w:color w:val="000000" w:themeColor="text1"/>
                <w:sz w:val="24"/>
                <w14:textFill>
                  <w14:solidFill>
                    <w14:schemeClr w14:val="tx1"/>
                  </w14:solidFill>
                </w14:textFill>
              </w:rPr>
              <w:t>三级化粪池处理达到广东省《水污染物排放限值》（DB44/26-2001）第二时段三级标准后通过市政管网排入福田镇生活污水处理厂处理。福田镇生活</w:t>
            </w:r>
            <w:r>
              <w:rPr>
                <w:bCs/>
                <w:color w:val="000000" w:themeColor="text1"/>
                <w:sz w:val="24"/>
                <w14:textFill>
                  <w14:solidFill>
                    <w14:schemeClr w14:val="tx1"/>
                  </w14:solidFill>
                </w14:textFill>
              </w:rPr>
              <w:t>污水处理厂尾水达到《城镇污水处理厂污染物排放标准》（GB18918-2002）一级A标准、广东省地方标准《水污染物排放限值》（DB44/26-2001）的第二时段一级标准较严者，尾水排入福田河。其中氨氮和总磷执行《地表水环境质量标准》（GB3838-2002）的Ⅴ类标准。</w:t>
            </w:r>
          </w:p>
          <w:p>
            <w:pPr>
              <w:snapToGrid w:val="0"/>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表3-5  生活污水排放标准      单位：mg/L</w:t>
            </w:r>
          </w:p>
          <w:tbl>
            <w:tblPr>
              <w:tblStyle w:val="39"/>
              <w:tblW w:w="4983" w:type="pct"/>
              <w:tblInd w:w="1"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3092"/>
              <w:gridCol w:w="822"/>
              <w:gridCol w:w="771"/>
              <w:gridCol w:w="878"/>
              <w:gridCol w:w="549"/>
              <w:gridCol w:w="854"/>
              <w:gridCol w:w="634"/>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20" w:hRule="atLeast"/>
              </w:trPr>
              <w:tc>
                <w:tcPr>
                  <w:tcW w:w="2272" w:type="pct"/>
                  <w:gridSpan w:val="2"/>
                  <w:vAlign w:val="center"/>
                </w:tcPr>
                <w:p>
                  <w:pPr>
                    <w:jc w:val="center"/>
                    <w:rPr>
                      <w:b/>
                      <w:bCs/>
                      <w:color w:val="000000" w:themeColor="text1"/>
                      <w:kern w:val="0"/>
                      <w:szCs w:val="2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0" distR="0" simplePos="0" relativeHeight="251661312" behindDoc="0" locked="0" layoutInCell="1" allowOverlap="1">
                            <wp:simplePos x="0" y="0"/>
                            <wp:positionH relativeFrom="column">
                              <wp:posOffset>-77470</wp:posOffset>
                            </wp:positionH>
                            <wp:positionV relativeFrom="paragraph">
                              <wp:posOffset>-8255</wp:posOffset>
                            </wp:positionV>
                            <wp:extent cx="2390775" cy="409575"/>
                            <wp:effectExtent l="635" t="4445" r="8890" b="5080"/>
                            <wp:wrapNone/>
                            <wp:docPr id="1089" name="直接连接符 193"/>
                            <wp:cNvGraphicFramePr/>
                            <a:graphic xmlns:a="http://schemas.openxmlformats.org/drawingml/2006/main">
                              <a:graphicData uri="http://schemas.microsoft.com/office/word/2010/wordprocessingShape">
                                <wps:wsp>
                                  <wps:cNvCnPr/>
                                  <wps:spPr>
                                    <a:xfrm>
                                      <a:off x="0" y="0"/>
                                      <a:ext cx="2390775" cy="409575"/>
                                    </a:xfrm>
                                    <a:prstGeom prst="line">
                                      <a:avLst/>
                                    </a:prstGeom>
                                    <a:ln w="9525" cap="flat" cmpd="sng">
                                      <a:solidFill>
                                        <a:srgbClr val="000000"/>
                                      </a:solidFill>
                                      <a:prstDash val="solid"/>
                                      <a:round/>
                                    </a:ln>
                                  </wps:spPr>
                                  <wps:bodyPr/>
                                </wps:wsp>
                              </a:graphicData>
                            </a:graphic>
                          </wp:anchor>
                        </w:drawing>
                      </mc:Choice>
                      <mc:Fallback>
                        <w:pict>
                          <v:line id="直接连接符 193" o:spid="_x0000_s1026" o:spt="20" style="position:absolute;left:0pt;margin-left:-6.1pt;margin-top:-0.65pt;height:32.25pt;width:188.25pt;z-index:251661312;mso-width-relative:page;mso-height-relative:page;" filled="f" stroked="t" coordsize="21600,21600" o:gfxdata="UEsDBAoAAAAAAIdO4kAAAAAAAAAAAAAAAAAEAAAAZHJzL1BLAwQUAAAACACHTuJAivJQS9YAAAAJ&#10;AQAADwAAAGRycy9kb3ducmV2LnhtbE2PTU/DMAyG70j8h8hIXKYtaYoqVJruAPTGhTHE1WtMW9Ek&#10;XZN9wK/HO8Httfzo9eNqfXajONIch+ANZCsFgnwb7OA7A9u3ZnkPIib0FsfgycA3RVjX11cVljac&#10;/CsdN6kTXOJjiQb6lKZSytj25DCuwkSed59hdph4nDtpZzxxuRulVqqQDgfPF3qc6LGn9mtzcAZi&#10;80775mfRLtRH3gXS+6eXZzTm9iZTDyASndMfDBd9VoeanXbh4G0Uo4FlpjWjl5CDYCAv7jjsDBS5&#10;BllX8v8H9S9QSwMEFAAAAAgAh07iQF8ndUjZAQAAmAMAAA4AAABkcnMvZTJvRG9jLnhtbK1TTY7T&#10;MBTeI3EHy3uatEOZSdR0FlMNGwSVgAO4jp1Y8p/83Ka9BBdAYgcrluy5DcMxeHZCB4bNLMjCeX4/&#10;n9/3+Xl1fTSaHEQA5WxD57OSEmG5a5XtGvr+3e2zK0ogMtsy7axo6EkAvV4/fbIafC0Wrne6FYEg&#10;iIV68A3tY/R1UQDvhWEwc15YDEoXDIu4DV3RBjYgutHFoixfFIMLrQ+OCwD0bsYgnRDDYwCdlIqL&#10;jeN7I2wcUYPQLCIl6JUHus7dSil4fCMliEh0Q5FpzCsegvYurcV6xeouMN8rPrXAHtPCA06GKYuH&#10;nqE2LDKyD+ofKKN4cOBknHFnipFIVgRZzMsH2rztmReZC0oN/iw6/D9Y/vqwDUS1OAnlVUWJZQbv&#10;/O7jtx8fPv/8/gnXu69fyLy6SEoNHmosuLHbMO3Ab0OifZTBpD8SIses7umsrjhGwtG5uKjKy8sl&#10;JRxjz8tqiTbCFPfVPkB8KZwhyWioVjaxZzU7vII4pv5OSW5tydDQarlImAxHUeIIoGk80gHb5Vpw&#10;WrW3SutUAaHb3ehADiyNQ/6mFv5KS4dsGPRjXg6lNFYHt7ft2Ii22HoSZJQgWTvXnrIy2Y8XlslN&#10;w5Um4s99rr5/UOt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ivJQS9YAAAAJAQAADwAAAAAAAAAB&#10;ACAAAAAiAAAAZHJzL2Rvd25yZXYueG1sUEsBAhQAFAAAAAgAh07iQF8ndUjZAQAAmAMAAA4AAAAA&#10;AAAAAQAgAAAAJQEAAGRycy9lMm9Eb2MueG1sUEsFBgAAAAAGAAYAWQEAAHAFAAAAAA==&#10;">
                            <v:fill on="f" focussize="0,0"/>
                            <v:stroke color="#000000" joinstyle="round"/>
                            <v:imagedata o:title=""/>
                            <o:lock v:ext="edit" aspectratio="f"/>
                          </v:line>
                        </w:pict>
                      </mc:Fallback>
                    </mc:AlternateContent>
                  </w:r>
                  <w:r>
                    <w:rPr>
                      <w:b/>
                      <w:bCs/>
                      <w:color w:val="000000" w:themeColor="text1"/>
                      <w:kern w:val="0"/>
                      <w:szCs w:val="21"/>
                      <w14:textFill>
                        <w14:solidFill>
                          <w14:schemeClr w14:val="tx1"/>
                        </w14:solidFill>
                      </w14:textFill>
                    </w:rPr>
                    <w:t>污染物</w:t>
                  </w:r>
                </w:p>
                <w:p>
                  <w:pPr>
                    <w:pStyle w:val="47"/>
                    <w:rPr>
                      <w:rFonts w:ascii="Times New Roman"/>
                      <w:b/>
                      <w:bCs/>
                      <w:color w:val="000000" w:themeColor="text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执行标准</w:t>
                  </w:r>
                </w:p>
              </w:tc>
              <w:tc>
                <w:tcPr>
                  <w:tcW w:w="497" w:type="pct"/>
                  <w:vAlign w:val="center"/>
                </w:tcPr>
                <w:p>
                  <w:pPr>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pH</w:t>
                  </w:r>
                </w:p>
              </w:tc>
              <w:tc>
                <w:tcPr>
                  <w:tcW w:w="466" w:type="pct"/>
                  <w:vAlign w:val="center"/>
                </w:tcPr>
                <w:p>
                  <w:pPr>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BOD</w:t>
                  </w:r>
                  <w:r>
                    <w:rPr>
                      <w:b/>
                      <w:bCs/>
                      <w:color w:val="000000" w:themeColor="text1"/>
                      <w:kern w:val="0"/>
                      <w:szCs w:val="21"/>
                      <w:vertAlign w:val="subscript"/>
                      <w14:textFill>
                        <w14:solidFill>
                          <w14:schemeClr w14:val="tx1"/>
                        </w14:solidFill>
                      </w14:textFill>
                    </w:rPr>
                    <w:t>5</w:t>
                  </w:r>
                </w:p>
              </w:tc>
              <w:tc>
                <w:tcPr>
                  <w:tcW w:w="531" w:type="pct"/>
                  <w:vAlign w:val="center"/>
                </w:tcPr>
                <w:p>
                  <w:pPr>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COD</w:t>
                  </w:r>
                  <w:r>
                    <w:rPr>
                      <w:b/>
                      <w:bCs/>
                      <w:color w:val="000000" w:themeColor="text1"/>
                      <w:kern w:val="0"/>
                      <w:szCs w:val="21"/>
                      <w:vertAlign w:val="subscript"/>
                      <w14:textFill>
                        <w14:solidFill>
                          <w14:schemeClr w14:val="tx1"/>
                        </w14:solidFill>
                      </w14:textFill>
                    </w:rPr>
                    <w:t>Cr</w:t>
                  </w:r>
                </w:p>
              </w:tc>
              <w:tc>
                <w:tcPr>
                  <w:tcW w:w="332" w:type="pct"/>
                  <w:vAlign w:val="center"/>
                </w:tcPr>
                <w:p>
                  <w:pPr>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SS</w:t>
                  </w:r>
                </w:p>
              </w:tc>
              <w:tc>
                <w:tcPr>
                  <w:tcW w:w="516" w:type="pct"/>
                  <w:vAlign w:val="center"/>
                </w:tcPr>
                <w:p>
                  <w:pPr>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NH</w:t>
                  </w:r>
                  <w:r>
                    <w:rPr>
                      <w:b/>
                      <w:bCs/>
                      <w:color w:val="000000" w:themeColor="text1"/>
                      <w:kern w:val="0"/>
                      <w:szCs w:val="21"/>
                      <w:vertAlign w:val="subscript"/>
                      <w14:textFill>
                        <w14:solidFill>
                          <w14:schemeClr w14:val="tx1"/>
                        </w14:solidFill>
                      </w14:textFill>
                    </w:rPr>
                    <w:t>3</w:t>
                  </w:r>
                  <w:r>
                    <w:rPr>
                      <w:b/>
                      <w:bCs/>
                      <w:color w:val="000000" w:themeColor="text1"/>
                      <w:kern w:val="0"/>
                      <w:szCs w:val="21"/>
                      <w14:textFill>
                        <w14:solidFill>
                          <w14:schemeClr w14:val="tx1"/>
                        </w14:solidFill>
                      </w14:textFill>
                    </w:rPr>
                    <w:t>-N</w:t>
                  </w:r>
                </w:p>
              </w:tc>
              <w:tc>
                <w:tcPr>
                  <w:tcW w:w="383" w:type="pct"/>
                  <w:vAlign w:val="center"/>
                </w:tcPr>
                <w:p>
                  <w:pPr>
                    <w:jc w:val="center"/>
                    <w:rPr>
                      <w:b/>
                      <w:bCs/>
                      <w:color w:val="000000" w:themeColor="text1"/>
                      <w:kern w:val="0"/>
                      <w:szCs w:val="21"/>
                      <w14:textFill>
                        <w14:solidFill>
                          <w14:schemeClr w14:val="tx1"/>
                        </w14:solidFill>
                      </w14:textFill>
                    </w:rPr>
                  </w:pPr>
                  <w:r>
                    <w:rPr>
                      <w:b/>
                      <w:bCs/>
                      <w:color w:val="000000" w:themeColor="text1"/>
                      <w:kern w:val="0"/>
                      <w:szCs w:val="21"/>
                      <w14:textFill>
                        <w14:solidFill>
                          <w14:schemeClr w14:val="tx1"/>
                        </w14:solidFill>
                      </w14:textFill>
                    </w:rPr>
                    <w:t>TP</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20" w:hRule="atLeast"/>
              </w:trPr>
              <w:tc>
                <w:tcPr>
                  <w:tcW w:w="403" w:type="pct"/>
                  <w:vAlign w:val="center"/>
                </w:tcPr>
                <w:p>
                  <w:pPr>
                    <w:widowControl/>
                    <w:shd w:val="clear" w:color="auto" w:fill="FFFFFF"/>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c>
                <w:tcPr>
                  <w:tcW w:w="1869" w:type="pct"/>
                  <w:vAlign w:val="center"/>
                </w:tcPr>
                <w:p>
                  <w:pPr>
                    <w:widowControl/>
                    <w:shd w:val="clear" w:color="auto" w:fill="FFFFFF"/>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广东省《水污染物排放限值》（DB44/26-2001）第二时段三级标准</w:t>
                  </w:r>
                </w:p>
              </w:tc>
              <w:tc>
                <w:tcPr>
                  <w:tcW w:w="497"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6-9</w:t>
                  </w:r>
                </w:p>
              </w:tc>
              <w:tc>
                <w:tcPr>
                  <w:tcW w:w="466"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300</w:t>
                  </w:r>
                </w:p>
              </w:tc>
              <w:tc>
                <w:tcPr>
                  <w:tcW w:w="531"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500</w:t>
                  </w:r>
                </w:p>
              </w:tc>
              <w:tc>
                <w:tcPr>
                  <w:tcW w:w="332"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400</w:t>
                  </w:r>
                </w:p>
              </w:tc>
              <w:tc>
                <w:tcPr>
                  <w:tcW w:w="516"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383"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20" w:hRule="atLeast"/>
              </w:trPr>
              <w:tc>
                <w:tcPr>
                  <w:tcW w:w="403" w:type="pct"/>
                  <w:vMerge w:val="restart"/>
                  <w:vAlign w:val="center"/>
                </w:tcPr>
                <w:p>
                  <w:pPr>
                    <w:widowControl/>
                    <w:shd w:val="clear" w:color="auto" w:fill="FFFFFF"/>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福田镇生活污水处理厂尾水</w:t>
                  </w:r>
                </w:p>
              </w:tc>
              <w:tc>
                <w:tcPr>
                  <w:tcW w:w="1869" w:type="pct"/>
                  <w:vAlign w:val="center"/>
                </w:tcPr>
                <w:p>
                  <w:pPr>
                    <w:widowControl/>
                    <w:shd w:val="clear" w:color="auto" w:fill="FFFFFF"/>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《城镇污水处理厂污染物排放标准》（GB18918-2002）一级标准A标准</w:t>
                  </w:r>
                </w:p>
              </w:tc>
              <w:tc>
                <w:tcPr>
                  <w:tcW w:w="497"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6-9</w:t>
                  </w:r>
                </w:p>
              </w:tc>
              <w:tc>
                <w:tcPr>
                  <w:tcW w:w="466"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10</w:t>
                  </w:r>
                </w:p>
              </w:tc>
              <w:tc>
                <w:tcPr>
                  <w:tcW w:w="531"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50</w:t>
                  </w:r>
                </w:p>
              </w:tc>
              <w:tc>
                <w:tcPr>
                  <w:tcW w:w="332"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10</w:t>
                  </w:r>
                </w:p>
              </w:tc>
              <w:tc>
                <w:tcPr>
                  <w:tcW w:w="516"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5</w:t>
                  </w:r>
                </w:p>
              </w:tc>
              <w:tc>
                <w:tcPr>
                  <w:tcW w:w="383"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0.5</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20" w:hRule="atLeast"/>
              </w:trPr>
              <w:tc>
                <w:tcPr>
                  <w:tcW w:w="403" w:type="pct"/>
                  <w:vMerge w:val="continue"/>
                  <w:vAlign w:val="center"/>
                </w:tcPr>
                <w:p>
                  <w:pPr>
                    <w:widowControl/>
                    <w:jc w:val="left"/>
                    <w:rPr>
                      <w:color w:val="000000" w:themeColor="text1"/>
                      <w:szCs w:val="21"/>
                      <w14:textFill>
                        <w14:solidFill>
                          <w14:schemeClr w14:val="tx1"/>
                        </w14:solidFill>
                      </w14:textFill>
                    </w:rPr>
                  </w:pPr>
                </w:p>
              </w:tc>
              <w:tc>
                <w:tcPr>
                  <w:tcW w:w="1869" w:type="pct"/>
                  <w:vAlign w:val="center"/>
                </w:tcPr>
                <w:p>
                  <w:pPr>
                    <w:widowControl/>
                    <w:shd w:val="clear" w:color="auto" w:fill="FFFFFF"/>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广东省地方标准《水污染物排放限值》（DB44/26-2001）第二时段一级标准</w:t>
                  </w:r>
                </w:p>
              </w:tc>
              <w:tc>
                <w:tcPr>
                  <w:tcW w:w="497"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6-9</w:t>
                  </w:r>
                </w:p>
              </w:tc>
              <w:tc>
                <w:tcPr>
                  <w:tcW w:w="466"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20</w:t>
                  </w:r>
                </w:p>
              </w:tc>
              <w:tc>
                <w:tcPr>
                  <w:tcW w:w="531"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40</w:t>
                  </w:r>
                </w:p>
              </w:tc>
              <w:tc>
                <w:tcPr>
                  <w:tcW w:w="332"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20</w:t>
                  </w:r>
                </w:p>
              </w:tc>
              <w:tc>
                <w:tcPr>
                  <w:tcW w:w="516"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10</w:t>
                  </w:r>
                </w:p>
              </w:tc>
              <w:tc>
                <w:tcPr>
                  <w:tcW w:w="383"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0.5</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20" w:hRule="atLeast"/>
              </w:trPr>
              <w:tc>
                <w:tcPr>
                  <w:tcW w:w="403" w:type="pct"/>
                  <w:vMerge w:val="continue"/>
                  <w:vAlign w:val="center"/>
                </w:tcPr>
                <w:p>
                  <w:pPr>
                    <w:widowControl/>
                    <w:jc w:val="left"/>
                    <w:rPr>
                      <w:color w:val="000000" w:themeColor="text1"/>
                      <w:szCs w:val="21"/>
                      <w14:textFill>
                        <w14:solidFill>
                          <w14:schemeClr w14:val="tx1"/>
                        </w14:solidFill>
                      </w14:textFill>
                    </w:rPr>
                  </w:pPr>
                </w:p>
              </w:tc>
              <w:tc>
                <w:tcPr>
                  <w:tcW w:w="1869" w:type="pct"/>
                  <w:vAlign w:val="center"/>
                </w:tcPr>
                <w:p>
                  <w:pPr>
                    <w:widowControl/>
                    <w:shd w:val="clear" w:color="auto" w:fill="FFFFFF"/>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《地表水环境质量标准》（GB3838-2002）Ⅴ类标准</w:t>
                  </w:r>
                </w:p>
              </w:tc>
              <w:tc>
                <w:tcPr>
                  <w:tcW w:w="497"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466"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531"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332"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516"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383"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0.4</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3" w:type="pct"/>
                  <w:vMerge w:val="continue"/>
                  <w:vAlign w:val="center"/>
                </w:tcPr>
                <w:p>
                  <w:pPr>
                    <w:widowControl/>
                    <w:jc w:val="left"/>
                    <w:rPr>
                      <w:color w:val="000000" w:themeColor="text1"/>
                      <w:szCs w:val="21"/>
                      <w14:textFill>
                        <w14:solidFill>
                          <w14:schemeClr w14:val="tx1"/>
                        </w14:solidFill>
                      </w14:textFill>
                    </w:rPr>
                  </w:pPr>
                </w:p>
              </w:tc>
              <w:tc>
                <w:tcPr>
                  <w:tcW w:w="1869" w:type="pct"/>
                  <w:vAlign w:val="center"/>
                </w:tcPr>
                <w:p>
                  <w:pPr>
                    <w:widowControl/>
                    <w:shd w:val="clear" w:color="auto" w:fill="FFFFFF"/>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排放执行标准</w:t>
                  </w:r>
                </w:p>
              </w:tc>
              <w:tc>
                <w:tcPr>
                  <w:tcW w:w="497"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6-9</w:t>
                  </w:r>
                </w:p>
              </w:tc>
              <w:tc>
                <w:tcPr>
                  <w:tcW w:w="466"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10</w:t>
                  </w:r>
                </w:p>
              </w:tc>
              <w:tc>
                <w:tcPr>
                  <w:tcW w:w="531"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40</w:t>
                  </w:r>
                </w:p>
              </w:tc>
              <w:tc>
                <w:tcPr>
                  <w:tcW w:w="332"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10</w:t>
                  </w:r>
                </w:p>
              </w:tc>
              <w:tc>
                <w:tcPr>
                  <w:tcW w:w="516"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383" w:type="pct"/>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0.4</w:t>
                  </w:r>
                </w:p>
              </w:tc>
            </w:tr>
          </w:tbl>
          <w:p>
            <w:pPr>
              <w:pStyle w:val="55"/>
              <w:spacing w:line="360" w:lineRule="auto"/>
              <w:ind w:firstLine="482"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2、大气污染物排放标准</w:t>
            </w:r>
          </w:p>
          <w:p>
            <w:pPr>
              <w:spacing w:line="360" w:lineRule="auto"/>
              <w:ind w:firstLine="480" w:firstLineChars="200"/>
              <w:rPr>
                <w:b/>
                <w:color w:val="000000" w:themeColor="text1"/>
                <w:szCs w:val="21"/>
                <w14:textFill>
                  <w14:solidFill>
                    <w14:schemeClr w14:val="tx1"/>
                  </w14:solidFill>
                </w14:textFill>
              </w:rPr>
            </w:pPr>
            <w:r>
              <w:rPr>
                <w:color w:val="000000" w:themeColor="text1"/>
                <w:sz w:val="24"/>
                <w14:textFill>
                  <w14:solidFill>
                    <w14:schemeClr w14:val="tx1"/>
                  </w14:solidFill>
                </w14:textFill>
              </w:rPr>
              <w:t>本项目运营期产生的大气污染物主要为</w:t>
            </w:r>
            <w:r>
              <w:rPr>
                <w:rFonts w:hint="eastAsia"/>
                <w:color w:val="000000" w:themeColor="text1"/>
                <w:sz w:val="24"/>
                <w14:textFill>
                  <w14:solidFill>
                    <w14:schemeClr w14:val="tx1"/>
                  </w14:solidFill>
                </w14:textFill>
              </w:rPr>
              <w:t>总VOC、漆雾（颗粒物）、粉尘（颗粒物）、焊接烟尘（颗粒物）</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TVOC执行</w:t>
            </w:r>
            <w:r>
              <w:rPr>
                <w:color w:val="000000" w:themeColor="text1"/>
                <w:sz w:val="24"/>
                <w14:textFill>
                  <w14:solidFill>
                    <w14:schemeClr w14:val="tx1"/>
                  </w14:solidFill>
                </w14:textFill>
              </w:rPr>
              <w:t>广东省《固定污染源挥发性有机物综合排放标准》（DB44/2367-2022）</w:t>
            </w:r>
            <w:r>
              <w:rPr>
                <w:rFonts w:hint="eastAsia"/>
                <w:color w:val="000000" w:themeColor="text1"/>
                <w:sz w:val="24"/>
                <w14:textFill>
                  <w14:solidFill>
                    <w14:schemeClr w14:val="tx1"/>
                  </w14:solidFill>
                </w14:textFill>
              </w:rPr>
              <w:t>表1挥发性有机物排放限值的要求，企业边界总VOCs无组织排放参照执行广东省《家具制造行业挥发性有机化合物排放标准》（DB44/814-2010）无组织排放监控点浓度限值标准的要求；</w:t>
            </w:r>
            <w:r>
              <w:rPr>
                <w:rStyle w:val="46"/>
                <w:rFonts w:hint="eastAsia"/>
                <w:bCs/>
                <w:color w:val="000000" w:themeColor="text1"/>
                <w:sz w:val="24"/>
                <w14:textFill>
                  <w14:solidFill>
                    <w14:schemeClr w14:val="tx1"/>
                  </w14:solidFill>
                </w14:textFill>
              </w:rPr>
              <w:t>厂区内有机废气无组织排放执行广东省</w:t>
            </w:r>
            <w:r>
              <w:rPr>
                <w:color w:val="000000" w:themeColor="text1"/>
                <w:sz w:val="24"/>
                <w14:textFill>
                  <w14:solidFill>
                    <w14:schemeClr w14:val="tx1"/>
                  </w14:solidFill>
                </w14:textFill>
              </w:rPr>
              <w:t>《固定污染源挥发性有机物综合排放标准》（DB44/2367-2022）</w:t>
            </w:r>
            <w:r>
              <w:rPr>
                <w:rFonts w:hint="eastAsia"/>
                <w:color w:val="000000" w:themeColor="text1"/>
                <w:sz w:val="24"/>
                <w14:textFill>
                  <w14:solidFill>
                    <w14:schemeClr w14:val="tx1"/>
                  </w14:solidFill>
                </w14:textFill>
              </w:rPr>
              <w:t>中表3厂区内无组织排放限值的要求</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颗粒物执行广东省《大气污染物排放限值》（DB</w:t>
            </w:r>
            <w:r>
              <w:rPr>
                <w:color w:val="000000" w:themeColor="text1"/>
                <w:sz w:val="24"/>
                <w14:textFill>
                  <w14:solidFill>
                    <w14:schemeClr w14:val="tx1"/>
                  </w14:solidFill>
                </w14:textFill>
              </w:rPr>
              <w:t>44/27-2001</w:t>
            </w:r>
            <w:r>
              <w:rPr>
                <w:rFonts w:hint="eastAsia"/>
                <w:color w:val="000000" w:themeColor="text1"/>
                <w:sz w:val="24"/>
                <w14:textFill>
                  <w14:solidFill>
                    <w14:schemeClr w14:val="tx1"/>
                  </w14:solidFill>
                </w14:textFill>
              </w:rPr>
              <w:t>）第二时段二级标准及</w:t>
            </w:r>
            <w:r>
              <w:rPr>
                <w:color w:val="000000" w:themeColor="text1"/>
                <w:sz w:val="24"/>
                <w14:textFill>
                  <w14:solidFill>
                    <w14:schemeClr w14:val="tx1"/>
                  </w14:solidFill>
                </w14:textFill>
              </w:rPr>
              <w:t>无组织排放监控浓度限值</w:t>
            </w:r>
            <w:r>
              <w:rPr>
                <w:rFonts w:hint="eastAsia"/>
                <w:color w:val="000000" w:themeColor="text1"/>
                <w:sz w:val="24"/>
                <w14:textFill>
                  <w14:solidFill>
                    <w14:schemeClr w14:val="tx1"/>
                  </w14:solidFill>
                </w14:textFill>
              </w:rPr>
              <w:t>。项目油烟废气排放执行《饮食业油烟排放标准（试行）》（GB18483-2001）排放限值中的小型规模标准要求。</w:t>
            </w:r>
            <w:r>
              <w:rPr>
                <w:color w:val="000000" w:themeColor="text1"/>
                <w:sz w:val="24"/>
                <w14:textFill>
                  <w14:solidFill>
                    <w14:schemeClr w14:val="tx1"/>
                  </w14:solidFill>
                </w14:textFill>
              </w:rPr>
              <w:t>具体限值见</w:t>
            </w:r>
            <w:r>
              <w:rPr>
                <w:rFonts w:hint="eastAsia"/>
                <w:color w:val="000000" w:themeColor="text1"/>
                <w:sz w:val="24"/>
                <w14:textFill>
                  <w14:solidFill>
                    <w14:schemeClr w14:val="tx1"/>
                  </w14:solidFill>
                </w14:textFill>
              </w:rPr>
              <w:t>下</w:t>
            </w:r>
            <w:r>
              <w:rPr>
                <w:color w:val="000000" w:themeColor="text1"/>
                <w:sz w:val="24"/>
                <w14:textFill>
                  <w14:solidFill>
                    <w14:schemeClr w14:val="tx1"/>
                  </w14:solidFill>
                </w14:textFill>
              </w:rPr>
              <w:t>表</w:t>
            </w:r>
            <w:r>
              <w:rPr>
                <w:rFonts w:hint="eastAsia"/>
                <w:color w:val="000000" w:themeColor="text1"/>
                <w:sz w:val="24"/>
                <w14:textFill>
                  <w14:solidFill>
                    <w14:schemeClr w14:val="tx1"/>
                  </w14:solidFill>
                </w14:textFill>
              </w:rPr>
              <w:t>。</w:t>
            </w:r>
          </w:p>
          <w:p>
            <w:pPr>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表3-6  项目大气污染物</w:t>
            </w:r>
            <w:r>
              <w:rPr>
                <w:rFonts w:hint="eastAsia"/>
                <w:b/>
                <w:color w:val="000000" w:themeColor="text1"/>
                <w:szCs w:val="21"/>
                <w14:textFill>
                  <w14:solidFill>
                    <w14:schemeClr w14:val="tx1"/>
                  </w14:solidFill>
                </w14:textFill>
              </w:rPr>
              <w:t>有组织</w:t>
            </w:r>
            <w:r>
              <w:rPr>
                <w:b/>
                <w:color w:val="000000" w:themeColor="text1"/>
                <w:szCs w:val="21"/>
                <w14:textFill>
                  <w14:solidFill>
                    <w14:schemeClr w14:val="tx1"/>
                  </w14:solidFill>
                </w14:textFill>
              </w:rPr>
              <w:t>排放限值</w:t>
            </w:r>
          </w:p>
          <w:tbl>
            <w:tblPr>
              <w:tblStyle w:val="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287"/>
              <w:gridCol w:w="828"/>
              <w:gridCol w:w="1301"/>
              <w:gridCol w:w="1150"/>
              <w:gridCol w:w="1144"/>
              <w:gridCol w:w="2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75" w:type="pct"/>
                  <w:vMerge w:val="restar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c>
                <w:tcPr>
                  <w:tcW w:w="2664" w:type="pct"/>
                  <w:gridSpan w:val="4"/>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排放限值</w:t>
                  </w:r>
                </w:p>
              </w:tc>
              <w:tc>
                <w:tcPr>
                  <w:tcW w:w="1561" w:type="pct"/>
                  <w:vMerge w:val="restar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75" w:type="pct"/>
                  <w:vMerge w:val="continue"/>
                  <w:vAlign w:val="center"/>
                </w:tcPr>
                <w:p>
                  <w:pPr>
                    <w:jc w:val="center"/>
                    <w:rPr>
                      <w:b/>
                      <w:bCs/>
                      <w:color w:val="000000" w:themeColor="text1"/>
                      <w:szCs w:val="21"/>
                      <w14:textFill>
                        <w14:solidFill>
                          <w14:schemeClr w14:val="tx1"/>
                        </w14:solidFill>
                      </w14:textFill>
                    </w:rPr>
                  </w:pPr>
                </w:p>
              </w:tc>
              <w:tc>
                <w:tcPr>
                  <w:tcW w:w="499" w:type="pct"/>
                  <w:vAlign w:val="center"/>
                </w:tcPr>
                <w:p>
                  <w:pPr>
                    <w:jc w:val="center"/>
                    <w:rPr>
                      <w:b/>
                      <w:bCs/>
                      <w:color w:val="000000" w:themeColor="text1"/>
                      <w:szCs w:val="21"/>
                      <w14:textFill>
                        <w14:solidFill>
                          <w14:schemeClr w14:val="tx1"/>
                        </w14:solidFill>
                      </w14:textFill>
                    </w:rPr>
                  </w:pPr>
                  <w:r>
                    <w:rPr>
                      <w:b/>
                      <w:color w:val="000000" w:themeColor="text1"/>
                      <w:szCs w:val="21"/>
                      <w14:textFill>
                        <w14:solidFill>
                          <w14:schemeClr w14:val="tx1"/>
                        </w14:solidFill>
                      </w14:textFill>
                    </w:rPr>
                    <w:t>排气筒高度（m）</w:t>
                  </w:r>
                </w:p>
              </w:tc>
              <w:tc>
                <w:tcPr>
                  <w:tcW w:w="784"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最高允许排放浓度（mg/m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693" w:type="pct"/>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最高允许</w:t>
                  </w:r>
                  <w:r>
                    <w:rPr>
                      <w:b/>
                      <w:bCs/>
                      <w:color w:val="000000" w:themeColor="text1"/>
                      <w:szCs w:val="21"/>
                      <w14:textFill>
                        <w14:solidFill>
                          <w14:schemeClr w14:val="tx1"/>
                        </w14:solidFill>
                      </w14:textFill>
                    </w:rPr>
                    <w:t>排放速率（</w:t>
                  </w:r>
                  <w:r>
                    <w:rPr>
                      <w:rFonts w:hint="eastAsia"/>
                      <w:b/>
                      <w:bCs/>
                      <w:color w:val="000000" w:themeColor="text1"/>
                      <w:szCs w:val="21"/>
                      <w14:textFill>
                        <w14:solidFill>
                          <w14:schemeClr w14:val="tx1"/>
                        </w14:solidFill>
                      </w14:textFill>
                    </w:rPr>
                    <w:t>kg/h</w:t>
                  </w:r>
                  <w:r>
                    <w:rPr>
                      <w:b/>
                      <w:bCs/>
                      <w:color w:val="000000" w:themeColor="text1"/>
                      <w:szCs w:val="21"/>
                      <w14:textFill>
                        <w14:solidFill>
                          <w14:schemeClr w14:val="tx1"/>
                        </w14:solidFill>
                      </w14:textFill>
                    </w:rPr>
                    <w:t>）</w:t>
                  </w:r>
                </w:p>
              </w:tc>
              <w:tc>
                <w:tcPr>
                  <w:tcW w:w="689"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无组织排放监控限值（mg/m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1561" w:type="pct"/>
                  <w:vMerge w:val="continue"/>
                  <w:vAlign w:val="center"/>
                </w:tcPr>
                <w:p>
                  <w:pPr>
                    <w:jc w:val="center"/>
                    <w:rPr>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75" w:type="pct"/>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T</w:t>
                  </w:r>
                  <w:r>
                    <w:rPr>
                      <w:bCs/>
                      <w:color w:val="000000" w:themeColor="text1"/>
                      <w:szCs w:val="21"/>
                      <w14:textFill>
                        <w14:solidFill>
                          <w14:schemeClr w14:val="tx1"/>
                        </w14:solidFill>
                      </w14:textFill>
                    </w:rPr>
                    <w:t>VOC</w:t>
                  </w:r>
                </w:p>
              </w:tc>
              <w:tc>
                <w:tcPr>
                  <w:tcW w:w="499" w:type="pct"/>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15</w:t>
                  </w:r>
                </w:p>
              </w:tc>
              <w:tc>
                <w:tcPr>
                  <w:tcW w:w="784"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100</w:t>
                  </w:r>
                </w:p>
              </w:tc>
              <w:tc>
                <w:tcPr>
                  <w:tcW w:w="693"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w:t>
                  </w:r>
                </w:p>
              </w:tc>
              <w:tc>
                <w:tcPr>
                  <w:tcW w:w="689" w:type="pct"/>
                  <w:vAlign w:val="center"/>
                </w:tcPr>
                <w:p>
                  <w:pPr>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2.0</w:t>
                  </w:r>
                </w:p>
              </w:tc>
              <w:tc>
                <w:tcPr>
                  <w:tcW w:w="1561"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《固定污染源挥发性有机物综合排放标准》（DB44/2367-2022）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775"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49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15</w:t>
                  </w:r>
                </w:p>
              </w:tc>
              <w:tc>
                <w:tcPr>
                  <w:tcW w:w="784"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120</w:t>
                  </w:r>
                </w:p>
              </w:tc>
              <w:tc>
                <w:tcPr>
                  <w:tcW w:w="693"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1.45</w:t>
                  </w:r>
                </w:p>
              </w:tc>
              <w:tc>
                <w:tcPr>
                  <w:tcW w:w="689"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1.0</w:t>
                  </w:r>
                </w:p>
              </w:tc>
              <w:tc>
                <w:tcPr>
                  <w:tcW w:w="1561"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大气污染物</w:t>
                  </w:r>
                  <w:r>
                    <w:rPr>
                      <w:color w:val="000000" w:themeColor="text1"/>
                      <w:szCs w:val="21"/>
                      <w14:textFill>
                        <w14:solidFill>
                          <w14:schemeClr w14:val="tx1"/>
                        </w14:solidFill>
                      </w14:textFill>
                    </w:rPr>
                    <w:t>排放限值》</w:t>
                  </w:r>
                  <w:r>
                    <w:rPr>
                      <w:rFonts w:hint="eastAsia"/>
                      <w:color w:val="000000" w:themeColor="text1"/>
                      <w:szCs w:val="21"/>
                      <w14:textFill>
                        <w14:solidFill>
                          <w14:schemeClr w14:val="tx1"/>
                        </w14:solidFill>
                      </w14:textFill>
                    </w:rPr>
                    <w:t>（DB</w:t>
                  </w:r>
                  <w:r>
                    <w:rPr>
                      <w:color w:val="000000" w:themeColor="text1"/>
                      <w:szCs w:val="21"/>
                      <w14:textFill>
                        <w14:solidFill>
                          <w14:schemeClr w14:val="tx1"/>
                        </w14:solidFill>
                      </w14:textFill>
                    </w:rPr>
                    <w:t>44/27-2001</w:t>
                  </w:r>
                  <w:r>
                    <w:rPr>
                      <w:rFonts w:hint="eastAsia"/>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775" w:type="pct"/>
                  <w:vAlign w:val="center"/>
                </w:tcPr>
                <w:p>
                  <w:pPr>
                    <w:jc w:val="center"/>
                    <w:rPr>
                      <w:color w:val="000000" w:themeColor="text1"/>
                      <w14:textFill>
                        <w14:solidFill>
                          <w14:schemeClr w14:val="tx1"/>
                        </w14:solidFill>
                      </w14:textFill>
                    </w:rPr>
                  </w:pPr>
                  <w:r>
                    <w:rPr>
                      <w:rFonts w:hint="eastAsia"/>
                      <w:bCs/>
                      <w:szCs w:val="21"/>
                    </w:rPr>
                    <w:t>油烟</w:t>
                  </w:r>
                </w:p>
              </w:tc>
              <w:tc>
                <w:tcPr>
                  <w:tcW w:w="499" w:type="pct"/>
                  <w:vAlign w:val="center"/>
                </w:tcPr>
                <w:p>
                  <w:pPr>
                    <w:jc w:val="center"/>
                    <w:rPr>
                      <w:color w:val="000000" w:themeColor="text1"/>
                      <w14:textFill>
                        <w14:solidFill>
                          <w14:schemeClr w14:val="tx1"/>
                        </w14:solidFill>
                      </w14:textFill>
                    </w:rPr>
                  </w:pPr>
                  <w:r>
                    <w:rPr>
                      <w:rFonts w:hint="eastAsia"/>
                    </w:rPr>
                    <w:t>10</w:t>
                  </w:r>
                </w:p>
              </w:tc>
              <w:tc>
                <w:tcPr>
                  <w:tcW w:w="784" w:type="pct"/>
                  <w:vAlign w:val="center"/>
                </w:tcPr>
                <w:p>
                  <w:pPr>
                    <w:jc w:val="center"/>
                    <w:rPr>
                      <w:color w:val="000000" w:themeColor="text1"/>
                      <w14:textFill>
                        <w14:solidFill>
                          <w14:schemeClr w14:val="tx1"/>
                        </w14:solidFill>
                      </w14:textFill>
                    </w:rPr>
                  </w:pPr>
                  <w:r>
                    <w:rPr>
                      <w:rFonts w:hint="eastAsia"/>
                    </w:rPr>
                    <w:t>2.0（去除</w:t>
                  </w:r>
                  <w:r>
                    <w:t>效率</w:t>
                  </w:r>
                  <w:r>
                    <w:rPr>
                      <w:rFonts w:hint="eastAsia"/>
                    </w:rPr>
                    <w:t>≥</w:t>
                  </w:r>
                  <w:r>
                    <w:t>60%</w:t>
                  </w:r>
                  <w:r>
                    <w:rPr>
                      <w:rFonts w:hint="eastAsia"/>
                    </w:rPr>
                    <w:t>）</w:t>
                  </w:r>
                </w:p>
              </w:tc>
              <w:tc>
                <w:tcPr>
                  <w:tcW w:w="693" w:type="pct"/>
                  <w:vAlign w:val="center"/>
                </w:tcPr>
                <w:p>
                  <w:pPr>
                    <w:jc w:val="center"/>
                    <w:rPr>
                      <w:color w:val="000000" w:themeColor="text1"/>
                      <w14:textFill>
                        <w14:solidFill>
                          <w14:schemeClr w14:val="tx1"/>
                        </w14:solidFill>
                      </w14:textFill>
                    </w:rPr>
                  </w:pPr>
                  <w:r>
                    <w:rPr>
                      <w:rFonts w:hint="eastAsia"/>
                    </w:rPr>
                    <w:t>/</w:t>
                  </w:r>
                </w:p>
              </w:tc>
              <w:tc>
                <w:tcPr>
                  <w:tcW w:w="689" w:type="pct"/>
                  <w:vAlign w:val="center"/>
                </w:tcPr>
                <w:p>
                  <w:pPr>
                    <w:jc w:val="center"/>
                    <w:rPr>
                      <w:color w:val="000000" w:themeColor="text1"/>
                      <w14:textFill>
                        <w14:solidFill>
                          <w14:schemeClr w14:val="tx1"/>
                        </w14:solidFill>
                      </w14:textFill>
                    </w:rPr>
                  </w:pPr>
                  <w:r>
                    <w:rPr>
                      <w:rFonts w:hint="eastAsia"/>
                    </w:rPr>
                    <w:t>/</w:t>
                  </w:r>
                </w:p>
              </w:tc>
              <w:tc>
                <w:tcPr>
                  <w:tcW w:w="1561" w:type="pct"/>
                  <w:vAlign w:val="center"/>
                </w:tcPr>
                <w:p>
                  <w:pPr>
                    <w:jc w:val="center"/>
                    <w:rPr>
                      <w:color w:val="000000" w:themeColor="text1"/>
                      <w:szCs w:val="21"/>
                      <w14:textFill>
                        <w14:solidFill>
                          <w14:schemeClr w14:val="tx1"/>
                        </w14:solidFill>
                      </w14:textFill>
                    </w:rPr>
                  </w:pPr>
                  <w:r>
                    <w:rPr>
                      <w:szCs w:val="21"/>
                    </w:rPr>
                    <w:t>《</w:t>
                  </w:r>
                  <w:r>
                    <w:rPr>
                      <w:rFonts w:hint="eastAsia"/>
                      <w:szCs w:val="21"/>
                    </w:rPr>
                    <w:t>饮食业</w:t>
                  </w:r>
                  <w:r>
                    <w:rPr>
                      <w:szCs w:val="21"/>
                    </w:rPr>
                    <w:t>油烟排放</w:t>
                  </w:r>
                  <w:r>
                    <w:rPr>
                      <w:rFonts w:hint="eastAsia"/>
                      <w:szCs w:val="21"/>
                    </w:rPr>
                    <w:t>标准</w:t>
                  </w:r>
                  <w:r>
                    <w:rPr>
                      <w:szCs w:val="21"/>
                    </w:rPr>
                    <w:t>（</w:t>
                  </w:r>
                  <w:r>
                    <w:rPr>
                      <w:rFonts w:hint="eastAsia"/>
                      <w:szCs w:val="21"/>
                    </w:rPr>
                    <w:t>试行</w:t>
                  </w:r>
                  <w:r>
                    <w:rPr>
                      <w:szCs w:val="21"/>
                    </w:rPr>
                    <w:t>）》</w:t>
                  </w:r>
                  <w:r>
                    <w:rPr>
                      <w:rFonts w:hint="eastAsia"/>
                      <w:szCs w:val="21"/>
                    </w:rPr>
                    <w:t>（GB</w:t>
                  </w:r>
                  <w:r>
                    <w:rPr>
                      <w:szCs w:val="21"/>
                    </w:rPr>
                    <w:t>18483-2001</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0" w:hRule="atLeast"/>
              </w:trPr>
              <w:tc>
                <w:tcPr>
                  <w:tcW w:w="5000" w:type="pct"/>
                  <w:gridSpan w:val="6"/>
                  <w:vAlign w:val="center"/>
                </w:tcPr>
                <w:p>
                  <w:pPr>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注</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本项目排气筒高度未高于</w:t>
                  </w:r>
                  <w:r>
                    <w:rPr>
                      <w:color w:val="000000" w:themeColor="text1"/>
                      <w:szCs w:val="21"/>
                      <w14:textFill>
                        <w14:solidFill>
                          <w14:schemeClr w14:val="tx1"/>
                        </w14:solidFill>
                      </w14:textFill>
                    </w:rPr>
                    <w:t>200</w:t>
                  </w:r>
                  <w:r>
                    <w:rPr>
                      <w:rFonts w:hint="eastAsia"/>
                      <w:color w:val="000000" w:themeColor="text1"/>
                      <w:szCs w:val="21"/>
                      <w14:textFill>
                        <w14:solidFill>
                          <w14:schemeClr w14:val="tx1"/>
                        </w14:solidFill>
                      </w14:textFill>
                    </w:rPr>
                    <w:t>米范围内最高建筑高度5m以上，最高允许排放速率按标准限值</w:t>
                  </w:r>
                  <w:r>
                    <w:rPr>
                      <w:color w:val="000000" w:themeColor="text1"/>
                      <w:szCs w:val="21"/>
                      <w14:textFill>
                        <w14:solidFill>
                          <w14:schemeClr w14:val="tx1"/>
                        </w14:solidFill>
                      </w14:textFill>
                    </w:rPr>
                    <w:t>50%</w:t>
                  </w:r>
                  <w:r>
                    <w:rPr>
                      <w:rFonts w:hint="eastAsia"/>
                      <w:color w:val="000000" w:themeColor="text1"/>
                      <w:szCs w:val="21"/>
                      <w14:textFill>
                        <w14:solidFill>
                          <w14:schemeClr w14:val="tx1"/>
                        </w14:solidFill>
                      </w14:textFill>
                    </w:rPr>
                    <w:t>执行。</w:t>
                  </w:r>
                </w:p>
              </w:tc>
            </w:tr>
          </w:tbl>
          <w:p>
            <w:pPr>
              <w:spacing w:line="360" w:lineRule="auto"/>
              <w:jc w:val="center"/>
              <w:rPr>
                <w:rStyle w:val="46"/>
                <w:b/>
                <w:color w:val="000000" w:themeColor="text1"/>
                <w14:textFill>
                  <w14:solidFill>
                    <w14:schemeClr w14:val="tx1"/>
                  </w14:solidFill>
                </w14:textFill>
              </w:rPr>
            </w:pPr>
            <w:r>
              <w:rPr>
                <w:b/>
                <w:color w:val="000000" w:themeColor="text1"/>
                <w:szCs w:val="21"/>
                <w14:textFill>
                  <w14:solidFill>
                    <w14:schemeClr w14:val="tx1"/>
                  </w14:solidFill>
                </w14:textFill>
              </w:rPr>
              <w:t>表3-6  项目大气污染物</w:t>
            </w:r>
            <w:r>
              <w:rPr>
                <w:rFonts w:hint="eastAsia"/>
                <w:b/>
                <w:color w:val="000000" w:themeColor="text1"/>
                <w:szCs w:val="21"/>
                <w14:textFill>
                  <w14:solidFill>
                    <w14:schemeClr w14:val="tx1"/>
                  </w14:solidFill>
                </w14:textFill>
              </w:rPr>
              <w:t>厂界无组织</w:t>
            </w:r>
            <w:r>
              <w:rPr>
                <w:b/>
                <w:color w:val="000000" w:themeColor="text1"/>
                <w:szCs w:val="21"/>
                <w14:textFill>
                  <w14:solidFill>
                    <w14:schemeClr w14:val="tx1"/>
                  </w14:solidFill>
                </w14:textFill>
              </w:rPr>
              <w:t>排放限值</w:t>
            </w:r>
          </w:p>
          <w:tbl>
            <w:tblPr>
              <w:tblStyle w:val="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072"/>
              <w:gridCol w:w="2344"/>
              <w:gridCol w:w="48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46"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c>
                <w:tcPr>
                  <w:tcW w:w="1412"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无组织排放监控限值</w:t>
                  </w:r>
                </w:p>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（mg/m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w:t>
                  </w:r>
                </w:p>
              </w:tc>
              <w:tc>
                <w:tcPr>
                  <w:tcW w:w="2942"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46" w:type="pct"/>
                  <w:vAlign w:val="center"/>
                </w:tcPr>
                <w:p>
                  <w:pPr>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总</w:t>
                  </w:r>
                  <w:r>
                    <w:rPr>
                      <w:bCs/>
                      <w:color w:val="000000" w:themeColor="text1"/>
                      <w:szCs w:val="21"/>
                      <w14:textFill>
                        <w14:solidFill>
                          <w14:schemeClr w14:val="tx1"/>
                        </w14:solidFill>
                      </w14:textFill>
                    </w:rPr>
                    <w:t>VOC</w:t>
                  </w:r>
                </w:p>
              </w:tc>
              <w:tc>
                <w:tcPr>
                  <w:tcW w:w="1412" w:type="pct"/>
                  <w:vAlign w:val="center"/>
                </w:tcPr>
                <w:p>
                  <w:pPr>
                    <w:jc w:val="center"/>
                    <w:rPr>
                      <w:color w:val="000000" w:themeColor="text1"/>
                      <w:szCs w:val="21"/>
                      <w14:textFill>
                        <w14:solidFill>
                          <w14:schemeClr w14:val="tx1"/>
                        </w14:solidFill>
                      </w14:textFill>
                    </w:rPr>
                  </w:pPr>
                  <w:r>
                    <w:rPr>
                      <w:bCs/>
                      <w:color w:val="000000" w:themeColor="text1"/>
                      <w:szCs w:val="21"/>
                      <w14:textFill>
                        <w14:solidFill>
                          <w14:schemeClr w14:val="tx1"/>
                        </w14:solidFill>
                      </w14:textFill>
                    </w:rPr>
                    <w:t>2.0</w:t>
                  </w:r>
                </w:p>
              </w:tc>
              <w:tc>
                <w:tcPr>
                  <w:tcW w:w="2942" w:type="pct"/>
                  <w:vAlign w:val="center"/>
                </w:tcPr>
                <w:p>
                  <w:pPr>
                    <w:jc w:val="center"/>
                    <w:rPr>
                      <w:color w:val="000000" w:themeColor="text1"/>
                      <w:szCs w:val="21"/>
                      <w14:textFill>
                        <w14:solidFill>
                          <w14:schemeClr w14:val="tx1"/>
                        </w14:solidFill>
                      </w14:textFill>
                    </w:rPr>
                  </w:pPr>
                  <w:r>
                    <w:rPr>
                      <w:szCs w:val="21"/>
                    </w:rPr>
                    <w:t>广东省《家具制造行业挥发性有机化合物排放标准》（DB44/814-2010）无组织排放监控点浓度限值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646"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412" w:type="pct"/>
                  <w:vAlign w:val="center"/>
                </w:tcPr>
                <w:p>
                  <w:pPr>
                    <w:jc w:val="center"/>
                    <w:rPr>
                      <w:color w:val="000000" w:themeColor="text1"/>
                      <w:szCs w:val="21"/>
                      <w14:textFill>
                        <w14:solidFill>
                          <w14:schemeClr w14:val="tx1"/>
                        </w14:solidFill>
                      </w14:textFill>
                    </w:rPr>
                  </w:pPr>
                  <w:r>
                    <w:rPr>
                      <w:rFonts w:hint="eastAsia"/>
                      <w:color w:val="000000" w:themeColor="text1"/>
                      <w14:textFill>
                        <w14:solidFill>
                          <w14:schemeClr w14:val="tx1"/>
                        </w14:solidFill>
                      </w14:textFill>
                    </w:rPr>
                    <w:t>1.0</w:t>
                  </w:r>
                </w:p>
              </w:tc>
              <w:tc>
                <w:tcPr>
                  <w:tcW w:w="2942"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大气污染物</w:t>
                  </w:r>
                  <w:r>
                    <w:rPr>
                      <w:color w:val="000000" w:themeColor="text1"/>
                      <w:szCs w:val="21"/>
                      <w14:textFill>
                        <w14:solidFill>
                          <w14:schemeClr w14:val="tx1"/>
                        </w14:solidFill>
                      </w14:textFill>
                    </w:rPr>
                    <w:t>排放限值》</w:t>
                  </w:r>
                  <w:r>
                    <w:rPr>
                      <w:rFonts w:hint="eastAsia"/>
                      <w:color w:val="000000" w:themeColor="text1"/>
                      <w:szCs w:val="21"/>
                      <w14:textFill>
                        <w14:solidFill>
                          <w14:schemeClr w14:val="tx1"/>
                        </w14:solidFill>
                      </w14:textFill>
                    </w:rPr>
                    <w:t>（DB</w:t>
                  </w:r>
                  <w:r>
                    <w:rPr>
                      <w:color w:val="000000" w:themeColor="text1"/>
                      <w:szCs w:val="21"/>
                      <w14:textFill>
                        <w14:solidFill>
                          <w14:schemeClr w14:val="tx1"/>
                        </w14:solidFill>
                      </w14:textFill>
                    </w:rPr>
                    <w:t>44/27-2001</w:t>
                  </w:r>
                  <w:r>
                    <w:rPr>
                      <w:rFonts w:hint="eastAsia"/>
                      <w:color w:val="000000" w:themeColor="text1"/>
                      <w:szCs w:val="21"/>
                      <w14:textFill>
                        <w14:solidFill>
                          <w14:schemeClr w14:val="tx1"/>
                        </w14:solidFill>
                      </w14:textFill>
                    </w:rPr>
                    <w:t>）第二时段二级标准及</w:t>
                  </w:r>
                  <w:r>
                    <w:rPr>
                      <w:color w:val="000000" w:themeColor="text1"/>
                      <w:szCs w:val="21"/>
                      <w14:textFill>
                        <w14:solidFill>
                          <w14:schemeClr w14:val="tx1"/>
                        </w14:solidFill>
                      </w14:textFill>
                    </w:rPr>
                    <w:t>无组织排放监控浓度限值</w:t>
                  </w:r>
                </w:p>
              </w:tc>
            </w:tr>
          </w:tbl>
          <w:p>
            <w:pPr>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表3-7  项目</w:t>
            </w:r>
            <w:r>
              <w:rPr>
                <w:rFonts w:hint="eastAsia"/>
                <w:b/>
                <w:color w:val="000000" w:themeColor="text1"/>
                <w:szCs w:val="21"/>
                <w14:textFill>
                  <w14:solidFill>
                    <w14:schemeClr w14:val="tx1"/>
                  </w14:solidFill>
                </w14:textFill>
              </w:rPr>
              <w:t>厂区内无组织有机废气</w:t>
            </w:r>
            <w:r>
              <w:rPr>
                <w:b/>
                <w:color w:val="000000" w:themeColor="text1"/>
                <w:szCs w:val="21"/>
                <w14:textFill>
                  <w14:solidFill>
                    <w14:schemeClr w14:val="tx1"/>
                  </w14:solidFill>
                </w14:textFill>
              </w:rPr>
              <w:t>排放限值</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1456"/>
              <w:gridCol w:w="2200"/>
              <w:gridCol w:w="1786"/>
              <w:gridCol w:w="1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jc w:val="center"/>
              </w:trPr>
              <w:tc>
                <w:tcPr>
                  <w:tcW w:w="646" w:type="pc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项目</w:t>
                  </w:r>
                </w:p>
              </w:tc>
              <w:tc>
                <w:tcPr>
                  <w:tcW w:w="877" w:type="pc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特别排放限值（mg/m³）</w:t>
                  </w:r>
                </w:p>
              </w:tc>
              <w:tc>
                <w:tcPr>
                  <w:tcW w:w="1325" w:type="pc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限制含义</w:t>
                  </w:r>
                </w:p>
              </w:tc>
              <w:tc>
                <w:tcPr>
                  <w:tcW w:w="1076" w:type="pc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无组织排放监控位置</w:t>
                  </w:r>
                </w:p>
              </w:tc>
              <w:tc>
                <w:tcPr>
                  <w:tcW w:w="1076" w:type="pc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46" w:type="pct"/>
                  <w:vMerge w:val="restar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NMHC</w:t>
                  </w:r>
                </w:p>
              </w:tc>
              <w:tc>
                <w:tcPr>
                  <w:tcW w:w="877"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6</w:t>
                  </w:r>
                </w:p>
              </w:tc>
              <w:tc>
                <w:tcPr>
                  <w:tcW w:w="1325"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监控点处1h平均浓度</w:t>
                  </w:r>
                </w:p>
              </w:tc>
              <w:tc>
                <w:tcPr>
                  <w:tcW w:w="1076" w:type="pct"/>
                  <w:vMerge w:val="restar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在厂房外设置监控点</w:t>
                  </w:r>
                </w:p>
              </w:tc>
              <w:tc>
                <w:tcPr>
                  <w:tcW w:w="1076" w:type="pct"/>
                  <w:vMerge w:val="restar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《固定污染源挥发性有机物综合排放标准》（DB44/2367-2022）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46"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877"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20</w:t>
                  </w:r>
                </w:p>
              </w:tc>
              <w:tc>
                <w:tcPr>
                  <w:tcW w:w="1325"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监控点处任意一次浓度</w:t>
                  </w:r>
                </w:p>
              </w:tc>
              <w:tc>
                <w:tcPr>
                  <w:tcW w:w="1076"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1076" w:type="pct"/>
                  <w:vMerge w:val="continue"/>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r>
          </w:tbl>
          <w:p>
            <w:pPr>
              <w:pStyle w:val="55"/>
              <w:spacing w:line="360" w:lineRule="auto"/>
              <w:ind w:firstLine="482"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3、噪声排放标准</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本项目运营期边界噪声执行《工业企业厂界环境噪声排放标准》（GB12348-2008）</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类标准，即：昼间≤</w:t>
            </w:r>
            <w:r>
              <w:rPr>
                <w:rFonts w:hint="eastAsia"/>
                <w:color w:val="000000" w:themeColor="text1"/>
                <w:sz w:val="24"/>
                <w14:textFill>
                  <w14:solidFill>
                    <w14:schemeClr w14:val="tx1"/>
                  </w14:solidFill>
                </w14:textFill>
              </w:rPr>
              <w:t>6</w:t>
            </w:r>
            <w:r>
              <w:rPr>
                <w:color w:val="000000" w:themeColor="text1"/>
                <w:sz w:val="24"/>
                <w14:textFill>
                  <w14:solidFill>
                    <w14:schemeClr w14:val="tx1"/>
                  </w14:solidFill>
                </w14:textFill>
              </w:rPr>
              <w:t>0dB(A)、夜间≤5</w:t>
            </w:r>
            <w:r>
              <w:rPr>
                <w:rFonts w:hint="eastAsia"/>
                <w:color w:val="000000" w:themeColor="text1"/>
                <w:sz w:val="24"/>
                <w14:textFill>
                  <w14:solidFill>
                    <w14:schemeClr w14:val="tx1"/>
                  </w14:solidFill>
                </w14:textFill>
              </w:rPr>
              <w:t>0</w:t>
            </w:r>
            <w:r>
              <w:rPr>
                <w:color w:val="000000" w:themeColor="text1"/>
                <w:sz w:val="24"/>
                <w14:textFill>
                  <w14:solidFill>
                    <w14:schemeClr w14:val="tx1"/>
                  </w14:solidFill>
                </w14:textFill>
              </w:rPr>
              <w:t>dB(A)。</w:t>
            </w:r>
          </w:p>
          <w:p>
            <w:pPr>
              <w:pStyle w:val="55"/>
              <w:spacing w:line="360" w:lineRule="auto"/>
              <w:ind w:firstLine="482"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4、固体废物</w:t>
            </w:r>
          </w:p>
          <w:p>
            <w:pPr>
              <w:pStyle w:val="49"/>
              <w:spacing w:line="360" w:lineRule="auto"/>
              <w:ind w:left="0" w:firstLine="480" w:firstLineChars="200"/>
              <w:rPr>
                <w:color w:val="000000" w:themeColor="text1"/>
                <w14:textFill>
                  <w14:solidFill>
                    <w14:schemeClr w14:val="tx1"/>
                  </w14:solidFill>
                </w14:textFill>
              </w:rPr>
            </w:pPr>
            <w:r>
              <w:rPr>
                <w:rFonts w:ascii="Times New Roman"/>
                <w:b w:val="0"/>
                <w:bCs w:val="0"/>
                <w:color w:val="000000" w:themeColor="text1"/>
                <w:sz w:val="24"/>
                <w:szCs w:val="24"/>
                <w14:textFill>
                  <w14:solidFill>
                    <w14:schemeClr w14:val="tx1"/>
                  </w14:solidFill>
                </w14:textFill>
              </w:rPr>
              <w:t>本项目一般固体废物贮存于厂房内，根据《一般工业固体废物贮存和填埋污染控制标准》（GB18599-2020），采用库房、包装工具（罐、桶、包装袋等）贮存一般固体废物过程的污染控制，不适用该标准，其贮存过程应满足相应防渗漏、防雨淋、防扬尘等环境保护要求；危险废物贮存执行《危险废物贮存污染控制标准》（GB18597-2001）及环保部2013年36号公告修改单中贮存、处置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c>
          <w:tcPr>
            <w:tcW w:w="663" w:type="dxa"/>
            <w:vAlign w:val="center"/>
          </w:tcPr>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总量</w:t>
            </w:r>
          </w:p>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控制</w:t>
            </w:r>
          </w:p>
          <w:p>
            <w:pPr>
              <w:adjustRightInd w:val="0"/>
              <w:snapToGrid w:val="0"/>
              <w:jc w:val="center"/>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指标</w:t>
            </w:r>
          </w:p>
        </w:tc>
        <w:tc>
          <w:tcPr>
            <w:tcW w:w="8351" w:type="dxa"/>
            <w:vAlign w:val="center"/>
          </w:tcPr>
          <w:p>
            <w:pPr>
              <w:spacing w:line="360" w:lineRule="auto"/>
              <w:ind w:firstLine="480" w:firstLineChars="200"/>
              <w:rPr>
                <w:color w:val="000000" w:themeColor="text1"/>
                <w:sz w:val="24"/>
                <w14:textFill>
                  <w14:solidFill>
                    <w14:schemeClr w14:val="tx1"/>
                  </w14:solidFill>
                </w14:textFill>
              </w:rPr>
            </w:pPr>
            <w:r>
              <w:rPr>
                <w:color w:val="000000" w:themeColor="text1"/>
                <w:kern w:val="0"/>
                <w:sz w:val="24"/>
                <w14:textFill>
                  <w14:solidFill>
                    <w14:schemeClr w14:val="tx1"/>
                  </w14:solidFill>
                </w14:textFill>
              </w:rPr>
              <w:t>项目生活污水经</w:t>
            </w:r>
            <w:r>
              <w:rPr>
                <w:rFonts w:hint="eastAsia"/>
                <w:color w:val="000000" w:themeColor="text1"/>
                <w:kern w:val="0"/>
                <w:sz w:val="24"/>
                <w14:textFill>
                  <w14:solidFill>
                    <w14:schemeClr w14:val="tx1"/>
                  </w14:solidFill>
                </w14:textFill>
              </w:rPr>
              <w:t>隔油隔渣、</w:t>
            </w:r>
            <w:r>
              <w:rPr>
                <w:color w:val="000000" w:themeColor="text1"/>
                <w:kern w:val="0"/>
                <w:sz w:val="24"/>
                <w14:textFill>
                  <w14:solidFill>
                    <w14:schemeClr w14:val="tx1"/>
                  </w14:solidFill>
                </w14:textFill>
              </w:rPr>
              <w:t>三级化粪池处理达广东省《水污染物排放限值》（DB44/26-2001）</w:t>
            </w:r>
            <w:r>
              <w:rPr>
                <w:color w:val="000000" w:themeColor="text1"/>
                <w:sz w:val="24"/>
                <w14:textFill>
                  <w14:solidFill>
                    <w14:schemeClr w14:val="tx1"/>
                  </w14:solidFill>
                </w14:textFill>
              </w:rPr>
              <w:t>第二时段三级标准后排入福田镇生活污水处理厂进一步处理，因此不分配水污染物总量控制指标。</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根据本项目污染物排放总量，建议其总量控制指标按以下执行：</w:t>
            </w:r>
          </w:p>
          <w:p>
            <w:pPr>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 xml:space="preserve">表3-8 </w:t>
            </w:r>
            <w:r>
              <w:rPr>
                <w:rFonts w:hint="eastAsia"/>
                <w:b/>
                <w:color w:val="000000" w:themeColor="text1"/>
                <w:szCs w:val="21"/>
                <w14:textFill>
                  <w14:solidFill>
                    <w14:schemeClr w14:val="tx1"/>
                  </w14:solidFill>
                </w14:textFill>
              </w:rPr>
              <w:t>项目污染物总量控制指标</w:t>
            </w:r>
          </w:p>
          <w:tbl>
            <w:tblPr>
              <w:tblStyle w:val="40"/>
              <w:tblW w:w="8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333"/>
              <w:gridCol w:w="1226"/>
              <w:gridCol w:w="1229"/>
              <w:gridCol w:w="3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783" w:type="dxa"/>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类别</w:t>
                  </w:r>
                </w:p>
              </w:tc>
              <w:tc>
                <w:tcPr>
                  <w:tcW w:w="1333" w:type="dxa"/>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指标</w:t>
                  </w:r>
                </w:p>
              </w:tc>
              <w:tc>
                <w:tcPr>
                  <w:tcW w:w="1226" w:type="dxa"/>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本项目总量（</w:t>
                  </w:r>
                  <w:r>
                    <w:rPr>
                      <w:b/>
                      <w:bCs/>
                      <w:color w:val="000000" w:themeColor="text1"/>
                      <w:szCs w:val="21"/>
                      <w14:textFill>
                        <w14:solidFill>
                          <w14:schemeClr w14:val="tx1"/>
                        </w14:solidFill>
                      </w14:textFill>
                    </w:rPr>
                    <w:t>t/a</w:t>
                  </w:r>
                  <w:r>
                    <w:rPr>
                      <w:rFonts w:hint="eastAsia"/>
                      <w:b/>
                      <w:bCs/>
                      <w:color w:val="000000" w:themeColor="text1"/>
                      <w:szCs w:val="21"/>
                      <w14:textFill>
                        <w14:solidFill>
                          <w14:schemeClr w14:val="tx1"/>
                        </w14:solidFill>
                      </w14:textFill>
                    </w:rPr>
                    <w:t>）</w:t>
                  </w:r>
                </w:p>
              </w:tc>
              <w:tc>
                <w:tcPr>
                  <w:tcW w:w="1229" w:type="dxa"/>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建议总量控制量</w:t>
                  </w:r>
                </w:p>
              </w:tc>
              <w:tc>
                <w:tcPr>
                  <w:tcW w:w="3729" w:type="dxa"/>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783" w:type="dxa"/>
                  <w:vMerge w:val="restar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w:t>
                  </w:r>
                </w:p>
              </w:tc>
              <w:tc>
                <w:tcPr>
                  <w:tcW w:w="1333"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废水量</w:t>
                  </w:r>
                </w:p>
              </w:tc>
              <w:tc>
                <w:tcPr>
                  <w:tcW w:w="122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1728</w:t>
                  </w:r>
                </w:p>
              </w:tc>
              <w:tc>
                <w:tcPr>
                  <w:tcW w:w="1229"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1728</w:t>
                  </w:r>
                </w:p>
              </w:tc>
              <w:tc>
                <w:tcPr>
                  <w:tcW w:w="3729" w:type="dxa"/>
                  <w:vMerge w:val="restar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本项目生活污水纳入福田镇生活污水处理厂的总量中进行控制，</w:t>
                  </w:r>
                </w:p>
                <w:p>
                  <w:pPr>
                    <w:jc w:val="center"/>
                    <w:rPr>
                      <w:b/>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不另占总量指标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783" w:type="dxa"/>
                  <w:vMerge w:val="continue"/>
                  <w:vAlign w:val="center"/>
                </w:tcPr>
                <w:p>
                  <w:pPr>
                    <w:jc w:val="center"/>
                    <w:rPr>
                      <w:color w:val="000000" w:themeColor="text1"/>
                      <w:szCs w:val="21"/>
                      <w14:textFill>
                        <w14:solidFill>
                          <w14:schemeClr w14:val="tx1"/>
                        </w14:solidFill>
                      </w14:textFill>
                    </w:rPr>
                  </w:pPr>
                </w:p>
              </w:tc>
              <w:tc>
                <w:tcPr>
                  <w:tcW w:w="133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1226"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w:t>
                  </w:r>
                  <w:r>
                    <w:rPr>
                      <w:color w:val="000000" w:themeColor="text1"/>
                      <w:szCs w:val="21"/>
                      <w14:textFill>
                        <w14:solidFill>
                          <w14:schemeClr w14:val="tx1"/>
                        </w14:solidFill>
                      </w14:textFill>
                    </w:rPr>
                    <w:t>691</w:t>
                  </w:r>
                </w:p>
              </w:tc>
              <w:tc>
                <w:tcPr>
                  <w:tcW w:w="1229"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w:t>
                  </w:r>
                  <w:r>
                    <w:rPr>
                      <w:color w:val="000000" w:themeColor="text1"/>
                      <w:szCs w:val="21"/>
                      <w14:textFill>
                        <w14:solidFill>
                          <w14:schemeClr w14:val="tx1"/>
                        </w14:solidFill>
                      </w14:textFill>
                    </w:rPr>
                    <w:t>691</w:t>
                  </w:r>
                </w:p>
              </w:tc>
              <w:tc>
                <w:tcPr>
                  <w:tcW w:w="3729" w:type="dxa"/>
                  <w:vMerge w:val="continue"/>
                  <w:vAlign w:val="center"/>
                </w:tcPr>
                <w:p>
                  <w:pPr>
                    <w:jc w:val="center"/>
                    <w:rPr>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783" w:type="dxa"/>
                  <w:vMerge w:val="continue"/>
                  <w:vAlign w:val="center"/>
                </w:tcPr>
                <w:p>
                  <w:pPr>
                    <w:jc w:val="center"/>
                    <w:rPr>
                      <w:color w:val="000000" w:themeColor="text1"/>
                      <w:szCs w:val="21"/>
                      <w14:textFill>
                        <w14:solidFill>
                          <w14:schemeClr w14:val="tx1"/>
                        </w14:solidFill>
                      </w14:textFill>
                    </w:rPr>
                  </w:pPr>
                </w:p>
              </w:tc>
              <w:tc>
                <w:tcPr>
                  <w:tcW w:w="1333"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氨氮</w:t>
                  </w:r>
                </w:p>
              </w:tc>
              <w:tc>
                <w:tcPr>
                  <w:tcW w:w="1226"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w:t>
                  </w:r>
                  <w:r>
                    <w:rPr>
                      <w:color w:val="000000" w:themeColor="text1"/>
                      <w:szCs w:val="21"/>
                      <w14:textFill>
                        <w14:solidFill>
                          <w14:schemeClr w14:val="tx1"/>
                        </w14:solidFill>
                      </w14:textFill>
                    </w:rPr>
                    <w:t>35</w:t>
                  </w:r>
                </w:p>
              </w:tc>
              <w:tc>
                <w:tcPr>
                  <w:tcW w:w="1229"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0.00</w:t>
                  </w:r>
                  <w:r>
                    <w:rPr>
                      <w:color w:val="000000" w:themeColor="text1"/>
                      <w:szCs w:val="21"/>
                      <w14:textFill>
                        <w14:solidFill>
                          <w14:schemeClr w14:val="tx1"/>
                        </w14:solidFill>
                      </w14:textFill>
                    </w:rPr>
                    <w:t>35</w:t>
                  </w:r>
                </w:p>
              </w:tc>
              <w:tc>
                <w:tcPr>
                  <w:tcW w:w="3729" w:type="dxa"/>
                  <w:vMerge w:val="continue"/>
                  <w:vAlign w:val="center"/>
                </w:tcPr>
                <w:p>
                  <w:pPr>
                    <w:jc w:val="center"/>
                    <w:rPr>
                      <w:b/>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783" w:type="dxa"/>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1333" w:type="dxa"/>
                  <w:vMerge w:val="restar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总VOC</w:t>
                  </w:r>
                  <w:r>
                    <w:rPr>
                      <w:rFonts w:hint="eastAsia"/>
                      <w:color w:val="000000" w:themeColor="text1"/>
                      <w:szCs w:val="21"/>
                      <w:vertAlign w:val="subscript"/>
                      <w14:textFill>
                        <w14:solidFill>
                          <w14:schemeClr w14:val="tx1"/>
                        </w14:solidFill>
                      </w14:textFill>
                    </w:rPr>
                    <w:t>S</w:t>
                  </w:r>
                </w:p>
              </w:tc>
              <w:tc>
                <w:tcPr>
                  <w:tcW w:w="1226" w:type="dxa"/>
                  <w:vAlign w:val="center"/>
                </w:tcPr>
                <w:p>
                  <w:pPr>
                    <w:pStyle w:val="154"/>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有组织</w:t>
                  </w:r>
                </w:p>
              </w:tc>
              <w:tc>
                <w:tcPr>
                  <w:tcW w:w="1229" w:type="dxa"/>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0.1631</w:t>
                  </w:r>
                </w:p>
              </w:tc>
              <w:tc>
                <w:tcPr>
                  <w:tcW w:w="3729" w:type="dxa"/>
                  <w:vMerge w:val="restart"/>
                  <w:vAlign w:val="center"/>
                </w:tcPr>
                <w:p>
                  <w:pPr>
                    <w:jc w:val="center"/>
                    <w:rPr>
                      <w:b/>
                      <w:bCs/>
                      <w:color w:val="000000" w:themeColor="text1"/>
                      <w:szCs w:val="21"/>
                      <w14:textFill>
                        <w14:solidFill>
                          <w14:schemeClr w14:val="tx1"/>
                        </w14:solidFill>
                      </w14:textFill>
                    </w:rPr>
                  </w:pPr>
                  <w:r>
                    <w:rPr>
                      <w:color w:val="000000" w:themeColor="text1"/>
                      <w:szCs w:val="21"/>
                      <w14:textFill>
                        <w14:solidFill>
                          <w14:schemeClr w14:val="tx1"/>
                        </w14:solidFill>
                      </w14:textFill>
                    </w:rPr>
                    <w:t>总量控制指标从惠州市生态环境局</w:t>
                  </w:r>
                  <w:r>
                    <w:rPr>
                      <w:rFonts w:hint="eastAsia"/>
                      <w:color w:val="000000" w:themeColor="text1"/>
                      <w:szCs w:val="21"/>
                      <w14:textFill>
                        <w14:solidFill>
                          <w14:schemeClr w14:val="tx1"/>
                        </w14:solidFill>
                      </w14:textFill>
                    </w:rPr>
                    <w:t>博罗</w:t>
                  </w:r>
                  <w:r>
                    <w:rPr>
                      <w:color w:val="000000" w:themeColor="text1"/>
                      <w:szCs w:val="21"/>
                      <w14:textFill>
                        <w14:solidFill>
                          <w14:schemeClr w14:val="tx1"/>
                        </w14:solidFill>
                      </w14:textFill>
                    </w:rPr>
                    <w:t>分局分配取得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783" w:type="dxa"/>
                  <w:vMerge w:val="continue"/>
                  <w:vAlign w:val="center"/>
                </w:tcPr>
                <w:p>
                  <w:pPr>
                    <w:jc w:val="center"/>
                    <w:rPr>
                      <w:color w:val="7030A0"/>
                      <w:szCs w:val="21"/>
                    </w:rPr>
                  </w:pPr>
                </w:p>
              </w:tc>
              <w:tc>
                <w:tcPr>
                  <w:tcW w:w="1333" w:type="dxa"/>
                  <w:vMerge w:val="continue"/>
                  <w:vAlign w:val="center"/>
                </w:tcPr>
                <w:p>
                  <w:pPr>
                    <w:jc w:val="center"/>
                    <w:rPr>
                      <w:color w:val="000000" w:themeColor="text1"/>
                      <w:szCs w:val="21"/>
                      <w14:textFill>
                        <w14:solidFill>
                          <w14:schemeClr w14:val="tx1"/>
                        </w14:solidFill>
                      </w14:textFill>
                    </w:rPr>
                  </w:pPr>
                </w:p>
              </w:tc>
              <w:tc>
                <w:tcPr>
                  <w:tcW w:w="1226" w:type="dxa"/>
                  <w:vAlign w:val="center"/>
                </w:tcPr>
                <w:p>
                  <w:pPr>
                    <w:pStyle w:val="154"/>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无组织</w:t>
                  </w:r>
                </w:p>
              </w:tc>
              <w:tc>
                <w:tcPr>
                  <w:tcW w:w="1229" w:type="dxa"/>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0.1295</w:t>
                  </w:r>
                </w:p>
              </w:tc>
              <w:tc>
                <w:tcPr>
                  <w:tcW w:w="3729" w:type="dxa"/>
                  <w:vMerge w:val="continue"/>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trPr>
              <w:tc>
                <w:tcPr>
                  <w:tcW w:w="783" w:type="dxa"/>
                  <w:vMerge w:val="continue"/>
                  <w:vAlign w:val="center"/>
                </w:tcPr>
                <w:p>
                  <w:pPr>
                    <w:jc w:val="center"/>
                    <w:rPr>
                      <w:color w:val="7030A0"/>
                    </w:rPr>
                  </w:pPr>
                </w:p>
              </w:tc>
              <w:tc>
                <w:tcPr>
                  <w:tcW w:w="1333" w:type="dxa"/>
                  <w:vMerge w:val="restar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（漆雾）</w:t>
                  </w:r>
                </w:p>
              </w:tc>
              <w:tc>
                <w:tcPr>
                  <w:tcW w:w="1226" w:type="dxa"/>
                  <w:vAlign w:val="center"/>
                </w:tcPr>
                <w:p>
                  <w:pPr>
                    <w:pStyle w:val="154"/>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有组织</w:t>
                  </w:r>
                </w:p>
              </w:tc>
              <w:tc>
                <w:tcPr>
                  <w:tcW w:w="1229" w:type="dxa"/>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0.4831</w:t>
                  </w:r>
                </w:p>
              </w:tc>
              <w:tc>
                <w:tcPr>
                  <w:tcW w:w="3729" w:type="dxa"/>
                  <w:vMerge w:val="continue"/>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783" w:type="dxa"/>
                  <w:vMerge w:val="continue"/>
                  <w:vAlign w:val="center"/>
                </w:tcPr>
                <w:p>
                  <w:pPr>
                    <w:jc w:val="center"/>
                    <w:rPr>
                      <w:color w:val="7030A0"/>
                    </w:rPr>
                  </w:pPr>
                </w:p>
              </w:tc>
              <w:tc>
                <w:tcPr>
                  <w:tcW w:w="1333" w:type="dxa"/>
                  <w:vMerge w:val="continue"/>
                  <w:vAlign w:val="center"/>
                </w:tcPr>
                <w:p>
                  <w:pPr>
                    <w:jc w:val="center"/>
                    <w:rPr>
                      <w:color w:val="000000" w:themeColor="text1"/>
                      <w14:textFill>
                        <w14:solidFill>
                          <w14:schemeClr w14:val="tx1"/>
                        </w14:solidFill>
                      </w14:textFill>
                    </w:rPr>
                  </w:pPr>
                </w:p>
              </w:tc>
              <w:tc>
                <w:tcPr>
                  <w:tcW w:w="1226" w:type="dxa"/>
                  <w:vAlign w:val="center"/>
                </w:tcPr>
                <w:p>
                  <w:pPr>
                    <w:pStyle w:val="154"/>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无组织</w:t>
                  </w:r>
                </w:p>
              </w:tc>
              <w:tc>
                <w:tcPr>
                  <w:tcW w:w="1229" w:type="dxa"/>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0.2684</w:t>
                  </w:r>
                </w:p>
              </w:tc>
              <w:tc>
                <w:tcPr>
                  <w:tcW w:w="3729" w:type="dxa"/>
                  <w:vMerge w:val="continue"/>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783" w:type="dxa"/>
                  <w:vMerge w:val="continue"/>
                  <w:vAlign w:val="center"/>
                </w:tcPr>
                <w:p>
                  <w:pPr>
                    <w:jc w:val="center"/>
                    <w:rPr>
                      <w:color w:val="7030A0"/>
                    </w:rPr>
                  </w:pPr>
                </w:p>
              </w:tc>
              <w:tc>
                <w:tcPr>
                  <w:tcW w:w="1333" w:type="dxa"/>
                  <w:vMerge w:val="restar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（粉尘）</w:t>
                  </w:r>
                </w:p>
              </w:tc>
              <w:tc>
                <w:tcPr>
                  <w:tcW w:w="1226" w:type="dxa"/>
                  <w:vAlign w:val="center"/>
                </w:tcPr>
                <w:p>
                  <w:pPr>
                    <w:pStyle w:val="154"/>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有组织</w:t>
                  </w:r>
                </w:p>
              </w:tc>
              <w:tc>
                <w:tcPr>
                  <w:tcW w:w="1229" w:type="dxa"/>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0.3267</w:t>
                  </w:r>
                </w:p>
              </w:tc>
              <w:tc>
                <w:tcPr>
                  <w:tcW w:w="3729" w:type="dxa"/>
                  <w:vMerge w:val="continue"/>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783" w:type="dxa"/>
                  <w:vMerge w:val="continue"/>
                  <w:vAlign w:val="center"/>
                </w:tcPr>
                <w:p>
                  <w:pPr>
                    <w:jc w:val="center"/>
                    <w:rPr>
                      <w:color w:val="7030A0"/>
                    </w:rPr>
                  </w:pPr>
                </w:p>
              </w:tc>
              <w:tc>
                <w:tcPr>
                  <w:tcW w:w="1333" w:type="dxa"/>
                  <w:vMerge w:val="continue"/>
                  <w:vAlign w:val="center"/>
                </w:tcPr>
                <w:p>
                  <w:pPr>
                    <w:jc w:val="center"/>
                    <w:rPr>
                      <w:color w:val="000000" w:themeColor="text1"/>
                      <w14:textFill>
                        <w14:solidFill>
                          <w14:schemeClr w14:val="tx1"/>
                        </w14:solidFill>
                      </w14:textFill>
                    </w:rPr>
                  </w:pPr>
                </w:p>
              </w:tc>
              <w:tc>
                <w:tcPr>
                  <w:tcW w:w="1226" w:type="dxa"/>
                  <w:vAlign w:val="center"/>
                </w:tcPr>
                <w:p>
                  <w:pPr>
                    <w:pStyle w:val="154"/>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无组织</w:t>
                  </w:r>
                </w:p>
              </w:tc>
              <w:tc>
                <w:tcPr>
                  <w:tcW w:w="1229" w:type="dxa"/>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0.3267</w:t>
                  </w:r>
                </w:p>
              </w:tc>
              <w:tc>
                <w:tcPr>
                  <w:tcW w:w="3729" w:type="dxa"/>
                  <w:vMerge w:val="continue"/>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783" w:type="dxa"/>
                  <w:vMerge w:val="continue"/>
                  <w:vAlign w:val="center"/>
                </w:tcPr>
                <w:p>
                  <w:pPr>
                    <w:jc w:val="center"/>
                    <w:rPr>
                      <w:color w:val="7030A0"/>
                    </w:rPr>
                  </w:pPr>
                </w:p>
              </w:tc>
              <w:tc>
                <w:tcPr>
                  <w:tcW w:w="1333" w:type="dxa"/>
                  <w:vMerge w:val="restar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p>
                  <w:pPr>
                    <w:jc w:val="center"/>
                  </w:pPr>
                  <w:r>
                    <w:rPr>
                      <w:rFonts w:hint="eastAsia"/>
                      <w:color w:val="000000" w:themeColor="text1"/>
                      <w14:textFill>
                        <w14:solidFill>
                          <w14:schemeClr w14:val="tx1"/>
                        </w14:solidFill>
                      </w14:textFill>
                    </w:rPr>
                    <w:t>（烟尘）</w:t>
                  </w:r>
                </w:p>
              </w:tc>
              <w:tc>
                <w:tcPr>
                  <w:tcW w:w="1226" w:type="dxa"/>
                  <w:vAlign w:val="center"/>
                </w:tcPr>
                <w:p>
                  <w:pPr>
                    <w:pStyle w:val="154"/>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有组织</w:t>
                  </w:r>
                </w:p>
              </w:tc>
              <w:tc>
                <w:tcPr>
                  <w:tcW w:w="1229" w:type="dxa"/>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.0002</w:t>
                  </w:r>
                </w:p>
              </w:tc>
              <w:tc>
                <w:tcPr>
                  <w:tcW w:w="3729" w:type="dxa"/>
                  <w:vMerge w:val="continue"/>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783" w:type="dxa"/>
                  <w:vMerge w:val="continue"/>
                  <w:vAlign w:val="center"/>
                </w:tcPr>
                <w:p>
                  <w:pPr>
                    <w:jc w:val="center"/>
                    <w:rPr>
                      <w:color w:val="7030A0"/>
                    </w:rPr>
                  </w:pPr>
                </w:p>
              </w:tc>
              <w:tc>
                <w:tcPr>
                  <w:tcW w:w="1333" w:type="dxa"/>
                  <w:vMerge w:val="continue"/>
                  <w:vAlign w:val="center"/>
                </w:tcPr>
                <w:p>
                  <w:pPr>
                    <w:jc w:val="center"/>
                    <w:rPr>
                      <w:color w:val="000000" w:themeColor="text1"/>
                      <w14:textFill>
                        <w14:solidFill>
                          <w14:schemeClr w14:val="tx1"/>
                        </w14:solidFill>
                      </w14:textFill>
                    </w:rPr>
                  </w:pPr>
                </w:p>
              </w:tc>
              <w:tc>
                <w:tcPr>
                  <w:tcW w:w="1226" w:type="dxa"/>
                  <w:vAlign w:val="center"/>
                </w:tcPr>
                <w:p>
                  <w:pPr>
                    <w:pStyle w:val="154"/>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无组织</w:t>
                  </w:r>
                </w:p>
              </w:tc>
              <w:tc>
                <w:tcPr>
                  <w:tcW w:w="1229" w:type="dxa"/>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.0005</w:t>
                  </w:r>
                </w:p>
              </w:tc>
              <w:tc>
                <w:tcPr>
                  <w:tcW w:w="3729" w:type="dxa"/>
                  <w:vMerge w:val="continue"/>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783" w:type="dxa"/>
                  <w:vMerge w:val="continue"/>
                  <w:vAlign w:val="center"/>
                </w:tcPr>
                <w:p>
                  <w:pPr>
                    <w:jc w:val="center"/>
                    <w:rPr>
                      <w:color w:val="000000" w:themeColor="text1"/>
                      <w:szCs w:val="21"/>
                      <w14:textFill>
                        <w14:solidFill>
                          <w14:schemeClr w14:val="tx1"/>
                        </w14:solidFill>
                      </w14:textFill>
                    </w:rPr>
                  </w:pPr>
                </w:p>
              </w:tc>
              <w:tc>
                <w:tcPr>
                  <w:tcW w:w="1333"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总VOC</w:t>
                  </w:r>
                  <w:r>
                    <w:rPr>
                      <w:rFonts w:hint="eastAsia"/>
                      <w:color w:val="000000" w:themeColor="text1"/>
                      <w:szCs w:val="21"/>
                      <w:vertAlign w:val="subscript"/>
                      <w14:textFill>
                        <w14:solidFill>
                          <w14:schemeClr w14:val="tx1"/>
                        </w14:solidFill>
                      </w14:textFill>
                    </w:rPr>
                    <w:t>S</w:t>
                  </w:r>
                </w:p>
              </w:tc>
              <w:tc>
                <w:tcPr>
                  <w:tcW w:w="1226" w:type="dxa"/>
                  <w:vMerge w:val="restart"/>
                  <w:vAlign w:val="center"/>
                </w:tcPr>
                <w:p>
                  <w:pPr>
                    <w:pStyle w:val="154"/>
                    <w:jc w:val="center"/>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合计</w:t>
                  </w:r>
                </w:p>
              </w:tc>
              <w:tc>
                <w:tcPr>
                  <w:tcW w:w="1229" w:type="dxa"/>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0.2926</w:t>
                  </w:r>
                </w:p>
              </w:tc>
              <w:tc>
                <w:tcPr>
                  <w:tcW w:w="3729" w:type="dxa"/>
                  <w:vMerge w:val="continue"/>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783" w:type="dxa"/>
                  <w:vMerge w:val="continue"/>
                  <w:vAlign w:val="center"/>
                </w:tcPr>
                <w:p>
                  <w:pPr>
                    <w:jc w:val="center"/>
                    <w:rPr>
                      <w:color w:val="000000" w:themeColor="text1"/>
                      <w:szCs w:val="21"/>
                      <w14:textFill>
                        <w14:solidFill>
                          <w14:schemeClr w14:val="tx1"/>
                        </w14:solidFill>
                      </w14:textFill>
                    </w:rPr>
                  </w:pPr>
                </w:p>
              </w:tc>
              <w:tc>
                <w:tcPr>
                  <w:tcW w:w="1333" w:type="dxa"/>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颗粒物</w:t>
                  </w:r>
                </w:p>
              </w:tc>
              <w:tc>
                <w:tcPr>
                  <w:tcW w:w="1226" w:type="dxa"/>
                  <w:vMerge w:val="continue"/>
                  <w:vAlign w:val="center"/>
                </w:tcPr>
                <w:p>
                  <w:pPr>
                    <w:pStyle w:val="154"/>
                    <w:jc w:val="center"/>
                    <w:rPr>
                      <w:rFonts w:ascii="Times New Roman" w:hAnsi="Times New Roman" w:eastAsia="宋体" w:cs="Times New Roman"/>
                      <w:color w:val="000000" w:themeColor="text1"/>
                      <w14:textFill>
                        <w14:solidFill>
                          <w14:schemeClr w14:val="tx1"/>
                        </w14:solidFill>
                      </w14:textFill>
                    </w:rPr>
                  </w:pPr>
                </w:p>
              </w:tc>
              <w:tc>
                <w:tcPr>
                  <w:tcW w:w="1229" w:type="dxa"/>
                  <w:vAlign w:val="center"/>
                </w:tcPr>
                <w:p>
                  <w:pPr>
                    <w:widowControl/>
                    <w:jc w:val="center"/>
                    <w:textAlignment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1.4056</w:t>
                  </w:r>
                </w:p>
              </w:tc>
              <w:tc>
                <w:tcPr>
                  <w:tcW w:w="3729" w:type="dxa"/>
                  <w:vMerge w:val="continue"/>
                  <w:vAlign w:val="center"/>
                </w:tcPr>
                <w:p>
                  <w:pPr>
                    <w:jc w:val="center"/>
                    <w:rPr>
                      <w:color w:val="000000" w:themeColor="text1"/>
                      <w:szCs w:val="21"/>
                      <w14:textFill>
                        <w14:solidFill>
                          <w14:schemeClr w14:val="tx1"/>
                        </w14:solidFill>
                      </w14:textFill>
                    </w:rPr>
                  </w:pPr>
                </w:p>
              </w:tc>
            </w:tr>
          </w:tbl>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项目最终执行的污染物排放总量控制指标由当地环境保护行政主管部门分配与核定。</w:t>
            </w:r>
          </w:p>
          <w:p/>
          <w:p>
            <w:pPr>
              <w:pStyle w:val="2"/>
            </w:pPr>
          </w:p>
        </w:tc>
      </w:tr>
    </w:tbl>
    <w:p>
      <w:pPr>
        <w:jc w:val="center"/>
        <w:outlineLvl w:val="0"/>
        <w:rPr>
          <w:rFonts w:ascii="黑体" w:hAnsi="黑体" w:eastAsia="黑体"/>
          <w:color w:val="000000" w:themeColor="text1"/>
          <w:sz w:val="30"/>
          <w14:textFill>
            <w14:solidFill>
              <w14:schemeClr w14:val="tx1"/>
            </w14:solidFill>
          </w14:textFill>
        </w:rPr>
        <w:sectPr>
          <w:pgSz w:w="11906" w:h="16838"/>
          <w:pgMar w:top="1558" w:right="1418" w:bottom="1474" w:left="1418" w:header="851" w:footer="709" w:gutter="0"/>
          <w:cols w:space="720" w:num="1"/>
          <w:docGrid w:type="lines" w:linePitch="312" w:charSpace="0"/>
        </w:sectPr>
      </w:pPr>
    </w:p>
    <w:p>
      <w:pPr>
        <w:jc w:val="center"/>
        <w:outlineLvl w:val="0"/>
        <w:rPr>
          <w:rFonts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t>四</w:t>
      </w:r>
      <w:r>
        <w:rPr>
          <w:rFonts w:ascii="黑体" w:hAnsi="黑体" w:eastAsia="黑体"/>
          <w:color w:val="000000" w:themeColor="text1"/>
          <w:sz w:val="30"/>
          <w14:textFill>
            <w14:solidFill>
              <w14:schemeClr w14:val="tx1"/>
            </w14:solidFill>
          </w14:textFill>
        </w:rPr>
        <w:t>、主要环境影响和保护措施</w:t>
      </w:r>
    </w:p>
    <w:tbl>
      <w:tblPr>
        <w:tblStyle w:val="39"/>
        <w:tblW w:w="905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57" w:type="dxa"/>
          <w:left w:w="57" w:type="dxa"/>
          <w:bottom w:w="57" w:type="dxa"/>
          <w:right w:w="57" w:type="dxa"/>
        </w:tblCellMar>
      </w:tblPr>
      <w:tblGrid>
        <w:gridCol w:w="758"/>
        <w:gridCol w:w="829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1793" w:hRule="atLeast"/>
          <w:jc w:val="center"/>
        </w:trPr>
        <w:tc>
          <w:tcPr>
            <w:tcW w:w="758" w:type="dxa"/>
            <w:tcMar>
              <w:left w:w="28" w:type="dxa"/>
              <w:right w:w="28" w:type="dxa"/>
            </w:tcMar>
            <w:vAlign w:val="center"/>
          </w:tcPr>
          <w:p>
            <w:pPr>
              <w:pStyle w:val="34"/>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施工</w:t>
            </w:r>
          </w:p>
          <w:p>
            <w:pPr>
              <w:pStyle w:val="34"/>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期环</w:t>
            </w:r>
          </w:p>
          <w:p>
            <w:pPr>
              <w:pStyle w:val="34"/>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境保</w:t>
            </w:r>
          </w:p>
          <w:p>
            <w:pPr>
              <w:pStyle w:val="34"/>
              <w:adjustRightInd w:val="0"/>
              <w:snapToGrid w:val="0"/>
              <w:spacing w:before="0" w:beforeAutospacing="0" w:after="0" w:afterAutospacing="0"/>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护措</w:t>
            </w:r>
          </w:p>
          <w:p>
            <w:pPr>
              <w:pStyle w:val="34"/>
              <w:adjustRightInd w:val="0"/>
              <w:snapToGrid w:val="0"/>
              <w:spacing w:before="0" w:beforeAutospacing="0" w:after="0" w:afterAutospacing="0"/>
              <w:jc w:val="center"/>
              <w:rPr>
                <w:rFonts w:ascii="Times New Roman" w:hAnsi="Times New Roman"/>
                <w:bCs/>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施</w:t>
            </w:r>
          </w:p>
        </w:tc>
        <w:tc>
          <w:tcPr>
            <w:tcW w:w="8292" w:type="dxa"/>
            <w:vAlign w:val="center"/>
          </w:tcPr>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本项目租用已建厂房进行生产，故不存在施工期的环境污染。</w:t>
            </w:r>
          </w:p>
          <w:p>
            <w:pPr>
              <w:pStyle w:val="47"/>
              <w:spacing w:line="360" w:lineRule="auto"/>
              <w:ind w:firstLine="480" w:firstLineChars="200"/>
              <w:rPr>
                <w:color w:val="000000" w:themeColor="text1"/>
                <w14:textFill>
                  <w14:solidFill>
                    <w14:schemeClr w14:val="tx1"/>
                  </w14:solidFill>
                </w14:textFill>
              </w:rPr>
            </w:pPr>
            <w:r>
              <w:rPr>
                <w:rFonts w:ascii="Times New Roman"/>
                <w:color w:val="000000" w:themeColor="text1"/>
                <w14:textFill>
                  <w14:solidFill>
                    <w14:schemeClr w14:val="tx1"/>
                  </w14:solidFill>
                </w14:textFill>
              </w:rPr>
              <w:t>本项目设备安装期间仅产生短暂性的噪声，通过适当的隔声、吸声、减振和降噪等措施，来</w:t>
            </w:r>
            <w:r>
              <w:rPr>
                <w:rFonts w:hint="eastAsia" w:ascii="Times New Roman"/>
                <w:color w:val="000000" w:themeColor="text1"/>
                <w14:textFill>
                  <w14:solidFill>
                    <w14:schemeClr w14:val="tx1"/>
                  </w14:solidFill>
                </w14:textFill>
              </w:rPr>
              <w:t>减轻</w:t>
            </w:r>
            <w:r>
              <w:rPr>
                <w:rFonts w:ascii="Times New Roman"/>
                <w:color w:val="000000" w:themeColor="text1"/>
                <w14:textFill>
                  <w14:solidFill>
                    <w14:schemeClr w14:val="tx1"/>
                  </w14:solidFill>
                </w14:textFill>
              </w:rPr>
              <w:t>设备安装期间产生的噪声对外界的影响。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57" w:type="dxa"/>
            <w:left w:w="57" w:type="dxa"/>
            <w:bottom w:w="57" w:type="dxa"/>
            <w:right w:w="57" w:type="dxa"/>
          </w:tblCellMar>
        </w:tblPrEx>
        <w:trPr>
          <w:trHeight w:val="8681" w:hRule="atLeast"/>
          <w:jc w:val="center"/>
        </w:trPr>
        <w:tc>
          <w:tcPr>
            <w:tcW w:w="758" w:type="dxa"/>
            <w:tcMar>
              <w:left w:w="28" w:type="dxa"/>
              <w:right w:w="28" w:type="dxa"/>
            </w:tcMar>
            <w:vAlign w:val="center"/>
          </w:tcPr>
          <w:p>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运营</w:t>
            </w:r>
          </w:p>
          <w:p>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期环</w:t>
            </w:r>
          </w:p>
          <w:p>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境影</w:t>
            </w:r>
          </w:p>
          <w:p>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响和</w:t>
            </w:r>
          </w:p>
          <w:p>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保护</w:t>
            </w:r>
          </w:p>
          <w:p>
            <w:pPr>
              <w:adjustRightInd w:val="0"/>
              <w:snapToGrid w:val="0"/>
              <w:jc w:val="center"/>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措施</w:t>
            </w:r>
          </w:p>
        </w:tc>
        <w:tc>
          <w:tcPr>
            <w:tcW w:w="8292" w:type="dxa"/>
            <w:vAlign w:val="center"/>
          </w:tcPr>
          <w:p>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一</w:t>
            </w:r>
            <w:r>
              <w:rPr>
                <w:b/>
                <w:color w:val="000000" w:themeColor="text1"/>
                <w:sz w:val="24"/>
                <w14:textFill>
                  <w14:solidFill>
                    <w14:schemeClr w14:val="tx1"/>
                  </w14:solidFill>
                </w14:textFill>
              </w:rPr>
              <w:t>、废气</w:t>
            </w:r>
            <w:r>
              <w:rPr>
                <w:rFonts w:hint="eastAsia"/>
                <w:b/>
                <w:color w:val="000000" w:themeColor="text1"/>
                <w:sz w:val="24"/>
                <w14:textFill>
                  <w14:solidFill>
                    <w14:schemeClr w14:val="tx1"/>
                  </w14:solidFill>
                </w14:textFill>
              </w:rPr>
              <w:t>环境影响</w:t>
            </w:r>
            <w:r>
              <w:rPr>
                <w:b/>
                <w:color w:val="000000" w:themeColor="text1"/>
                <w:sz w:val="24"/>
                <w14:textFill>
                  <w14:solidFill>
                    <w14:schemeClr w14:val="tx1"/>
                  </w14:solidFill>
                </w14:textFill>
              </w:rPr>
              <w:t>分析</w:t>
            </w:r>
          </w:p>
          <w:p>
            <w:pPr>
              <w:spacing w:before="156" w:beforeLines="50"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1、大气污染物源</w:t>
            </w:r>
          </w:p>
          <w:p>
            <w:pPr>
              <w:adjustRightInd w:val="0"/>
              <w:snapToGrid w:val="0"/>
              <w:spacing w:line="360" w:lineRule="auto"/>
              <w:ind w:firstLine="480"/>
              <w:rPr>
                <w:b/>
                <w:bCs/>
                <w:color w:val="000000" w:themeColor="text1"/>
                <w:sz w:val="24"/>
                <w14:textFill>
                  <w14:solidFill>
                    <w14:schemeClr w14:val="tx1"/>
                  </w14:solidFill>
                </w14:textFill>
              </w:rPr>
            </w:pPr>
            <w:r>
              <w:rPr>
                <w:color w:val="000000" w:themeColor="text1"/>
                <w:sz w:val="24"/>
                <w14:textFill>
                  <w14:solidFill>
                    <w14:schemeClr w14:val="tx1"/>
                  </w14:solidFill>
                </w14:textFill>
              </w:rPr>
              <w:t>本项目大气污染物项目产生的废气主要是</w:t>
            </w:r>
            <w:r>
              <w:rPr>
                <w:rFonts w:hint="eastAsia"/>
                <w:color w:val="000000" w:themeColor="text1"/>
                <w:sz w:val="24"/>
                <w14:textFill>
                  <w14:solidFill>
                    <w14:schemeClr w14:val="tx1"/>
                  </w14:solidFill>
                </w14:textFill>
              </w:rPr>
              <w:t>开料、雕刻、打磨、切割工序产生的粉尘，调漆、</w:t>
            </w:r>
            <w:r>
              <w:rPr>
                <w:color w:val="000000" w:themeColor="text1"/>
                <w:sz w:val="24"/>
                <w14:textFill>
                  <w14:solidFill>
                    <w14:schemeClr w14:val="tx1"/>
                  </w14:solidFill>
                </w14:textFill>
              </w:rPr>
              <w:t>喷</w:t>
            </w:r>
            <w:r>
              <w:rPr>
                <w:rFonts w:hint="eastAsia"/>
                <w:color w:val="000000" w:themeColor="text1"/>
                <w:sz w:val="24"/>
                <w14:textFill>
                  <w14:solidFill>
                    <w14:schemeClr w14:val="tx1"/>
                  </w14:solidFill>
                </w14:textFill>
              </w:rPr>
              <w:t>涂、晾干</w:t>
            </w:r>
            <w:r>
              <w:rPr>
                <w:color w:val="000000" w:themeColor="text1"/>
                <w:sz w:val="24"/>
                <w14:textFill>
                  <w14:solidFill>
                    <w14:schemeClr w14:val="tx1"/>
                  </w14:solidFill>
                </w14:textFill>
              </w:rPr>
              <w:t>工序产生的</w:t>
            </w:r>
            <w:r>
              <w:rPr>
                <w:rFonts w:hint="eastAsia"/>
                <w:color w:val="000000" w:themeColor="text1"/>
                <w:sz w:val="24"/>
                <w14:textFill>
                  <w14:solidFill>
                    <w14:schemeClr w14:val="tx1"/>
                  </w14:solidFill>
                </w14:textFill>
              </w:rPr>
              <w:t>有机废气，喷漆工序产生的漆雾（颗粒物），焊接工序产生的焊接烟尘</w:t>
            </w:r>
            <w:r>
              <w:rPr>
                <w:color w:val="000000" w:themeColor="text1"/>
                <w:sz w:val="24"/>
                <w14:textFill>
                  <w14:solidFill>
                    <w14:schemeClr w14:val="tx1"/>
                  </w14:solidFill>
                </w14:textFill>
              </w:rPr>
              <w:t>。本项目年运行300天，每天8小时。</w:t>
            </w:r>
          </w:p>
          <w:p>
            <w:pPr>
              <w:pStyle w:val="47"/>
              <w:jc w:val="center"/>
              <w:rPr>
                <w:rFonts w:ascii="Times New Roman"/>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表4-1 废气污染物源强核算结果一览表</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75"/>
              <w:gridCol w:w="476"/>
              <w:gridCol w:w="628"/>
              <w:gridCol w:w="591"/>
              <w:gridCol w:w="638"/>
              <w:gridCol w:w="606"/>
              <w:gridCol w:w="692"/>
              <w:gridCol w:w="467"/>
              <w:gridCol w:w="477"/>
              <w:gridCol w:w="477"/>
              <w:gridCol w:w="280"/>
              <w:gridCol w:w="638"/>
              <w:gridCol w:w="606"/>
              <w:gridCol w:w="650"/>
              <w:gridCol w:w="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0" w:hRule="atLeast"/>
              </w:trPr>
              <w:tc>
                <w:tcPr>
                  <w:tcW w:w="0" w:type="auto"/>
                  <w:vMerge w:val="restart"/>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排放口编号及名称</w:t>
                  </w:r>
                </w:p>
              </w:tc>
              <w:tc>
                <w:tcPr>
                  <w:tcW w:w="0" w:type="auto"/>
                  <w:vMerge w:val="restart"/>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产排污环节</w:t>
                  </w:r>
                </w:p>
              </w:tc>
              <w:tc>
                <w:tcPr>
                  <w:tcW w:w="0" w:type="auto"/>
                  <w:vMerge w:val="restart"/>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污染物种类</w:t>
                  </w:r>
                </w:p>
              </w:tc>
              <w:tc>
                <w:tcPr>
                  <w:tcW w:w="0" w:type="auto"/>
                  <w:vMerge w:val="restart"/>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废气设计风量</w:t>
                  </w:r>
                  <w:r>
                    <w:rPr>
                      <w:b/>
                      <w:bCs/>
                      <w:color w:val="000000" w:themeColor="text1"/>
                      <w:szCs w:val="21"/>
                      <w14:textFill>
                        <w14:solidFill>
                          <w14:schemeClr w14:val="tx1"/>
                        </w14:solidFill>
                      </w14:textFill>
                    </w:rPr>
                    <w:t>m</w:t>
                  </w:r>
                  <w:r>
                    <w:rPr>
                      <w:b/>
                      <w:bCs/>
                      <w:color w:val="000000" w:themeColor="text1"/>
                      <w:szCs w:val="21"/>
                      <w:vertAlign w:val="superscript"/>
                      <w14:textFill>
                        <w14:solidFill>
                          <w14:schemeClr w14:val="tx1"/>
                        </w14:solidFill>
                      </w14:textFill>
                    </w:rPr>
                    <w:t>3</w:t>
                  </w:r>
                  <w:r>
                    <w:rPr>
                      <w:b/>
                      <w:bCs/>
                      <w:color w:val="000000" w:themeColor="text1"/>
                      <w:szCs w:val="21"/>
                      <w14:textFill>
                        <w14:solidFill>
                          <w14:schemeClr w14:val="tx1"/>
                        </w14:solidFill>
                      </w14:textFill>
                    </w:rPr>
                    <w:t>/h</w:t>
                  </w:r>
                </w:p>
              </w:tc>
              <w:tc>
                <w:tcPr>
                  <w:tcW w:w="0" w:type="auto"/>
                  <w:gridSpan w:val="3"/>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产生情况</w:t>
                  </w:r>
                </w:p>
              </w:tc>
              <w:tc>
                <w:tcPr>
                  <w:tcW w:w="0" w:type="auto"/>
                  <w:gridSpan w:val="4"/>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治理措施</w:t>
                  </w:r>
                </w:p>
              </w:tc>
              <w:tc>
                <w:tcPr>
                  <w:tcW w:w="0" w:type="auto"/>
                  <w:gridSpan w:val="3"/>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排放情况</w:t>
                  </w:r>
                </w:p>
              </w:tc>
              <w:tc>
                <w:tcPr>
                  <w:tcW w:w="0" w:type="auto"/>
                  <w:vMerge w:val="restart"/>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7" w:hRule="atLeast"/>
              </w:trPr>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vMerge w:val="continue"/>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p>
              </w:tc>
              <w:tc>
                <w:tcPr>
                  <w:tcW w:w="0" w:type="auto"/>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产生量t/a</w:t>
                  </w:r>
                </w:p>
              </w:tc>
              <w:tc>
                <w:tcPr>
                  <w:tcW w:w="0" w:type="auto"/>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产生速率kg/h</w:t>
                  </w:r>
                </w:p>
              </w:tc>
              <w:tc>
                <w:tcPr>
                  <w:tcW w:w="0" w:type="auto"/>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产生浓度mg/m</w:t>
                  </w:r>
                  <w:r>
                    <w:rPr>
                      <w:b/>
                      <w:bCs/>
                      <w:color w:val="000000" w:themeColor="text1"/>
                      <w:szCs w:val="21"/>
                      <w:vertAlign w:val="superscript"/>
                      <w14:textFill>
                        <w14:solidFill>
                          <w14:schemeClr w14:val="tx1"/>
                        </w14:solidFill>
                      </w14:textFill>
                    </w:rPr>
                    <w:t>3</w:t>
                  </w:r>
                </w:p>
              </w:tc>
              <w:tc>
                <w:tcPr>
                  <w:tcW w:w="493" w:type="dxa"/>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工艺</w:t>
                  </w:r>
                </w:p>
              </w:tc>
              <w:tc>
                <w:tcPr>
                  <w:tcW w:w="477" w:type="dxa"/>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收集效率%</w:t>
                  </w:r>
                </w:p>
              </w:tc>
              <w:tc>
                <w:tcPr>
                  <w:tcW w:w="477" w:type="dxa"/>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去除效率%</w:t>
                  </w:r>
                </w:p>
              </w:tc>
              <w:tc>
                <w:tcPr>
                  <w:tcW w:w="282" w:type="dxa"/>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是否为可行技术</w:t>
                  </w:r>
                </w:p>
              </w:tc>
              <w:tc>
                <w:tcPr>
                  <w:tcW w:w="0" w:type="auto"/>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排放量t/a</w:t>
                  </w:r>
                </w:p>
              </w:tc>
              <w:tc>
                <w:tcPr>
                  <w:tcW w:w="0" w:type="auto"/>
                  <w:tcMar>
                    <w:top w:w="0" w:type="dxa"/>
                    <w:left w:w="28" w:type="dxa"/>
                    <w:bottom w:w="0" w:type="dxa"/>
                    <w:right w:w="28" w:type="dxa"/>
                  </w:tcMar>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排放速率kg/h</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排放浓度mg/m</w:t>
                  </w:r>
                  <w:r>
                    <w:rPr>
                      <w:b/>
                      <w:bCs/>
                      <w:color w:val="000000" w:themeColor="text1"/>
                      <w:szCs w:val="21"/>
                      <w:vertAlign w:val="superscript"/>
                      <w14:textFill>
                        <w14:solidFill>
                          <w14:schemeClr w14:val="tx1"/>
                        </w14:solidFill>
                      </w14:textFill>
                    </w:rPr>
                    <w:t>3</w:t>
                  </w:r>
                </w:p>
              </w:tc>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21" w:hRule="atLeast"/>
              </w:trPr>
              <w:tc>
                <w:tcPr>
                  <w:tcW w:w="0" w:type="auto"/>
                  <w:vMerge w:val="restart"/>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w:t>
                  </w: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排放口</w:t>
                  </w:r>
                </w:p>
              </w:tc>
              <w:tc>
                <w:tcPr>
                  <w:tcW w:w="0" w:type="auto"/>
                  <w:vMerge w:val="restart"/>
                  <w:tcMar>
                    <w:top w:w="0" w:type="dxa"/>
                    <w:left w:w="28" w:type="dxa"/>
                    <w:bottom w:w="0" w:type="dxa"/>
                    <w:right w:w="28" w:type="dxa"/>
                  </w:tcMar>
                  <w:vAlign w:val="center"/>
                </w:tcPr>
                <w:p>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开料、雕刻、打磨、切割</w:t>
                  </w:r>
                </w:p>
              </w:tc>
              <w:tc>
                <w:tcPr>
                  <w:tcW w:w="0" w:type="auto"/>
                  <w:vMerge w:val="restart"/>
                  <w:tcMar>
                    <w:top w:w="0" w:type="dxa"/>
                    <w:left w:w="0" w:type="dxa"/>
                    <w:bottom w:w="0" w:type="dxa"/>
                    <w:right w:w="0"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593"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15000</w:t>
                  </w:r>
                </w:p>
              </w:tc>
              <w:tc>
                <w:tcPr>
                  <w:tcW w:w="638" w:type="dxa"/>
                  <w:tcMar>
                    <w:top w:w="0" w:type="dxa"/>
                    <w:left w:w="28" w:type="dxa"/>
                    <w:bottom w:w="0" w:type="dxa"/>
                    <w:right w:w="28" w:type="dxa"/>
                  </w:tcMar>
                  <w:vAlign w:val="center"/>
                </w:tcPr>
                <w:p>
                  <w:pPr>
                    <w:widowControl/>
                    <w:jc w:val="left"/>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3.2672</w:t>
                  </w:r>
                </w:p>
              </w:tc>
              <w:tc>
                <w:tcPr>
                  <w:tcW w:w="606"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1.361</w:t>
                  </w:r>
                </w:p>
              </w:tc>
              <w:tc>
                <w:tcPr>
                  <w:tcW w:w="692" w:type="dxa"/>
                  <w:tcMar>
                    <w:top w:w="0" w:type="dxa"/>
                    <w:left w:w="57" w:type="dxa"/>
                    <w:bottom w:w="0" w:type="dxa"/>
                    <w:right w:w="57"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90.75</w:t>
                  </w:r>
                </w:p>
              </w:tc>
              <w:tc>
                <w:tcPr>
                  <w:tcW w:w="493" w:type="dxa"/>
                  <w:tcMar>
                    <w:top w:w="0" w:type="dxa"/>
                    <w:left w:w="28" w:type="dxa"/>
                    <w:bottom w:w="0" w:type="dxa"/>
                    <w:right w:w="28" w:type="dxa"/>
                  </w:tcMar>
                  <w:vAlign w:val="center"/>
                </w:tcPr>
                <w:p>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布袋除尘器</w:t>
                  </w:r>
                </w:p>
              </w:tc>
              <w:tc>
                <w:tcPr>
                  <w:tcW w:w="477"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60</w:t>
                  </w:r>
                </w:p>
              </w:tc>
              <w:tc>
                <w:tcPr>
                  <w:tcW w:w="477"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90</w:t>
                  </w:r>
                </w:p>
              </w:tc>
              <w:tc>
                <w:tcPr>
                  <w:tcW w:w="282"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638"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0.3267</w:t>
                  </w:r>
                </w:p>
              </w:tc>
              <w:tc>
                <w:tcPr>
                  <w:tcW w:w="586"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0.136</w:t>
                  </w:r>
                </w:p>
              </w:tc>
              <w:tc>
                <w:tcPr>
                  <w:tcW w:w="652"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9.08</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1" w:hRule="atLeast"/>
              </w:trPr>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jc w:val="center"/>
                    <w:rPr>
                      <w:color w:val="000000" w:themeColor="text1"/>
                      <w:szCs w:val="21"/>
                      <w14:textFill>
                        <w14:solidFill>
                          <w14:schemeClr w14:val="tx1"/>
                        </w14:solidFill>
                      </w14:textFill>
                    </w:rPr>
                  </w:pPr>
                </w:p>
              </w:tc>
              <w:tc>
                <w:tcPr>
                  <w:tcW w:w="593"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638" w:type="dxa"/>
                  <w:tcMar>
                    <w:top w:w="0" w:type="dxa"/>
                    <w:left w:w="28" w:type="dxa"/>
                    <w:bottom w:w="0" w:type="dxa"/>
                    <w:right w:w="28" w:type="dxa"/>
                  </w:tcMar>
                  <w:vAlign w:val="center"/>
                </w:tcPr>
                <w:p>
                  <w:pPr>
                    <w:widowControl/>
                    <w:jc w:val="left"/>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2.1781</w:t>
                  </w:r>
                </w:p>
              </w:tc>
              <w:tc>
                <w:tcPr>
                  <w:tcW w:w="606"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0.908</w:t>
                  </w:r>
                </w:p>
              </w:tc>
              <w:tc>
                <w:tcPr>
                  <w:tcW w:w="692" w:type="dxa"/>
                  <w:tcMar>
                    <w:top w:w="0" w:type="dxa"/>
                    <w:left w:w="57" w:type="dxa"/>
                    <w:bottom w:w="0" w:type="dxa"/>
                    <w:right w:w="57" w:type="dxa"/>
                  </w:tcMar>
                  <w:vAlign w:val="center"/>
                </w:tcPr>
                <w:p>
                  <w:pPr>
                    <w:widowControl/>
                    <w:jc w:val="center"/>
                    <w:textAlignment w:val="center"/>
                    <w:rPr>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w:t>
                  </w:r>
                </w:p>
              </w:tc>
              <w:tc>
                <w:tcPr>
                  <w:tcW w:w="493" w:type="dxa"/>
                  <w:tcMar>
                    <w:top w:w="0" w:type="dxa"/>
                    <w:left w:w="28" w:type="dxa"/>
                    <w:bottom w:w="0" w:type="dxa"/>
                    <w:right w:w="28" w:type="dxa"/>
                  </w:tcMar>
                  <w:vAlign w:val="center"/>
                </w:tcPr>
                <w:p>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车间沉降</w:t>
                  </w:r>
                </w:p>
              </w:tc>
              <w:tc>
                <w:tcPr>
                  <w:tcW w:w="477"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w:t>
                  </w:r>
                </w:p>
              </w:tc>
              <w:tc>
                <w:tcPr>
                  <w:tcW w:w="477"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w:t>
                  </w:r>
                </w:p>
              </w:tc>
              <w:tc>
                <w:tcPr>
                  <w:tcW w:w="282"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638"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0.3267</w:t>
                  </w:r>
                </w:p>
              </w:tc>
              <w:tc>
                <w:tcPr>
                  <w:tcW w:w="586"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0.136</w:t>
                  </w:r>
                </w:p>
              </w:tc>
              <w:tc>
                <w:tcPr>
                  <w:tcW w:w="652"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89" w:hRule="atLeast"/>
              </w:trPr>
              <w:tc>
                <w:tcPr>
                  <w:tcW w:w="0" w:type="auto"/>
                  <w:vMerge w:val="restart"/>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w:t>
                  </w: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排放口</w:t>
                  </w:r>
                </w:p>
              </w:tc>
              <w:tc>
                <w:tcPr>
                  <w:tcW w:w="0" w:type="auto"/>
                  <w:vMerge w:val="restart"/>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调漆、喷漆、晾干</w:t>
                  </w:r>
                </w:p>
              </w:tc>
              <w:tc>
                <w:tcPr>
                  <w:tcW w:w="0" w:type="auto"/>
                  <w:tcMar>
                    <w:top w:w="0" w:type="dxa"/>
                    <w:left w:w="0" w:type="dxa"/>
                    <w:bottom w:w="0" w:type="dxa"/>
                    <w:right w:w="0"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漆雾</w:t>
                  </w:r>
                </w:p>
              </w:tc>
              <w:tc>
                <w:tcPr>
                  <w:tcW w:w="593" w:type="dxa"/>
                  <w:vMerge w:val="restart"/>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10000</w:t>
                  </w:r>
                </w:p>
              </w:tc>
              <w:tc>
                <w:tcPr>
                  <w:tcW w:w="638" w:type="dxa"/>
                  <w:tcMar>
                    <w:top w:w="0" w:type="dxa"/>
                    <w:left w:w="28" w:type="dxa"/>
                    <w:bottom w:w="0" w:type="dxa"/>
                    <w:right w:w="28" w:type="dxa"/>
                  </w:tcMar>
                  <w:vAlign w:val="center"/>
                </w:tcPr>
                <w:p>
                  <w:pPr>
                    <w:widowControl/>
                    <w:jc w:val="left"/>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2.4156</w:t>
                  </w:r>
                </w:p>
              </w:tc>
              <w:tc>
                <w:tcPr>
                  <w:tcW w:w="606"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1.007</w:t>
                  </w:r>
                </w:p>
              </w:tc>
              <w:tc>
                <w:tcPr>
                  <w:tcW w:w="692" w:type="dxa"/>
                  <w:tcMar>
                    <w:top w:w="0" w:type="dxa"/>
                    <w:left w:w="57" w:type="dxa"/>
                    <w:bottom w:w="0" w:type="dxa"/>
                    <w:right w:w="57"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100.65</w:t>
                  </w:r>
                </w:p>
              </w:tc>
              <w:tc>
                <w:tcPr>
                  <w:tcW w:w="493" w:type="dxa"/>
                  <w:vMerge w:val="restart"/>
                  <w:tcMar>
                    <w:top w:w="0" w:type="dxa"/>
                    <w:left w:w="28" w:type="dxa"/>
                    <w:bottom w:w="0" w:type="dxa"/>
                    <w:right w:w="28" w:type="dxa"/>
                  </w:tcMar>
                </w:tcPr>
                <w:p>
                  <w:pPr>
                    <w:pStyle w:val="22"/>
                    <w:ind w:left="-105" w:leftChars="-50" w:right="-105" w:rightChars="-50"/>
                    <w:jc w:val="center"/>
                    <w:rPr>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喷淋塔+</w:t>
                  </w:r>
                  <w:r>
                    <w:rPr>
                      <w:rFonts w:hint="eastAsia" w:ascii="Times New Roman" w:hAnsi="Times New Roman"/>
                      <w:color w:val="000000" w:themeColor="text1"/>
                      <w:szCs w:val="21"/>
                      <w14:textFill>
                        <w14:solidFill>
                          <w14:schemeClr w14:val="tx1"/>
                        </w14:solidFill>
                      </w14:textFill>
                    </w:rPr>
                    <w:t>过滤除雾器+二级</w:t>
                  </w:r>
                  <w:r>
                    <w:rPr>
                      <w:rFonts w:ascii="Times New Roman" w:hAnsi="Times New Roman"/>
                      <w:color w:val="000000" w:themeColor="text1"/>
                      <w:szCs w:val="21"/>
                      <w14:textFill>
                        <w14:solidFill>
                          <w14:schemeClr w14:val="tx1"/>
                        </w14:solidFill>
                      </w14:textFill>
                    </w:rPr>
                    <w:t>活性炭吸附</w:t>
                  </w:r>
                </w:p>
              </w:tc>
              <w:tc>
                <w:tcPr>
                  <w:tcW w:w="477"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90</w:t>
                  </w:r>
                </w:p>
              </w:tc>
              <w:tc>
                <w:tcPr>
                  <w:tcW w:w="477"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80</w:t>
                  </w:r>
                </w:p>
              </w:tc>
              <w:tc>
                <w:tcPr>
                  <w:tcW w:w="282"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是</w:t>
                  </w:r>
                </w:p>
              </w:tc>
              <w:tc>
                <w:tcPr>
                  <w:tcW w:w="638"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0.4831</w:t>
                  </w:r>
                </w:p>
              </w:tc>
              <w:tc>
                <w:tcPr>
                  <w:tcW w:w="586"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0.201</w:t>
                  </w:r>
                </w:p>
              </w:tc>
              <w:tc>
                <w:tcPr>
                  <w:tcW w:w="652"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20.13</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7" w:hRule="atLeast"/>
              </w:trPr>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TVOC</w:t>
                  </w:r>
                </w:p>
              </w:tc>
              <w:tc>
                <w:tcPr>
                  <w:tcW w:w="593" w:type="dxa"/>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638" w:type="dxa"/>
                  <w:tcMar>
                    <w:top w:w="0" w:type="dxa"/>
                    <w:left w:w="28" w:type="dxa"/>
                    <w:bottom w:w="0" w:type="dxa"/>
                    <w:right w:w="28" w:type="dxa"/>
                  </w:tcMar>
                  <w:vAlign w:val="center"/>
                </w:tcPr>
                <w:p>
                  <w:pPr>
                    <w:widowControl/>
                    <w:jc w:val="left"/>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1.1652</w:t>
                  </w:r>
                </w:p>
              </w:tc>
              <w:tc>
                <w:tcPr>
                  <w:tcW w:w="606"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0.486</w:t>
                  </w:r>
                </w:p>
              </w:tc>
              <w:tc>
                <w:tcPr>
                  <w:tcW w:w="692"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48.55</w:t>
                  </w:r>
                </w:p>
              </w:tc>
              <w:tc>
                <w:tcPr>
                  <w:tcW w:w="493" w:type="dxa"/>
                  <w:vMerge w:val="continue"/>
                  <w:tcMar>
                    <w:top w:w="0" w:type="dxa"/>
                    <w:left w:w="28" w:type="dxa"/>
                    <w:bottom w:w="0" w:type="dxa"/>
                    <w:right w:w="28" w:type="dxa"/>
                  </w:tcMar>
                  <w:vAlign w:val="center"/>
                </w:tcPr>
                <w:p>
                  <w:pPr>
                    <w:ind w:left="-105" w:leftChars="-50" w:right="-105" w:rightChars="-50"/>
                    <w:jc w:val="center"/>
                    <w:rPr>
                      <w:color w:val="000000" w:themeColor="text1"/>
                      <w:szCs w:val="21"/>
                      <w14:textFill>
                        <w14:solidFill>
                          <w14:schemeClr w14:val="tx1"/>
                        </w14:solidFill>
                      </w14:textFill>
                    </w:rPr>
                  </w:pPr>
                </w:p>
              </w:tc>
              <w:tc>
                <w:tcPr>
                  <w:tcW w:w="477"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90</w:t>
                  </w:r>
                </w:p>
              </w:tc>
              <w:tc>
                <w:tcPr>
                  <w:tcW w:w="477"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8</w:t>
                  </w:r>
                  <w:r>
                    <w:rPr>
                      <w:rFonts w:hint="eastAsia"/>
                      <w:color w:val="000000" w:themeColor="text1"/>
                      <w:kern w:val="0"/>
                      <w:szCs w:val="21"/>
                      <w14:textFill>
                        <w14:solidFill>
                          <w14:schemeClr w14:val="tx1"/>
                        </w14:solidFill>
                      </w14:textFill>
                    </w:rPr>
                    <w:t>6</w:t>
                  </w:r>
                </w:p>
              </w:tc>
              <w:tc>
                <w:tcPr>
                  <w:tcW w:w="282" w:type="dxa"/>
                  <w:tcMar>
                    <w:top w:w="0" w:type="dxa"/>
                    <w:left w:w="28" w:type="dxa"/>
                    <w:bottom w:w="0" w:type="dxa"/>
                    <w:right w:w="28" w:type="dxa"/>
                  </w:tcMar>
                  <w:vAlign w:val="center"/>
                </w:tcPr>
                <w:p>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是</w:t>
                  </w:r>
                </w:p>
              </w:tc>
              <w:tc>
                <w:tcPr>
                  <w:tcW w:w="638" w:type="dxa"/>
                  <w:tcMar>
                    <w:top w:w="0" w:type="dxa"/>
                    <w:left w:w="28" w:type="dxa"/>
                    <w:bottom w:w="0" w:type="dxa"/>
                    <w:right w:w="28" w:type="dxa"/>
                  </w:tcMar>
                  <w:vAlign w:val="center"/>
                </w:tcPr>
                <w:p>
                  <w:pPr>
                    <w:widowControl/>
                    <w:jc w:val="left"/>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0.1631</w:t>
                  </w:r>
                </w:p>
              </w:tc>
              <w:tc>
                <w:tcPr>
                  <w:tcW w:w="586"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0.068</w:t>
                  </w:r>
                </w:p>
              </w:tc>
              <w:tc>
                <w:tcPr>
                  <w:tcW w:w="652"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6.80</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w:t>
                  </w:r>
                  <w:r>
                    <w:rPr>
                      <w:color w:val="000000" w:themeColor="text1"/>
                      <w:szCs w:val="21"/>
                      <w14:textFill>
                        <w14:solidFill>
                          <w14:schemeClr w14:val="tx1"/>
                        </w14:solidFill>
                      </w14:textFill>
                    </w:rPr>
                    <w:t>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30" w:hRule="atLeast"/>
              </w:trPr>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漆雾</w:t>
                  </w:r>
                </w:p>
              </w:tc>
              <w:tc>
                <w:tcPr>
                  <w:tcW w:w="593"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638" w:type="dxa"/>
                  <w:tcMar>
                    <w:top w:w="0" w:type="dxa"/>
                    <w:left w:w="28" w:type="dxa"/>
                    <w:bottom w:w="0" w:type="dxa"/>
                    <w:right w:w="28" w:type="dxa"/>
                  </w:tcMar>
                  <w:vAlign w:val="center"/>
                </w:tcPr>
                <w:p>
                  <w:pPr>
                    <w:widowControl/>
                    <w:jc w:val="left"/>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0.2684</w:t>
                  </w:r>
                </w:p>
              </w:tc>
              <w:tc>
                <w:tcPr>
                  <w:tcW w:w="606"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0.112</w:t>
                  </w:r>
                </w:p>
              </w:tc>
              <w:tc>
                <w:tcPr>
                  <w:tcW w:w="692"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493" w:type="dxa"/>
                  <w:tcMar>
                    <w:top w:w="0" w:type="dxa"/>
                    <w:left w:w="28" w:type="dxa"/>
                    <w:bottom w:w="0" w:type="dxa"/>
                    <w:right w:w="28" w:type="dxa"/>
                  </w:tcMar>
                  <w:vAlign w:val="center"/>
                </w:tcPr>
                <w:p>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77"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477"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282" w:type="dxa"/>
                  <w:tcMar>
                    <w:top w:w="0" w:type="dxa"/>
                    <w:left w:w="28" w:type="dxa"/>
                    <w:bottom w:w="0" w:type="dxa"/>
                    <w:right w:w="28" w:type="dxa"/>
                  </w:tcMar>
                  <w:vAlign w:val="center"/>
                </w:tcPr>
                <w:p>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w:t>
                  </w:r>
                </w:p>
              </w:tc>
              <w:tc>
                <w:tcPr>
                  <w:tcW w:w="638"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0.2684</w:t>
                  </w:r>
                </w:p>
              </w:tc>
              <w:tc>
                <w:tcPr>
                  <w:tcW w:w="586"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0.112</w:t>
                  </w:r>
                </w:p>
              </w:tc>
              <w:tc>
                <w:tcPr>
                  <w:tcW w:w="652"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w:t>
                  </w:r>
                  <w:r>
                    <w:rPr>
                      <w:color w:val="000000" w:themeColor="text1"/>
                      <w:szCs w:val="21"/>
                      <w14:textFill>
                        <w14:solidFill>
                          <w14:schemeClr w14:val="tx1"/>
                        </w14:solidFill>
                      </w14:textFill>
                    </w:rPr>
                    <w:t>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04" w:hRule="atLeast"/>
              </w:trPr>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总VOC</w:t>
                  </w:r>
                  <w:r>
                    <w:rPr>
                      <w:color w:val="000000" w:themeColor="text1"/>
                      <w:szCs w:val="21"/>
                      <w14:textFill>
                        <w14:solidFill>
                          <w14:schemeClr w14:val="tx1"/>
                        </w14:solidFill>
                      </w14:textFill>
                    </w:rPr>
                    <w:t>s</w:t>
                  </w:r>
                </w:p>
              </w:tc>
              <w:tc>
                <w:tcPr>
                  <w:tcW w:w="593"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638" w:type="dxa"/>
                  <w:tcMar>
                    <w:top w:w="0" w:type="dxa"/>
                    <w:left w:w="28" w:type="dxa"/>
                    <w:bottom w:w="0" w:type="dxa"/>
                    <w:right w:w="28" w:type="dxa"/>
                  </w:tcMar>
                  <w:vAlign w:val="center"/>
                </w:tcPr>
                <w:p>
                  <w:pPr>
                    <w:widowControl/>
                    <w:jc w:val="left"/>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0.1295</w:t>
                  </w:r>
                </w:p>
              </w:tc>
              <w:tc>
                <w:tcPr>
                  <w:tcW w:w="606"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0.054</w:t>
                  </w:r>
                </w:p>
              </w:tc>
              <w:tc>
                <w:tcPr>
                  <w:tcW w:w="692"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493" w:type="dxa"/>
                  <w:tcMar>
                    <w:top w:w="0" w:type="dxa"/>
                    <w:left w:w="28" w:type="dxa"/>
                    <w:bottom w:w="0" w:type="dxa"/>
                    <w:right w:w="28" w:type="dxa"/>
                  </w:tcMar>
                  <w:vAlign w:val="center"/>
                </w:tcPr>
                <w:p>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77"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477"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282" w:type="dxa"/>
                  <w:tcMar>
                    <w:top w:w="0" w:type="dxa"/>
                    <w:left w:w="28" w:type="dxa"/>
                    <w:bottom w:w="0" w:type="dxa"/>
                    <w:right w:w="28" w:type="dxa"/>
                  </w:tcMar>
                  <w:vAlign w:val="center"/>
                </w:tcPr>
                <w:p>
                  <w:pPr>
                    <w:pStyle w:val="22"/>
                    <w:ind w:left="-105" w:leftChars="-50" w:right="-105" w:rightChars="-50"/>
                    <w:jc w:val="center"/>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w:t>
                  </w:r>
                </w:p>
              </w:tc>
              <w:tc>
                <w:tcPr>
                  <w:tcW w:w="638"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0.1295</w:t>
                  </w:r>
                </w:p>
              </w:tc>
              <w:tc>
                <w:tcPr>
                  <w:tcW w:w="586"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0.054</w:t>
                  </w:r>
                </w:p>
              </w:tc>
              <w:tc>
                <w:tcPr>
                  <w:tcW w:w="652"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rFonts w:hint="eastAsia"/>
                      <w:color w:val="000000" w:themeColor="text1"/>
                      <w:kern w:val="0"/>
                      <w:szCs w:val="21"/>
                      <w14:textFill>
                        <w14:solidFill>
                          <w14:schemeClr w14:val="tx1"/>
                        </w14:solidFill>
                      </w14:textFill>
                    </w:rPr>
                    <w:t>/</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7" w:hRule="atLeast"/>
              </w:trPr>
              <w:tc>
                <w:tcPr>
                  <w:tcW w:w="0" w:type="auto"/>
                  <w:vMerge w:val="restart"/>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w:t>
                  </w: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排放口</w:t>
                  </w:r>
                </w:p>
              </w:tc>
              <w:tc>
                <w:tcPr>
                  <w:tcW w:w="0" w:type="auto"/>
                  <w:vMerge w:val="restart"/>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焊接</w:t>
                  </w:r>
                </w:p>
              </w:tc>
              <w:tc>
                <w:tcPr>
                  <w:tcW w:w="0" w:type="auto"/>
                  <w:vMerge w:val="restart"/>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593"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5000</w:t>
                  </w:r>
                </w:p>
              </w:tc>
              <w:tc>
                <w:tcPr>
                  <w:tcW w:w="638" w:type="dxa"/>
                  <w:tcMar>
                    <w:top w:w="0" w:type="dxa"/>
                    <w:left w:w="28" w:type="dxa"/>
                    <w:bottom w:w="0" w:type="dxa"/>
                    <w:right w:w="28" w:type="dxa"/>
                  </w:tcMar>
                  <w:vAlign w:val="center"/>
                </w:tcPr>
                <w:p>
                  <w:pPr>
                    <w:widowControl/>
                    <w:jc w:val="left"/>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0.0020</w:t>
                  </w:r>
                </w:p>
              </w:tc>
              <w:tc>
                <w:tcPr>
                  <w:tcW w:w="606"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0.001</w:t>
                  </w:r>
                </w:p>
              </w:tc>
              <w:tc>
                <w:tcPr>
                  <w:tcW w:w="692"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0.17</w:t>
                  </w:r>
                </w:p>
              </w:tc>
              <w:tc>
                <w:tcPr>
                  <w:tcW w:w="493" w:type="dxa"/>
                  <w:tcMar>
                    <w:top w:w="0" w:type="dxa"/>
                    <w:left w:w="28" w:type="dxa"/>
                    <w:bottom w:w="0" w:type="dxa"/>
                    <w:right w:w="28" w:type="dxa"/>
                  </w:tcMar>
                  <w:vAlign w:val="center"/>
                </w:tcPr>
                <w:p>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焊接烟尘净化器</w:t>
                  </w:r>
                </w:p>
              </w:tc>
              <w:tc>
                <w:tcPr>
                  <w:tcW w:w="477"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90</w:t>
                  </w:r>
                </w:p>
              </w:tc>
              <w:tc>
                <w:tcPr>
                  <w:tcW w:w="477"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80</w:t>
                  </w:r>
                </w:p>
              </w:tc>
              <w:tc>
                <w:tcPr>
                  <w:tcW w:w="282"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638"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0.0002</w:t>
                  </w:r>
                </w:p>
              </w:tc>
              <w:tc>
                <w:tcPr>
                  <w:tcW w:w="586" w:type="dxa"/>
                  <w:tcMar>
                    <w:top w:w="0" w:type="dxa"/>
                    <w:left w:w="28" w:type="dxa"/>
                    <w:bottom w:w="0" w:type="dxa"/>
                    <w:right w:w="28" w:type="dxa"/>
                  </w:tcMar>
                  <w:vAlign w:val="center"/>
                </w:tcPr>
                <w:p>
                  <w:pPr>
                    <w:widowControl/>
                    <w:jc w:val="center"/>
                    <w:textAlignment w:val="center"/>
                    <w:rPr>
                      <w:color w:val="000000" w:themeColor="text1"/>
                      <w:sz w:val="20"/>
                      <w:szCs w:val="20"/>
                      <w14:textFill>
                        <w14:solidFill>
                          <w14:schemeClr w14:val="tx1"/>
                        </w14:solidFill>
                      </w14:textFill>
                    </w:rPr>
                  </w:pPr>
                  <w:r>
                    <w:rPr>
                      <w:color w:val="000000" w:themeColor="text1"/>
                      <w:kern w:val="0"/>
                      <w:sz w:val="20"/>
                      <w:szCs w:val="20"/>
                      <w14:textFill>
                        <w14:solidFill>
                          <w14:schemeClr w14:val="tx1"/>
                        </w14:solidFill>
                      </w14:textFill>
                    </w:rPr>
                    <w:t>0.0001</w:t>
                  </w:r>
                </w:p>
              </w:tc>
              <w:tc>
                <w:tcPr>
                  <w:tcW w:w="652"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0.02</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0" w:type="auto"/>
                  <w:vMerge w:val="continue"/>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c>
                <w:tcPr>
                  <w:tcW w:w="593"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638" w:type="dxa"/>
                  <w:tcMar>
                    <w:top w:w="0" w:type="dxa"/>
                    <w:left w:w="28" w:type="dxa"/>
                    <w:bottom w:w="0" w:type="dxa"/>
                    <w:right w:w="28" w:type="dxa"/>
                  </w:tcMar>
                  <w:vAlign w:val="center"/>
                </w:tcPr>
                <w:p>
                  <w:pPr>
                    <w:widowControl/>
                    <w:jc w:val="left"/>
                    <w:textAlignment w:val="center"/>
                    <w:rPr>
                      <w:color w:val="000000" w:themeColor="text1"/>
                      <w:sz w:val="20"/>
                      <w:szCs w:val="20"/>
                      <w14:textFill>
                        <w14:solidFill>
                          <w14:schemeClr w14:val="tx1"/>
                        </w14:solidFill>
                      </w14:textFill>
                    </w:rPr>
                  </w:pPr>
                  <w:r>
                    <w:rPr>
                      <w:color w:val="000000" w:themeColor="text1"/>
                      <w:kern w:val="0"/>
                      <w:sz w:val="20"/>
                      <w:szCs w:val="20"/>
                      <w14:textFill>
                        <w14:solidFill>
                          <w14:schemeClr w14:val="tx1"/>
                        </w14:solidFill>
                      </w14:textFill>
                    </w:rPr>
                    <w:t>0.0005</w:t>
                  </w:r>
                </w:p>
              </w:tc>
              <w:tc>
                <w:tcPr>
                  <w:tcW w:w="606" w:type="dxa"/>
                  <w:tcMar>
                    <w:top w:w="0" w:type="dxa"/>
                    <w:left w:w="28" w:type="dxa"/>
                    <w:bottom w:w="0" w:type="dxa"/>
                    <w:right w:w="28" w:type="dxa"/>
                  </w:tcMar>
                  <w:vAlign w:val="center"/>
                </w:tcPr>
                <w:p>
                  <w:pPr>
                    <w:widowControl/>
                    <w:jc w:val="center"/>
                    <w:textAlignment w:val="center"/>
                    <w:rPr>
                      <w:color w:val="000000" w:themeColor="text1"/>
                      <w:sz w:val="20"/>
                      <w:szCs w:val="20"/>
                      <w14:textFill>
                        <w14:solidFill>
                          <w14:schemeClr w14:val="tx1"/>
                        </w14:solidFill>
                      </w14:textFill>
                    </w:rPr>
                  </w:pPr>
                  <w:r>
                    <w:rPr>
                      <w:color w:val="000000" w:themeColor="text1"/>
                      <w:kern w:val="0"/>
                      <w:sz w:val="20"/>
                      <w:szCs w:val="20"/>
                      <w14:textFill>
                        <w14:solidFill>
                          <w14:schemeClr w14:val="tx1"/>
                        </w14:solidFill>
                      </w14:textFill>
                    </w:rPr>
                    <w:t>0.0002</w:t>
                  </w:r>
                </w:p>
              </w:tc>
              <w:tc>
                <w:tcPr>
                  <w:tcW w:w="692"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w:t>
                  </w:r>
                </w:p>
              </w:tc>
              <w:tc>
                <w:tcPr>
                  <w:tcW w:w="493" w:type="dxa"/>
                  <w:tcMar>
                    <w:top w:w="0" w:type="dxa"/>
                    <w:left w:w="28" w:type="dxa"/>
                    <w:bottom w:w="0" w:type="dxa"/>
                    <w:right w:w="28" w:type="dxa"/>
                  </w:tcMar>
                  <w:vAlign w:val="center"/>
                </w:tcPr>
                <w:p>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77"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77"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82"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638" w:type="dxa"/>
                  <w:tcMar>
                    <w:top w:w="0" w:type="dxa"/>
                    <w:left w:w="28" w:type="dxa"/>
                    <w:bottom w:w="0" w:type="dxa"/>
                    <w:right w:w="28" w:type="dxa"/>
                  </w:tcMar>
                  <w:vAlign w:val="center"/>
                </w:tcPr>
                <w:p>
                  <w:pPr>
                    <w:widowControl/>
                    <w:jc w:val="center"/>
                    <w:textAlignment w:val="center"/>
                    <w:rPr>
                      <w:color w:val="000000" w:themeColor="text1"/>
                      <w:sz w:val="20"/>
                      <w:szCs w:val="20"/>
                      <w14:textFill>
                        <w14:solidFill>
                          <w14:schemeClr w14:val="tx1"/>
                        </w14:solidFill>
                      </w14:textFill>
                    </w:rPr>
                  </w:pPr>
                  <w:r>
                    <w:rPr>
                      <w:color w:val="000000" w:themeColor="text1"/>
                      <w:kern w:val="0"/>
                      <w:sz w:val="20"/>
                      <w:szCs w:val="20"/>
                      <w14:textFill>
                        <w14:solidFill>
                          <w14:schemeClr w14:val="tx1"/>
                        </w14:solidFill>
                      </w14:textFill>
                    </w:rPr>
                    <w:t>0.0005</w:t>
                  </w:r>
                </w:p>
              </w:tc>
              <w:tc>
                <w:tcPr>
                  <w:tcW w:w="586" w:type="dxa"/>
                  <w:tcMar>
                    <w:top w:w="0" w:type="dxa"/>
                    <w:left w:w="28" w:type="dxa"/>
                    <w:bottom w:w="0" w:type="dxa"/>
                    <w:right w:w="28" w:type="dxa"/>
                  </w:tcMar>
                  <w:vAlign w:val="center"/>
                </w:tcPr>
                <w:p>
                  <w:pPr>
                    <w:widowControl/>
                    <w:jc w:val="center"/>
                    <w:textAlignment w:val="center"/>
                    <w:rPr>
                      <w:color w:val="000000" w:themeColor="text1"/>
                      <w:sz w:val="20"/>
                      <w:szCs w:val="20"/>
                      <w14:textFill>
                        <w14:solidFill>
                          <w14:schemeClr w14:val="tx1"/>
                        </w14:solidFill>
                      </w14:textFill>
                    </w:rPr>
                  </w:pPr>
                  <w:r>
                    <w:rPr>
                      <w:color w:val="000000" w:themeColor="text1"/>
                      <w:kern w:val="0"/>
                      <w:sz w:val="20"/>
                      <w:szCs w:val="20"/>
                      <w14:textFill>
                        <w14:solidFill>
                          <w14:schemeClr w14:val="tx1"/>
                        </w14:solidFill>
                      </w14:textFill>
                    </w:rPr>
                    <w:t>0.0002</w:t>
                  </w:r>
                </w:p>
              </w:tc>
              <w:tc>
                <w:tcPr>
                  <w:tcW w:w="652" w:type="dxa"/>
                  <w:tcMar>
                    <w:top w:w="0" w:type="dxa"/>
                    <w:left w:w="28" w:type="dxa"/>
                    <w:bottom w:w="0" w:type="dxa"/>
                    <w:right w:w="28" w:type="dxa"/>
                  </w:tcMar>
                  <w:vAlign w:val="center"/>
                </w:tcPr>
                <w:p>
                  <w:pPr>
                    <w:widowControl/>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w:t>
                  </w:r>
                  <w:r>
                    <w:rPr>
                      <w:color w:val="000000" w:themeColor="text1"/>
                      <w:szCs w:val="21"/>
                      <w14:textFill>
                        <w14:solidFill>
                          <w14:schemeClr w14:val="tx1"/>
                        </w14:solidFill>
                      </w14:textFill>
                    </w:rPr>
                    <w:t>4</w:t>
                  </w:r>
                  <w:r>
                    <w:rPr>
                      <w:rFonts w:hint="eastAsia"/>
                      <w:color w:val="000000" w:themeColor="text1"/>
                      <w:szCs w:val="21"/>
                      <w14:textFill>
                        <w14:solidFill>
                          <w14:schemeClr w14:val="tx1"/>
                        </w14:solidFill>
                      </w14:textFill>
                    </w:rPr>
                    <w:t>排放口</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员工食堂</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油烟废气</w:t>
                  </w:r>
                </w:p>
              </w:tc>
              <w:tc>
                <w:tcPr>
                  <w:tcW w:w="593"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638" w:type="dxa"/>
                  <w:tcMar>
                    <w:top w:w="0" w:type="dxa"/>
                    <w:left w:w="28" w:type="dxa"/>
                    <w:bottom w:w="0" w:type="dxa"/>
                    <w:right w:w="28" w:type="dxa"/>
                  </w:tcMar>
                  <w:vAlign w:val="center"/>
                </w:tcPr>
                <w:p>
                  <w:pPr>
                    <w:widowControl/>
                    <w:jc w:val="left"/>
                    <w:textAlignment w:val="center"/>
                    <w:rPr>
                      <w:color w:val="000000" w:themeColor="text1"/>
                      <w:kern w:val="0"/>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0</w:t>
                  </w:r>
                  <w:r>
                    <w:rPr>
                      <w:color w:val="000000" w:themeColor="text1"/>
                      <w:kern w:val="0"/>
                      <w:sz w:val="20"/>
                      <w:szCs w:val="20"/>
                      <w14:textFill>
                        <w14:solidFill>
                          <w14:schemeClr w14:val="tx1"/>
                        </w14:solidFill>
                      </w14:textFill>
                    </w:rPr>
                    <w:t>.0108</w:t>
                  </w:r>
                </w:p>
              </w:tc>
              <w:tc>
                <w:tcPr>
                  <w:tcW w:w="606" w:type="dxa"/>
                  <w:tcMar>
                    <w:top w:w="0" w:type="dxa"/>
                    <w:left w:w="28" w:type="dxa"/>
                    <w:bottom w:w="0" w:type="dxa"/>
                    <w:right w:w="28" w:type="dxa"/>
                  </w:tcMar>
                  <w:vAlign w:val="center"/>
                </w:tcPr>
                <w:p>
                  <w:pPr>
                    <w:widowControl/>
                    <w:jc w:val="center"/>
                    <w:textAlignment w:val="center"/>
                    <w:rPr>
                      <w:color w:val="000000" w:themeColor="text1"/>
                      <w:kern w:val="0"/>
                      <w:sz w:val="20"/>
                      <w:szCs w:val="20"/>
                      <w14:textFill>
                        <w14:solidFill>
                          <w14:schemeClr w14:val="tx1"/>
                        </w14:solidFill>
                      </w14:textFill>
                    </w:rPr>
                  </w:pPr>
                </w:p>
              </w:tc>
              <w:tc>
                <w:tcPr>
                  <w:tcW w:w="692" w:type="dxa"/>
                  <w:tcMar>
                    <w:top w:w="0" w:type="dxa"/>
                    <w:left w:w="28" w:type="dxa"/>
                    <w:bottom w:w="0" w:type="dxa"/>
                    <w:right w:w="28" w:type="dxa"/>
                  </w:tcMar>
                  <w:vAlign w:val="center"/>
                </w:tcPr>
                <w:p>
                  <w:pPr>
                    <w:widowControl/>
                    <w:jc w:val="center"/>
                    <w:textAlignment w:val="center"/>
                    <w:rPr>
                      <w:rFonts w:ascii="宋体" w:hAnsi="宋体" w:cs="宋体"/>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w:t>
                  </w:r>
                  <w:r>
                    <w:rPr>
                      <w:color w:val="000000" w:themeColor="text1"/>
                      <w:kern w:val="0"/>
                      <w:szCs w:val="21"/>
                      <w14:textFill>
                        <w14:solidFill>
                          <w14:schemeClr w14:val="tx1"/>
                        </w14:solidFill>
                      </w14:textFill>
                    </w:rPr>
                    <w:t>2</w:t>
                  </w:r>
                </w:p>
              </w:tc>
              <w:tc>
                <w:tcPr>
                  <w:tcW w:w="493" w:type="dxa"/>
                  <w:tcMar>
                    <w:top w:w="0" w:type="dxa"/>
                    <w:left w:w="28" w:type="dxa"/>
                    <w:bottom w:w="0" w:type="dxa"/>
                    <w:right w:w="28" w:type="dxa"/>
                  </w:tcMar>
                  <w:vAlign w:val="center"/>
                </w:tcPr>
                <w:p>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高效</w:t>
                  </w:r>
                  <w:r>
                    <w:rPr>
                      <w:color w:val="000000" w:themeColor="text1"/>
                      <w:szCs w:val="21"/>
                      <w14:textFill>
                        <w14:solidFill>
                          <w14:schemeClr w14:val="tx1"/>
                        </w14:solidFill>
                      </w14:textFill>
                    </w:rPr>
                    <w:t>油烟净化器</w:t>
                  </w:r>
                </w:p>
              </w:tc>
              <w:tc>
                <w:tcPr>
                  <w:tcW w:w="477"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477"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85</w:t>
                  </w:r>
                </w:p>
              </w:tc>
              <w:tc>
                <w:tcPr>
                  <w:tcW w:w="282" w:type="dxa"/>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是</w:t>
                  </w:r>
                </w:p>
              </w:tc>
              <w:tc>
                <w:tcPr>
                  <w:tcW w:w="638" w:type="dxa"/>
                  <w:tcMar>
                    <w:top w:w="0" w:type="dxa"/>
                    <w:left w:w="28" w:type="dxa"/>
                    <w:bottom w:w="0" w:type="dxa"/>
                    <w:right w:w="28" w:type="dxa"/>
                  </w:tcMar>
                  <w:vAlign w:val="center"/>
                </w:tcPr>
                <w:p>
                  <w:pPr>
                    <w:widowControl/>
                    <w:jc w:val="center"/>
                    <w:textAlignment w:val="center"/>
                    <w:rPr>
                      <w:color w:val="000000" w:themeColor="text1"/>
                      <w:kern w:val="0"/>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0</w:t>
                  </w:r>
                  <w:r>
                    <w:rPr>
                      <w:color w:val="000000" w:themeColor="text1"/>
                      <w:kern w:val="0"/>
                      <w:sz w:val="20"/>
                      <w:szCs w:val="20"/>
                      <w14:textFill>
                        <w14:solidFill>
                          <w14:schemeClr w14:val="tx1"/>
                        </w14:solidFill>
                      </w14:textFill>
                    </w:rPr>
                    <w:t>.0027</w:t>
                  </w:r>
                </w:p>
              </w:tc>
              <w:tc>
                <w:tcPr>
                  <w:tcW w:w="586" w:type="dxa"/>
                  <w:tcMar>
                    <w:top w:w="0" w:type="dxa"/>
                    <w:left w:w="28" w:type="dxa"/>
                    <w:bottom w:w="0" w:type="dxa"/>
                    <w:right w:w="28" w:type="dxa"/>
                  </w:tcMar>
                  <w:vAlign w:val="center"/>
                </w:tcPr>
                <w:p>
                  <w:pPr>
                    <w:widowControl/>
                    <w:jc w:val="center"/>
                    <w:textAlignment w:val="center"/>
                    <w:rPr>
                      <w:color w:val="000000" w:themeColor="text1"/>
                      <w:kern w:val="0"/>
                      <w:sz w:val="20"/>
                      <w:szCs w:val="20"/>
                      <w14:textFill>
                        <w14:solidFill>
                          <w14:schemeClr w14:val="tx1"/>
                        </w14:solidFill>
                      </w14:textFill>
                    </w:rPr>
                  </w:pPr>
                  <w:r>
                    <w:rPr>
                      <w:rFonts w:hint="eastAsia"/>
                      <w:color w:val="000000" w:themeColor="text1"/>
                      <w:kern w:val="0"/>
                      <w:sz w:val="20"/>
                      <w:szCs w:val="20"/>
                      <w14:textFill>
                        <w14:solidFill>
                          <w14:schemeClr w14:val="tx1"/>
                        </w14:solidFill>
                      </w14:textFill>
                    </w:rPr>
                    <w:t>/</w:t>
                  </w:r>
                </w:p>
              </w:tc>
              <w:tc>
                <w:tcPr>
                  <w:tcW w:w="652" w:type="dxa"/>
                  <w:tcMar>
                    <w:top w:w="0" w:type="dxa"/>
                    <w:left w:w="28" w:type="dxa"/>
                    <w:bottom w:w="0" w:type="dxa"/>
                    <w:right w:w="28" w:type="dxa"/>
                  </w:tcMar>
                  <w:vAlign w:val="center"/>
                </w:tcPr>
                <w:p>
                  <w:pPr>
                    <w:widowControl/>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w:t>
                  </w:r>
                </w:p>
              </w:tc>
              <w:tc>
                <w:tcPr>
                  <w:tcW w:w="0" w:type="auto"/>
                  <w:tcMar>
                    <w:top w:w="0" w:type="dxa"/>
                    <w:left w:w="28" w:type="dxa"/>
                    <w:bottom w:w="0" w:type="dxa"/>
                    <w:right w:w="28" w:type="dxa"/>
                  </w:tcMar>
                  <w:vAlign w:val="center"/>
                </w:tcPr>
                <w:p>
                  <w:pPr>
                    <w:jc w:val="center"/>
                    <w:rPr>
                      <w:color w:val="000000" w:themeColor="text1"/>
                      <w:szCs w:val="21"/>
                      <w14:textFill>
                        <w14:solidFill>
                          <w14:schemeClr w14:val="tx1"/>
                        </w14:solidFill>
                      </w14:textFill>
                    </w:rPr>
                  </w:pPr>
                </w:p>
              </w:tc>
            </w:tr>
          </w:tbl>
          <w:p>
            <w:pPr>
              <w:pStyle w:val="158"/>
              <w:spacing w:before="156" w:beforeLines="50"/>
              <w:ind w:firstLine="482" w:firstLineChars="200"/>
              <w:rPr>
                <w:b/>
                <w:color w:val="000000" w:themeColor="text1"/>
                <w14:textFill>
                  <w14:solidFill>
                    <w14:schemeClr w14:val="tx1"/>
                  </w14:solidFill>
                </w14:textFill>
              </w:rPr>
            </w:pPr>
            <w:r>
              <w:rPr>
                <w:rFonts w:hint="eastAsia"/>
                <w:b/>
                <w:color w:val="000000" w:themeColor="text1"/>
                <w14:textFill>
                  <w14:solidFill>
                    <w14:schemeClr w14:val="tx1"/>
                  </w14:solidFill>
                </w14:textFill>
              </w:rPr>
              <w:t>（1）</w:t>
            </w:r>
            <w:r>
              <w:rPr>
                <w:b/>
                <w:color w:val="000000" w:themeColor="text1"/>
                <w14:textFill>
                  <w14:solidFill>
                    <w14:schemeClr w14:val="tx1"/>
                  </w14:solidFill>
                </w14:textFill>
              </w:rPr>
              <w:t>核算过程</w:t>
            </w:r>
          </w:p>
          <w:p>
            <w:pPr>
              <w:pStyle w:val="158"/>
              <w:ind w:firstLine="482" w:firstLineChars="200"/>
              <w:rPr>
                <w:b/>
                <w:color w:val="000000" w:themeColor="text1"/>
                <w14:textFill>
                  <w14:solidFill>
                    <w14:schemeClr w14:val="tx1"/>
                  </w14:solidFill>
                </w14:textFill>
              </w:rPr>
            </w:pPr>
            <w:r>
              <w:rPr>
                <w:rStyle w:val="46"/>
                <w:b/>
                <w:bCs/>
                <w:color w:val="000000" w:themeColor="text1"/>
                <w:kern w:val="0"/>
                <w:sz w:val="24"/>
                <w14:textFill>
                  <w14:solidFill>
                    <w14:schemeClr w14:val="tx1"/>
                  </w14:solidFill>
                </w14:textFill>
              </w:rPr>
              <w:t>1</w:t>
            </w:r>
            <w:r>
              <w:rPr>
                <w:rStyle w:val="46"/>
                <w:rFonts w:hint="eastAsia"/>
                <w:b/>
                <w:bCs/>
                <w:color w:val="000000" w:themeColor="text1"/>
                <w:kern w:val="0"/>
                <w:sz w:val="24"/>
                <w14:textFill>
                  <w14:solidFill>
                    <w14:schemeClr w14:val="tx1"/>
                  </w14:solidFill>
                </w14:textFill>
              </w:rPr>
              <w:t>）开料、雕刻、</w:t>
            </w:r>
            <w:r>
              <w:rPr>
                <w:rFonts w:hint="eastAsia"/>
                <w:b/>
                <w:bCs/>
                <w:color w:val="000000" w:themeColor="text1"/>
                <w14:textFill>
                  <w14:solidFill>
                    <w14:schemeClr w14:val="tx1"/>
                  </w14:solidFill>
                </w14:textFill>
              </w:rPr>
              <w:t>打磨、切割</w:t>
            </w:r>
            <w:r>
              <w:rPr>
                <w:b/>
                <w:color w:val="000000" w:themeColor="text1"/>
                <w14:textFill>
                  <w14:solidFill>
                    <w14:schemeClr w14:val="tx1"/>
                  </w14:solidFill>
                </w14:textFill>
              </w:rPr>
              <w:t>工序产生的</w:t>
            </w:r>
            <w:r>
              <w:rPr>
                <w:rFonts w:hint="eastAsia"/>
                <w:b/>
                <w:color w:val="000000" w:themeColor="text1"/>
                <w14:textFill>
                  <w14:solidFill>
                    <w14:schemeClr w14:val="tx1"/>
                  </w14:solidFill>
                </w14:textFill>
              </w:rPr>
              <w:t>粉尘</w:t>
            </w:r>
          </w:p>
          <w:p>
            <w:pPr>
              <w:spacing w:line="360" w:lineRule="auto"/>
              <w:ind w:firstLine="482" w:firstLineChars="200"/>
              <w:rPr>
                <w:b/>
                <w:sz w:val="24"/>
              </w:rPr>
            </w:pPr>
            <w:r>
              <w:rPr>
                <w:rFonts w:hint="eastAsia"/>
                <w:b/>
                <w:sz w:val="24"/>
              </w:rPr>
              <w:t>①开料、雕刻工序产生的粉尘</w:t>
            </w:r>
          </w:p>
          <w:p>
            <w:pPr>
              <w:spacing w:line="360" w:lineRule="auto"/>
              <w:ind w:firstLine="480" w:firstLineChars="200"/>
              <w:jc w:val="left"/>
              <w:rPr>
                <w:bCs/>
                <w:sz w:val="24"/>
              </w:rPr>
            </w:pPr>
            <w:r>
              <w:rPr>
                <w:rFonts w:hint="eastAsia"/>
                <w:bCs/>
                <w:sz w:val="24"/>
              </w:rPr>
              <w:t>项目木制品开料、雕刻工序产生粉尘。参考《第二次全国污染源普查产排污系数手册</w:t>
            </w:r>
            <w:r>
              <w:rPr>
                <w:color w:val="000000"/>
                <w:sz w:val="24"/>
                <w:lang w:val="pt-BR"/>
              </w:rPr>
              <w:t>——</w:t>
            </w:r>
            <w:r>
              <w:rPr>
                <w:rFonts w:hint="eastAsia"/>
                <w:bCs/>
                <w:sz w:val="24"/>
              </w:rPr>
              <w:t>2</w:t>
            </w:r>
            <w:r>
              <w:rPr>
                <w:bCs/>
                <w:sz w:val="24"/>
              </w:rPr>
              <w:t>03</w:t>
            </w:r>
            <w:r>
              <w:rPr>
                <w:rFonts w:hint="eastAsia"/>
                <w:bCs/>
                <w:sz w:val="24"/>
              </w:rPr>
              <w:t>木质制品制行业系数手册》中“2</w:t>
            </w:r>
            <w:r>
              <w:rPr>
                <w:bCs/>
                <w:sz w:val="24"/>
              </w:rPr>
              <w:t>03</w:t>
            </w:r>
            <w:r>
              <w:rPr>
                <w:rFonts w:hint="eastAsia"/>
                <w:bCs/>
                <w:sz w:val="24"/>
              </w:rPr>
              <w:t>木质制品制造行业系数表”，使用木材、实木、表板生产木门窗、楼梯、实木复合地板、强化木地地板、其他木制品木制容器、软木制品）机加工（切割、开孔、开槽）工序颗粒物的产生量为</w:t>
            </w:r>
            <w:r>
              <w:rPr>
                <w:bCs/>
                <w:sz w:val="24"/>
              </w:rPr>
              <w:t>45</w:t>
            </w:r>
            <w:r>
              <w:rPr>
                <w:rFonts w:hint="eastAsia"/>
                <w:bCs/>
                <w:sz w:val="24"/>
              </w:rPr>
              <w:t>×</w:t>
            </w:r>
            <w:r>
              <w:rPr>
                <w:bCs/>
                <w:sz w:val="24"/>
              </w:rPr>
              <w:t>10</w:t>
            </w:r>
            <w:r>
              <w:rPr>
                <w:bCs/>
                <w:sz w:val="24"/>
                <w:vertAlign w:val="superscript"/>
              </w:rPr>
              <w:t>-3</w:t>
            </w:r>
            <w:r>
              <w:rPr>
                <w:rFonts w:hint="eastAsia"/>
                <w:bCs/>
                <w:sz w:val="24"/>
              </w:rPr>
              <w:t>千克/立方米产品。项目使用板材原料使用量为2</w:t>
            </w:r>
            <w:r>
              <w:rPr>
                <w:bCs/>
                <w:sz w:val="24"/>
              </w:rPr>
              <w:t>500</w:t>
            </w:r>
            <w:r>
              <w:rPr>
                <w:rFonts w:hint="eastAsia"/>
                <w:bCs/>
                <w:sz w:val="24"/>
              </w:rPr>
              <w:t>t</w:t>
            </w:r>
            <w:r>
              <w:rPr>
                <w:bCs/>
                <w:sz w:val="24"/>
              </w:rPr>
              <w:t>/</w:t>
            </w:r>
            <w:r>
              <w:rPr>
                <w:rFonts w:hint="eastAsia"/>
                <w:bCs/>
                <w:sz w:val="24"/>
              </w:rPr>
              <w:t>a，生产木制品配件约为24</w:t>
            </w:r>
            <w:r>
              <w:rPr>
                <w:bCs/>
                <w:sz w:val="24"/>
              </w:rPr>
              <w:t>50</w:t>
            </w:r>
            <w:r>
              <w:rPr>
                <w:rFonts w:hint="eastAsia"/>
                <w:bCs/>
                <w:sz w:val="24"/>
              </w:rPr>
              <w:t>t</w:t>
            </w:r>
            <w:r>
              <w:rPr>
                <w:bCs/>
                <w:sz w:val="24"/>
              </w:rPr>
              <w:t>/</w:t>
            </w:r>
            <w:r>
              <w:rPr>
                <w:rFonts w:hint="eastAsia"/>
                <w:bCs/>
                <w:sz w:val="24"/>
              </w:rPr>
              <w:t>a，项目使用的板材在0</w:t>
            </w:r>
            <w:r>
              <w:rPr>
                <w:bCs/>
                <w:sz w:val="24"/>
              </w:rPr>
              <w:t>.65</w:t>
            </w:r>
            <w:r>
              <w:rPr>
                <w:rFonts w:hint="eastAsia"/>
                <w:bCs/>
                <w:sz w:val="24"/>
              </w:rPr>
              <w:t>~</w:t>
            </w:r>
            <w:r>
              <w:rPr>
                <w:bCs/>
                <w:sz w:val="24"/>
              </w:rPr>
              <w:t>0.80</w:t>
            </w:r>
            <w:r>
              <w:rPr>
                <w:rFonts w:hint="eastAsia"/>
                <w:bCs/>
                <w:sz w:val="24"/>
              </w:rPr>
              <w:t xml:space="preserve"> g</w:t>
            </w:r>
            <w:r>
              <w:rPr>
                <w:bCs/>
                <w:sz w:val="24"/>
              </w:rPr>
              <w:t>/</w:t>
            </w:r>
            <w:r>
              <w:rPr>
                <w:rFonts w:hint="eastAsia"/>
                <w:bCs/>
                <w:sz w:val="24"/>
              </w:rPr>
              <w:t>cm</w:t>
            </w:r>
            <w:r>
              <w:rPr>
                <w:bCs/>
                <w:sz w:val="24"/>
                <w:vertAlign w:val="superscript"/>
              </w:rPr>
              <w:t>3</w:t>
            </w:r>
            <w:r>
              <w:rPr>
                <w:rFonts w:hint="eastAsia"/>
                <w:bCs/>
                <w:sz w:val="24"/>
              </w:rPr>
              <w:t>之间，平均密度取0</w:t>
            </w:r>
            <w:r>
              <w:rPr>
                <w:bCs/>
                <w:sz w:val="24"/>
              </w:rPr>
              <w:t>.7</w:t>
            </w:r>
            <w:r>
              <w:rPr>
                <w:rFonts w:hint="eastAsia"/>
                <w:bCs/>
                <w:sz w:val="24"/>
              </w:rPr>
              <w:t>g</w:t>
            </w:r>
            <w:r>
              <w:rPr>
                <w:bCs/>
                <w:sz w:val="24"/>
              </w:rPr>
              <w:t>/</w:t>
            </w:r>
            <w:r>
              <w:rPr>
                <w:rFonts w:hint="eastAsia"/>
                <w:bCs/>
                <w:sz w:val="24"/>
              </w:rPr>
              <w:t>cm</w:t>
            </w:r>
            <w:r>
              <w:rPr>
                <w:bCs/>
                <w:sz w:val="24"/>
                <w:vertAlign w:val="superscript"/>
              </w:rPr>
              <w:t>3</w:t>
            </w:r>
            <w:r>
              <w:rPr>
                <w:rFonts w:hint="eastAsia"/>
                <w:bCs/>
                <w:sz w:val="24"/>
              </w:rPr>
              <w:t>，则木制品配件产量为为</w:t>
            </w:r>
            <w:r>
              <w:rPr>
                <w:bCs/>
                <w:sz w:val="24"/>
              </w:rPr>
              <w:t>3500</w:t>
            </w:r>
            <w:r>
              <w:rPr>
                <w:rFonts w:hint="eastAsia"/>
                <w:bCs/>
                <w:sz w:val="24"/>
              </w:rPr>
              <w:t>m</w:t>
            </w:r>
            <w:r>
              <w:rPr>
                <w:bCs/>
                <w:sz w:val="24"/>
                <w:vertAlign w:val="superscript"/>
              </w:rPr>
              <w:t>3</w:t>
            </w:r>
            <w:r>
              <w:rPr>
                <w:bCs/>
                <w:sz w:val="24"/>
              </w:rPr>
              <w:t>/</w:t>
            </w:r>
            <w:r>
              <w:rPr>
                <w:rFonts w:hint="eastAsia"/>
                <w:bCs/>
                <w:sz w:val="24"/>
              </w:rPr>
              <w:t>a，因此项目开料、雕刻工序产生粉尘量为0</w:t>
            </w:r>
            <w:r>
              <w:rPr>
                <w:bCs/>
                <w:sz w:val="24"/>
              </w:rPr>
              <w:t>.0158</w:t>
            </w:r>
            <w:r>
              <w:rPr>
                <w:rFonts w:hint="eastAsia"/>
                <w:bCs/>
                <w:sz w:val="24"/>
              </w:rPr>
              <w:t>t</w:t>
            </w:r>
            <w:r>
              <w:rPr>
                <w:bCs/>
                <w:sz w:val="24"/>
              </w:rPr>
              <w:t>/</w:t>
            </w:r>
            <w:r>
              <w:rPr>
                <w:rFonts w:hint="eastAsia"/>
                <w:bCs/>
                <w:sz w:val="24"/>
              </w:rPr>
              <w:t>a。</w:t>
            </w:r>
          </w:p>
          <w:p>
            <w:pPr>
              <w:spacing w:line="360" w:lineRule="auto"/>
              <w:ind w:firstLine="482" w:firstLineChars="200"/>
              <w:rPr>
                <w:b/>
                <w:sz w:val="24"/>
              </w:rPr>
            </w:pPr>
            <w:r>
              <w:rPr>
                <w:rFonts w:hint="eastAsia"/>
                <w:b/>
                <w:sz w:val="24"/>
              </w:rPr>
              <w:t>②打磨工序产生的粉尘</w:t>
            </w:r>
          </w:p>
          <w:p>
            <w:pPr>
              <w:pStyle w:val="158"/>
              <w:ind w:firstLine="480" w:firstLineChars="200"/>
              <w:rPr>
                <w:bCs/>
              </w:rPr>
            </w:pPr>
            <w:r>
              <w:rPr>
                <w:rFonts w:hint="eastAsia"/>
                <w:bCs/>
              </w:rPr>
              <w:t>项目木制品雕刻后需进行打磨，以利于上漆，打磨工序产生粉尘。参考《第二次全国污染源普查产排污系数手册</w:t>
            </w:r>
            <w:r>
              <w:rPr>
                <w:color w:val="000000"/>
                <w:lang w:val="pt-BR"/>
              </w:rPr>
              <w:t>——</w:t>
            </w:r>
            <w:r>
              <w:rPr>
                <w:rFonts w:hint="eastAsia"/>
                <w:bCs/>
              </w:rPr>
              <w:t>2</w:t>
            </w:r>
            <w:r>
              <w:rPr>
                <w:bCs/>
              </w:rPr>
              <w:t>03</w:t>
            </w:r>
            <w:r>
              <w:rPr>
                <w:rFonts w:hint="eastAsia"/>
                <w:bCs/>
              </w:rPr>
              <w:t>木质制品制行业系数手册》中“2</w:t>
            </w:r>
            <w:r>
              <w:rPr>
                <w:bCs/>
              </w:rPr>
              <w:t>03</w:t>
            </w:r>
            <w:r>
              <w:rPr>
                <w:rFonts w:hint="eastAsia"/>
                <w:bCs/>
              </w:rPr>
              <w:t>木质制品制造行业系数表”，使用木材生产其他木制品木制容器、软木制品）砂光/打磨工序颗粒物的产生量为1</w:t>
            </w:r>
            <w:r>
              <w:rPr>
                <w:bCs/>
              </w:rPr>
              <w:t>.52</w:t>
            </w:r>
            <w:r>
              <w:rPr>
                <w:rFonts w:hint="eastAsia"/>
                <w:bCs/>
              </w:rPr>
              <w:t>千克/立方米产品。木制品配件产量约为24</w:t>
            </w:r>
            <w:r>
              <w:rPr>
                <w:bCs/>
              </w:rPr>
              <w:t>50</w:t>
            </w:r>
            <w:r>
              <w:rPr>
                <w:rFonts w:hint="eastAsia"/>
                <w:bCs/>
              </w:rPr>
              <w:t>t</w:t>
            </w:r>
            <w:r>
              <w:rPr>
                <w:bCs/>
              </w:rPr>
              <w:t>/</w:t>
            </w:r>
            <w:r>
              <w:rPr>
                <w:rFonts w:hint="eastAsia"/>
                <w:bCs/>
              </w:rPr>
              <w:t>a，项目使用的板材在0</w:t>
            </w:r>
            <w:r>
              <w:rPr>
                <w:bCs/>
              </w:rPr>
              <w:t>.65</w:t>
            </w:r>
            <w:r>
              <w:rPr>
                <w:rFonts w:hint="eastAsia"/>
                <w:bCs/>
              </w:rPr>
              <w:t>~</w:t>
            </w:r>
            <w:r>
              <w:rPr>
                <w:bCs/>
              </w:rPr>
              <w:t>0.80</w:t>
            </w:r>
            <w:r>
              <w:rPr>
                <w:rFonts w:hint="eastAsia"/>
                <w:bCs/>
              </w:rPr>
              <w:t xml:space="preserve"> g</w:t>
            </w:r>
            <w:r>
              <w:rPr>
                <w:bCs/>
              </w:rPr>
              <w:t>/</w:t>
            </w:r>
            <w:r>
              <w:rPr>
                <w:rFonts w:hint="eastAsia"/>
                <w:bCs/>
              </w:rPr>
              <w:t>cm</w:t>
            </w:r>
            <w:r>
              <w:rPr>
                <w:bCs/>
                <w:vertAlign w:val="superscript"/>
              </w:rPr>
              <w:t>3</w:t>
            </w:r>
            <w:r>
              <w:rPr>
                <w:rFonts w:hint="eastAsia"/>
                <w:bCs/>
              </w:rPr>
              <w:t>之间，平均密度取0</w:t>
            </w:r>
            <w:r>
              <w:rPr>
                <w:bCs/>
              </w:rPr>
              <w:t>.7</w:t>
            </w:r>
            <w:r>
              <w:rPr>
                <w:rFonts w:hint="eastAsia"/>
                <w:bCs/>
              </w:rPr>
              <w:t>g</w:t>
            </w:r>
            <w:r>
              <w:rPr>
                <w:bCs/>
              </w:rPr>
              <w:t>/</w:t>
            </w:r>
            <w:r>
              <w:rPr>
                <w:rFonts w:hint="eastAsia"/>
                <w:bCs/>
              </w:rPr>
              <w:t>cm</w:t>
            </w:r>
            <w:r>
              <w:rPr>
                <w:bCs/>
                <w:vertAlign w:val="superscript"/>
              </w:rPr>
              <w:t>3</w:t>
            </w:r>
            <w:r>
              <w:rPr>
                <w:rFonts w:hint="eastAsia"/>
                <w:bCs/>
              </w:rPr>
              <w:t>，则木制品配件产量为</w:t>
            </w:r>
            <w:r>
              <w:rPr>
                <w:bCs/>
              </w:rPr>
              <w:t>2500</w:t>
            </w:r>
            <w:r>
              <w:rPr>
                <w:rFonts w:hint="eastAsia"/>
                <w:bCs/>
              </w:rPr>
              <w:t>m</w:t>
            </w:r>
            <w:r>
              <w:rPr>
                <w:bCs/>
                <w:vertAlign w:val="superscript"/>
              </w:rPr>
              <w:t>3</w:t>
            </w:r>
            <w:r>
              <w:rPr>
                <w:bCs/>
              </w:rPr>
              <w:t>/</w:t>
            </w:r>
            <w:r>
              <w:rPr>
                <w:rFonts w:hint="eastAsia"/>
                <w:bCs/>
              </w:rPr>
              <w:t>a，因项目打磨工序粉尘的产生量为5</w:t>
            </w:r>
            <w:r>
              <w:rPr>
                <w:bCs/>
              </w:rPr>
              <w:t>.3200</w:t>
            </w:r>
            <w:r>
              <w:rPr>
                <w:rFonts w:hint="eastAsia"/>
                <w:bCs/>
              </w:rPr>
              <w:t>t</w:t>
            </w:r>
            <w:r>
              <w:rPr>
                <w:bCs/>
              </w:rPr>
              <w:t>/</w:t>
            </w:r>
            <w:r>
              <w:rPr>
                <w:rFonts w:hint="eastAsia"/>
                <w:bCs/>
              </w:rPr>
              <w:t>a。</w:t>
            </w:r>
          </w:p>
          <w:p>
            <w:pPr>
              <w:pStyle w:val="158"/>
              <w:ind w:firstLine="482" w:firstLineChars="200"/>
              <w:rPr>
                <w:b/>
              </w:rPr>
            </w:pPr>
            <w:r>
              <w:rPr>
                <w:rFonts w:hint="eastAsia"/>
                <w:b/>
              </w:rPr>
              <w:t>③切割工序产生的粉尘</w:t>
            </w:r>
          </w:p>
          <w:p>
            <w:pPr>
              <w:spacing w:line="360" w:lineRule="auto"/>
              <w:ind w:firstLine="480" w:firstLineChars="200"/>
              <w:rPr>
                <w:rStyle w:val="46"/>
                <w:b/>
                <w:bCs/>
                <w:color w:val="000000" w:themeColor="text1"/>
                <w:kern w:val="0"/>
                <w:sz w:val="24"/>
                <w14:textFill>
                  <w14:solidFill>
                    <w14:schemeClr w14:val="tx1"/>
                  </w14:solidFill>
                </w14:textFill>
              </w:rPr>
            </w:pPr>
            <w:r>
              <w:rPr>
                <w:color w:val="000000"/>
                <w:sz w:val="24"/>
              </w:rPr>
              <w:t>本项目打磨</w:t>
            </w:r>
            <w:r>
              <w:rPr>
                <w:rFonts w:hint="eastAsia"/>
                <w:color w:val="000000"/>
                <w:sz w:val="24"/>
              </w:rPr>
              <w:t>工序</w:t>
            </w:r>
            <w:r>
              <w:rPr>
                <w:color w:val="000000"/>
                <w:sz w:val="24"/>
              </w:rPr>
              <w:t>产生金属粉尘，</w:t>
            </w:r>
            <w:r>
              <w:rPr>
                <w:sz w:val="24"/>
              </w:rPr>
              <w:t>根据《排放源统计调查产排污核算方法和系数手册》中33-27、431-434机械行业系数手册—07预处理，预处理颗粒物废气的产污系数2.19千克/吨-原料，项目</w:t>
            </w:r>
            <w:r>
              <w:rPr>
                <w:rFonts w:hint="eastAsia"/>
                <w:sz w:val="24"/>
              </w:rPr>
              <w:t>铁管</w:t>
            </w:r>
            <w:r>
              <w:rPr>
                <w:sz w:val="24"/>
              </w:rPr>
              <w:t>用量为50t/a，则本项目金属</w:t>
            </w:r>
            <w:r>
              <w:rPr>
                <w:rFonts w:hint="eastAsia"/>
                <w:sz w:val="24"/>
              </w:rPr>
              <w:t>粉尘</w:t>
            </w:r>
            <w:r>
              <w:rPr>
                <w:sz w:val="24"/>
              </w:rPr>
              <w:t>产生量约为0.1095t/a。</w:t>
            </w:r>
          </w:p>
          <w:p>
            <w:pPr>
              <w:pStyle w:val="158"/>
              <w:ind w:firstLine="482" w:firstLineChars="200"/>
              <w:rPr>
                <w:b/>
                <w:color w:val="000000" w:themeColor="text1"/>
                <w14:textFill>
                  <w14:solidFill>
                    <w14:schemeClr w14:val="tx1"/>
                  </w14:solidFill>
                </w14:textFill>
              </w:rPr>
            </w:pPr>
            <w:r>
              <w:rPr>
                <w:rStyle w:val="46"/>
                <w:b/>
                <w:bCs/>
                <w:color w:val="000000" w:themeColor="text1"/>
                <w:kern w:val="0"/>
                <w:sz w:val="24"/>
                <w14:textFill>
                  <w14:solidFill>
                    <w14:schemeClr w14:val="tx1"/>
                  </w14:solidFill>
                </w14:textFill>
              </w:rPr>
              <w:t>2</w:t>
            </w:r>
            <w:r>
              <w:rPr>
                <w:rStyle w:val="46"/>
                <w:rFonts w:hint="eastAsia"/>
                <w:b/>
                <w:bCs/>
                <w:color w:val="000000" w:themeColor="text1"/>
                <w:kern w:val="0"/>
                <w:sz w:val="24"/>
                <w14:textFill>
                  <w14:solidFill>
                    <w14:schemeClr w14:val="tx1"/>
                  </w14:solidFill>
                </w14:textFill>
              </w:rPr>
              <w:t>）</w:t>
            </w:r>
            <w:r>
              <w:rPr>
                <w:rFonts w:hint="eastAsia"/>
                <w:b/>
                <w:bCs/>
                <w:color w:val="000000" w:themeColor="text1"/>
                <w14:textFill>
                  <w14:solidFill>
                    <w14:schemeClr w14:val="tx1"/>
                  </w14:solidFill>
                </w14:textFill>
              </w:rPr>
              <w:t>喷</w:t>
            </w:r>
            <w:r>
              <w:rPr>
                <w:rFonts w:hint="eastAsia"/>
                <w:b/>
                <w:color w:val="000000" w:themeColor="text1"/>
                <w14:textFill>
                  <w14:solidFill>
                    <w14:schemeClr w14:val="tx1"/>
                  </w14:solidFill>
                </w14:textFill>
              </w:rPr>
              <w:t>漆、烘烤</w:t>
            </w:r>
            <w:r>
              <w:rPr>
                <w:b/>
                <w:color w:val="000000" w:themeColor="text1"/>
                <w14:textFill>
                  <w14:solidFill>
                    <w14:schemeClr w14:val="tx1"/>
                  </w14:solidFill>
                </w14:textFill>
              </w:rPr>
              <w:t>工序产生的漆雾、有机废气</w:t>
            </w:r>
          </w:p>
          <w:p>
            <w:pPr>
              <w:adjustRightInd w:val="0"/>
              <w:snapToGrid w:val="0"/>
              <w:spacing w:line="360" w:lineRule="auto"/>
              <w:ind w:left="480"/>
              <w:rPr>
                <w:b/>
                <w:color w:val="000000" w:themeColor="text1"/>
                <w:sz w:val="24"/>
                <w14:textFill>
                  <w14:solidFill>
                    <w14:schemeClr w14:val="tx1"/>
                  </w14:solidFill>
                </w14:textFill>
              </w:rPr>
            </w:pPr>
            <w:r>
              <w:rPr>
                <w:b/>
                <w:color w:val="000000" w:themeColor="text1"/>
                <w:sz w:val="24"/>
                <w14:textFill>
                  <w14:solidFill>
                    <w14:schemeClr w14:val="tx1"/>
                  </w14:solidFill>
                </w14:textFill>
              </w:rPr>
              <w:t>①漆雾（颗粒物）</w:t>
            </w:r>
          </w:p>
          <w:p>
            <w:pPr>
              <w:adjustRightInd w:val="0"/>
              <w:snapToGrid w:val="0"/>
              <w:spacing w:line="360" w:lineRule="auto"/>
              <w:ind w:firstLine="480"/>
              <w:jc w:val="left"/>
              <w:rPr>
                <w:color w:val="000000" w:themeColor="text1"/>
                <w:szCs w:val="21"/>
                <w14:textFill>
                  <w14:solidFill>
                    <w14:schemeClr w14:val="tx1"/>
                  </w14:solidFill>
                </w14:textFill>
              </w:rPr>
            </w:pPr>
            <w:r>
              <w:rPr>
                <w:color w:val="000000" w:themeColor="text1"/>
                <w:sz w:val="24"/>
                <w14:textFill>
                  <w14:solidFill>
                    <w14:schemeClr w14:val="tx1"/>
                  </w14:solidFill>
                </w14:textFill>
              </w:rPr>
              <w:t>本项目在喷</w:t>
            </w:r>
            <w:r>
              <w:rPr>
                <w:rFonts w:hint="eastAsia"/>
                <w:color w:val="000000" w:themeColor="text1"/>
                <w:sz w:val="24"/>
                <w14:textFill>
                  <w14:solidFill>
                    <w14:schemeClr w14:val="tx1"/>
                  </w14:solidFill>
                </w14:textFill>
              </w:rPr>
              <w:t>涂</w:t>
            </w:r>
            <w:r>
              <w:rPr>
                <w:color w:val="000000" w:themeColor="text1"/>
                <w:sz w:val="24"/>
                <w14:textFill>
                  <w14:solidFill>
                    <w14:schemeClr w14:val="tx1"/>
                  </w14:solidFill>
                </w14:textFill>
              </w:rPr>
              <w:t>工序中，涂料在高压作用下雾化成颗粒，均匀</w:t>
            </w:r>
            <w:r>
              <w:rPr>
                <w:rFonts w:hint="eastAsia"/>
                <w:color w:val="000000" w:themeColor="text1"/>
                <w:sz w:val="24"/>
                <w14:textFill>
                  <w14:solidFill>
                    <w14:schemeClr w14:val="tx1"/>
                  </w14:solidFill>
                </w14:textFill>
              </w:rPr>
              <w:t>喷涂</w:t>
            </w:r>
            <w:r>
              <w:rPr>
                <w:color w:val="000000" w:themeColor="text1"/>
                <w:sz w:val="24"/>
                <w14:textFill>
                  <w14:solidFill>
                    <w14:schemeClr w14:val="tx1"/>
                  </w14:solidFill>
                </w14:textFill>
              </w:rPr>
              <w:t>在工件表面。由于</w:t>
            </w:r>
            <w:r>
              <w:rPr>
                <w:rFonts w:hint="eastAsia"/>
                <w:color w:val="000000" w:themeColor="text1"/>
                <w:sz w:val="24"/>
                <w14:textFill>
                  <w14:solidFill>
                    <w14:schemeClr w14:val="tx1"/>
                  </w14:solidFill>
                </w14:textFill>
              </w:rPr>
              <w:t>喷涂</w:t>
            </w:r>
            <w:r>
              <w:rPr>
                <w:color w:val="000000" w:themeColor="text1"/>
                <w:sz w:val="24"/>
                <w14:textFill>
                  <w14:solidFill>
                    <w14:schemeClr w14:val="tx1"/>
                  </w14:solidFill>
                </w14:textFill>
              </w:rPr>
              <w:t>时，涂料未能</w:t>
            </w:r>
            <w:r>
              <w:rPr>
                <w:rFonts w:hint="eastAsia"/>
                <w:color w:val="000000" w:themeColor="text1"/>
                <w:sz w:val="24"/>
                <w14:textFill>
                  <w14:solidFill>
                    <w14:schemeClr w14:val="tx1"/>
                  </w14:solidFill>
                </w14:textFill>
              </w:rPr>
              <w:t>完全附着，部分未能附着到工件表面的涂料逸散到空气中，附着率参考《谈喷涂涂着效率》（王锡春）和电动车行业喷漆工艺中喷漆效率的统计，涂着效率还与喷具的压力、喷嘴等因素有关，本项目采用人工喷涂，因此漆料附着效率按60%计</w:t>
            </w:r>
            <w:r>
              <w:rPr>
                <w:color w:val="000000" w:themeColor="text1"/>
                <w:sz w:val="24"/>
                <w14:textFill>
                  <w14:solidFill>
                    <w14:schemeClr w14:val="tx1"/>
                  </w14:solidFill>
                </w14:textFill>
              </w:rPr>
              <w:t>；本项目的</w:t>
            </w:r>
            <w:r>
              <w:rPr>
                <w:rFonts w:hint="eastAsia"/>
                <w:color w:val="000000" w:themeColor="text1"/>
                <w:sz w:val="24"/>
                <w14:textFill>
                  <w14:solidFill>
                    <w14:schemeClr w14:val="tx1"/>
                  </w14:solidFill>
                </w14:textFill>
              </w:rPr>
              <w:t>喷漆</w:t>
            </w:r>
            <w:r>
              <w:rPr>
                <w:color w:val="000000" w:themeColor="text1"/>
                <w:sz w:val="24"/>
                <w14:textFill>
                  <w14:solidFill>
                    <w14:schemeClr w14:val="tx1"/>
                  </w14:solidFill>
                </w14:textFill>
              </w:rPr>
              <w:t>工序水性</w:t>
            </w:r>
            <w:r>
              <w:rPr>
                <w:rFonts w:hint="eastAsia"/>
                <w:color w:val="000000" w:themeColor="text1"/>
                <w:sz w:val="24"/>
                <w14:textFill>
                  <w14:solidFill>
                    <w14:schemeClr w14:val="tx1"/>
                  </w14:solidFill>
                </w14:textFill>
              </w:rPr>
              <w:t>涂料</w:t>
            </w:r>
            <w:r>
              <w:rPr>
                <w:color w:val="000000" w:themeColor="text1"/>
                <w:sz w:val="24"/>
                <w14:textFill>
                  <w14:solidFill>
                    <w14:schemeClr w14:val="tx1"/>
                  </w14:solidFill>
                </w14:textFill>
              </w:rPr>
              <w:t>用量约为11.04t/a，漆雾的产生情况详见表4-2。</w:t>
            </w:r>
          </w:p>
          <w:p>
            <w:pPr>
              <w:adjustRightInd w:val="0"/>
              <w:snapToGrid w:val="0"/>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表4-2 本项目喷</w:t>
            </w:r>
            <w:r>
              <w:rPr>
                <w:rFonts w:hint="eastAsia"/>
                <w:b/>
                <w:color w:val="000000" w:themeColor="text1"/>
                <w:szCs w:val="21"/>
                <w14:textFill>
                  <w14:solidFill>
                    <w14:schemeClr w14:val="tx1"/>
                  </w14:solidFill>
                </w14:textFill>
              </w:rPr>
              <w:t>涂</w:t>
            </w:r>
            <w:r>
              <w:rPr>
                <w:b/>
                <w:color w:val="000000" w:themeColor="text1"/>
                <w:szCs w:val="21"/>
                <w14:textFill>
                  <w14:solidFill>
                    <w14:schemeClr w14:val="tx1"/>
                  </w14:solidFill>
                </w14:textFill>
              </w:rPr>
              <w:t>工序漆雾产生情况</w:t>
            </w:r>
          </w:p>
          <w:tbl>
            <w:tblPr>
              <w:tblStyle w:val="39"/>
              <w:tblW w:w="4998"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334"/>
              <w:gridCol w:w="1443"/>
              <w:gridCol w:w="1512"/>
              <w:gridCol w:w="1846"/>
              <w:gridCol w:w="202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17"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工序</w:t>
                  </w:r>
                </w:p>
              </w:tc>
              <w:tc>
                <w:tcPr>
                  <w:tcW w:w="884"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年用量t/a</w:t>
                  </w:r>
                </w:p>
              </w:tc>
              <w:tc>
                <w:tcPr>
                  <w:tcW w:w="926"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固含量%</w:t>
                  </w:r>
                </w:p>
              </w:tc>
              <w:tc>
                <w:tcPr>
                  <w:tcW w:w="1131"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附着率%</w:t>
                  </w:r>
                </w:p>
              </w:tc>
              <w:tc>
                <w:tcPr>
                  <w:tcW w:w="1240" w:type="pct"/>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漆雾年产生量t/a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17" w:type="pct"/>
                  <w:vAlign w:val="center"/>
                </w:tcPr>
                <w:p>
                  <w:pPr>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水性涂料</w:t>
                  </w:r>
                </w:p>
              </w:tc>
              <w:tc>
                <w:tcPr>
                  <w:tcW w:w="884"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11.04</w:t>
                  </w:r>
                </w:p>
              </w:tc>
              <w:tc>
                <w:tcPr>
                  <w:tcW w:w="926"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60.78</w:t>
                  </w:r>
                </w:p>
              </w:tc>
              <w:tc>
                <w:tcPr>
                  <w:tcW w:w="1131"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c>
                <w:tcPr>
                  <w:tcW w:w="1240" w:type="pct"/>
                  <w:vAlign w:val="center"/>
                </w:tcPr>
                <w:p>
                  <w:pPr>
                    <w:adjustRightInd w:val="0"/>
                    <w:snapToGrid w:val="0"/>
                    <w:jc w:val="center"/>
                    <w:rPr>
                      <w:color w:val="000000" w:themeColor="text1"/>
                      <w:szCs w:val="21"/>
                      <w14:textFill>
                        <w14:solidFill>
                          <w14:schemeClr w14:val="tx1"/>
                        </w14:solidFill>
                      </w14:textFill>
                    </w:rPr>
                  </w:pPr>
                  <w:r>
                    <w:rPr>
                      <w:color w:val="000000" w:themeColor="text1"/>
                      <w14:textFill>
                        <w14:solidFill>
                          <w14:schemeClr w14:val="tx1"/>
                        </w14:solidFill>
                      </w14:textFill>
                    </w:rPr>
                    <w:t>2.6840</w:t>
                  </w:r>
                </w:p>
              </w:tc>
            </w:tr>
          </w:tbl>
          <w:p>
            <w:pPr>
              <w:pStyle w:val="158"/>
              <w:ind w:left="239" w:leftChars="114" w:firstLine="241" w:firstLineChars="100"/>
              <w:rPr>
                <w:color w:val="000000" w:themeColor="text1"/>
                <w14:textFill>
                  <w14:solidFill>
                    <w14:schemeClr w14:val="tx1"/>
                  </w14:solidFill>
                </w14:textFill>
              </w:rPr>
            </w:pPr>
            <w:r>
              <w:rPr>
                <w:b/>
                <w:bCs/>
                <w:color w:val="000000" w:themeColor="text1"/>
                <w14:textFill>
                  <w14:solidFill>
                    <w14:schemeClr w14:val="tx1"/>
                  </w14:solidFill>
                </w14:textFill>
              </w:rPr>
              <w:t>②</w:t>
            </w:r>
            <w:r>
              <w:rPr>
                <w:rFonts w:hint="eastAsia"/>
                <w:b/>
                <w:bCs/>
                <w:color w:val="000000" w:themeColor="text1"/>
                <w14:textFill>
                  <w14:solidFill>
                    <w14:schemeClr w14:val="tx1"/>
                  </w14:solidFill>
                </w14:textFill>
              </w:rPr>
              <w:t>有机废气</w:t>
            </w:r>
          </w:p>
          <w:p>
            <w:pPr>
              <w:pStyle w:val="158"/>
              <w:ind w:firstLine="480" w:firstLineChars="0"/>
              <w:rPr>
                <w:color w:val="000000" w:themeColor="text1"/>
                <w14:textFill>
                  <w14:solidFill>
                    <w14:schemeClr w14:val="tx1"/>
                  </w14:solidFill>
                </w14:textFill>
              </w:rPr>
            </w:pPr>
            <w:r>
              <w:rPr>
                <w:color w:val="000000" w:themeColor="text1"/>
                <w14:textFill>
                  <w14:solidFill>
                    <w14:schemeClr w14:val="tx1"/>
                  </w14:solidFill>
                </w14:textFill>
              </w:rPr>
              <w:t>项目</w:t>
            </w:r>
            <w:r>
              <w:rPr>
                <w:rFonts w:hint="eastAsia"/>
                <w:color w:val="000000" w:themeColor="text1"/>
                <w14:textFill>
                  <w14:solidFill>
                    <w14:schemeClr w14:val="tx1"/>
                  </w14:solidFill>
                </w14:textFill>
              </w:rPr>
              <w:t>调漆、喷漆、晾干</w:t>
            </w:r>
            <w:r>
              <w:rPr>
                <w:color w:val="000000" w:themeColor="text1"/>
                <w14:textFill>
                  <w14:solidFill>
                    <w14:schemeClr w14:val="tx1"/>
                  </w14:solidFill>
                </w14:textFill>
              </w:rPr>
              <w:t>等过程均会挥发总VOCs。项目使用水性涂料，</w:t>
            </w:r>
            <w:r>
              <w:rPr>
                <w:color w:val="000000" w:themeColor="text1"/>
                <w:kern w:val="0"/>
                <w14:textFill>
                  <w14:solidFill>
                    <w14:schemeClr w14:val="tx1"/>
                  </w14:solidFill>
                </w14:textFill>
              </w:rPr>
              <w:t>根据业主提供水性涂料检测报告（见附件3）中</w:t>
            </w:r>
            <w:r>
              <w:rPr>
                <w:color w:val="000000" w:themeColor="text1"/>
                <w14:textFill>
                  <w14:solidFill>
                    <w14:schemeClr w14:val="tx1"/>
                  </w14:solidFill>
                </w14:textFill>
              </w:rPr>
              <w:t>水性涂料</w:t>
            </w:r>
            <w:r>
              <w:rPr>
                <w:color w:val="000000" w:themeColor="text1"/>
                <w:kern w:val="0"/>
                <w14:textFill>
                  <w14:solidFill>
                    <w14:schemeClr w14:val="tx1"/>
                  </w14:solidFill>
                </w14:textFill>
              </w:rPr>
              <w:t>的</w:t>
            </w:r>
            <w:r>
              <w:rPr>
                <w:color w:val="000000" w:themeColor="text1"/>
                <w:spacing w:val="-4"/>
                <w14:textFill>
                  <w14:solidFill>
                    <w14:schemeClr w14:val="tx1"/>
                  </w14:solidFill>
                </w14:textFill>
              </w:rPr>
              <w:t>VOC</w:t>
            </w:r>
            <w:r>
              <w:rPr>
                <w:color w:val="000000" w:themeColor="text1"/>
                <w:spacing w:val="-4"/>
                <w:vertAlign w:val="subscript"/>
                <w14:textFill>
                  <w14:solidFill>
                    <w14:schemeClr w14:val="tx1"/>
                  </w14:solidFill>
                </w14:textFill>
              </w:rPr>
              <w:t>S</w:t>
            </w:r>
            <w:r>
              <w:rPr>
                <w:color w:val="000000" w:themeColor="text1"/>
                <w:spacing w:val="-4"/>
                <w14:textFill>
                  <w14:solidFill>
                    <w14:schemeClr w14:val="tx1"/>
                  </w14:solidFill>
                </w14:textFill>
              </w:rPr>
              <w:t>含量为</w:t>
            </w:r>
            <w:r>
              <w:rPr>
                <w:color w:val="000000" w:themeColor="text1"/>
                <w:kern w:val="0"/>
                <w14:textFill>
                  <w14:solidFill>
                    <w14:schemeClr w14:val="tx1"/>
                  </w14:solidFill>
                </w14:textFill>
              </w:rPr>
              <w:t>129g/L，水性涂料密度约为1.05~1.2kg/m</w:t>
            </w:r>
            <w:r>
              <w:rPr>
                <w:color w:val="000000" w:themeColor="text1"/>
                <w:kern w:val="0"/>
                <w:vertAlign w:val="superscript"/>
                <w14:textFill>
                  <w14:solidFill>
                    <w14:schemeClr w14:val="tx1"/>
                  </w14:solidFill>
                </w14:textFill>
              </w:rPr>
              <w:t>3</w:t>
            </w:r>
            <w:r>
              <w:rPr>
                <w:color w:val="000000" w:themeColor="text1"/>
                <w:kern w:val="0"/>
                <w14:textFill>
                  <w14:solidFill>
                    <w14:schemeClr w14:val="tx1"/>
                  </w14:solidFill>
                </w14:textFill>
              </w:rPr>
              <w:t>，此处取1.1kg/m</w:t>
            </w:r>
            <w:r>
              <w:rPr>
                <w:color w:val="000000" w:themeColor="text1"/>
                <w:kern w:val="0"/>
                <w:vertAlign w:val="superscript"/>
                <w14:textFill>
                  <w14:solidFill>
                    <w14:schemeClr w14:val="tx1"/>
                  </w14:solidFill>
                </w14:textFill>
              </w:rPr>
              <w:t>3</w:t>
            </w:r>
            <w:r>
              <w:rPr>
                <w:color w:val="000000" w:themeColor="text1"/>
                <w:kern w:val="0"/>
                <w14:textFill>
                  <w14:solidFill>
                    <w14:schemeClr w14:val="tx1"/>
                  </w14:solidFill>
                </w14:textFill>
              </w:rPr>
              <w:t>，故</w:t>
            </w:r>
            <w:r>
              <w:rPr>
                <w:bCs/>
                <w:color w:val="000000" w:themeColor="text1"/>
                <w14:textFill>
                  <w14:solidFill>
                    <w14:schemeClr w14:val="tx1"/>
                  </w14:solidFill>
                </w14:textFill>
              </w:rPr>
              <w:t>水性</w:t>
            </w:r>
            <w:r>
              <w:rPr>
                <w:color w:val="000000" w:themeColor="text1"/>
                <w:shd w:val="clear" w:color="auto" w:fill="FFFFFF"/>
                <w14:textFill>
                  <w14:solidFill>
                    <w14:schemeClr w14:val="tx1"/>
                  </w14:solidFill>
                </w14:textFill>
              </w:rPr>
              <w:t>涂</w:t>
            </w:r>
            <w:r>
              <w:rPr>
                <w:color w:val="000000" w:themeColor="text1"/>
                <w:kern w:val="0"/>
                <w14:textFill>
                  <w14:solidFill>
                    <w14:schemeClr w14:val="tx1"/>
                  </w14:solidFill>
                </w14:textFill>
              </w:rPr>
              <w:t>料的</w:t>
            </w:r>
            <w:r>
              <w:rPr>
                <w:color w:val="000000" w:themeColor="text1"/>
                <w:spacing w:val="-4"/>
                <w14:textFill>
                  <w14:solidFill>
                    <w14:schemeClr w14:val="tx1"/>
                  </w14:solidFill>
                </w14:textFill>
              </w:rPr>
              <w:t>VOC</w:t>
            </w:r>
            <w:r>
              <w:rPr>
                <w:color w:val="000000" w:themeColor="text1"/>
                <w:spacing w:val="-4"/>
                <w:vertAlign w:val="subscript"/>
                <w14:textFill>
                  <w14:solidFill>
                    <w14:schemeClr w14:val="tx1"/>
                  </w14:solidFill>
                </w14:textFill>
              </w:rPr>
              <w:t>S</w:t>
            </w:r>
            <w:r>
              <w:rPr>
                <w:color w:val="000000" w:themeColor="text1"/>
                <w:spacing w:val="-4"/>
                <w14:textFill>
                  <w14:solidFill>
                    <w14:schemeClr w14:val="tx1"/>
                  </w14:solidFill>
                </w14:textFill>
              </w:rPr>
              <w:t>含量约为</w:t>
            </w:r>
            <w:r>
              <w:rPr>
                <w:color w:val="000000" w:themeColor="text1"/>
                <w:kern w:val="0"/>
                <w14:textFill>
                  <w14:solidFill>
                    <w14:schemeClr w14:val="tx1"/>
                  </w14:solidFill>
                </w14:textFill>
              </w:rPr>
              <w:t>117.2g/kg，项目水性涂料的使用量为11.04</w:t>
            </w:r>
            <w:r>
              <w:rPr>
                <w:color w:val="000000" w:themeColor="text1"/>
                <w14:textFill>
                  <w14:solidFill>
                    <w14:schemeClr w14:val="tx1"/>
                  </w14:solidFill>
                </w14:textFill>
              </w:rPr>
              <w:t>t/a，则</w:t>
            </w:r>
            <w:r>
              <w:rPr>
                <w:rFonts w:hint="eastAsia"/>
                <w:color w:val="000000" w:themeColor="text1"/>
                <w14:textFill>
                  <w14:solidFill>
                    <w14:schemeClr w14:val="tx1"/>
                  </w14:solidFill>
                </w14:textFill>
              </w:rPr>
              <w:t>调漆、喷涂、晾干</w:t>
            </w:r>
            <w:r>
              <w:rPr>
                <w:color w:val="000000" w:themeColor="text1"/>
                <w:spacing w:val="-4"/>
                <w14:textFill>
                  <w14:solidFill>
                    <w14:schemeClr w14:val="tx1"/>
                  </w14:solidFill>
                </w14:textFill>
              </w:rPr>
              <w:t>过程VOC</w:t>
            </w:r>
            <w:r>
              <w:rPr>
                <w:color w:val="000000" w:themeColor="text1"/>
                <w:spacing w:val="-4"/>
                <w:vertAlign w:val="subscript"/>
                <w14:textFill>
                  <w14:solidFill>
                    <w14:schemeClr w14:val="tx1"/>
                  </w14:solidFill>
                </w14:textFill>
              </w:rPr>
              <w:t>S</w:t>
            </w:r>
            <w:r>
              <w:rPr>
                <w:color w:val="000000" w:themeColor="text1"/>
                <w14:textFill>
                  <w14:solidFill>
                    <w14:schemeClr w14:val="tx1"/>
                  </w14:solidFill>
                </w14:textFill>
              </w:rPr>
              <w:t>产生量为1.2947t/a。本项目</w:t>
            </w:r>
            <w:r>
              <w:rPr>
                <w:rFonts w:hint="eastAsia"/>
                <w:color w:val="000000" w:themeColor="text1"/>
                <w14:textFill>
                  <w14:solidFill>
                    <w14:schemeClr w14:val="tx1"/>
                  </w14:solidFill>
                </w14:textFill>
              </w:rPr>
              <w:t>调漆、喷漆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晾干</w:t>
            </w:r>
            <w:r>
              <w:rPr>
                <w:color w:val="000000" w:themeColor="text1"/>
                <w14:textFill>
                  <w14:solidFill>
                    <w14:schemeClr w14:val="tx1"/>
                  </w14:solidFill>
                </w14:textFill>
              </w:rPr>
              <w:t>废气经收集后经同一条排放口排放。</w:t>
            </w:r>
          </w:p>
          <w:p>
            <w:pPr>
              <w:pStyle w:val="158"/>
              <w:ind w:firstLine="482" w:firstLineChars="200"/>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3）焊接工序产生的焊接烟尘</w:t>
            </w:r>
          </w:p>
          <w:p>
            <w:pPr>
              <w:spacing w:line="360" w:lineRule="auto"/>
              <w:ind w:firstLine="480" w:firstLineChars="200"/>
              <w:rPr>
                <w:bCs/>
                <w:sz w:val="24"/>
              </w:rPr>
            </w:pPr>
            <w:r>
              <w:rPr>
                <w:rFonts w:hint="eastAsia"/>
                <w:bCs/>
                <w:sz w:val="24"/>
              </w:rPr>
              <w:t>本项目焊接工序产生焊接烟尘，根据建设单位提供的资料，项目焊条的年用量为</w:t>
            </w:r>
            <w:r>
              <w:rPr>
                <w:bCs/>
                <w:sz w:val="24"/>
              </w:rPr>
              <w:t>0.5</w:t>
            </w:r>
            <w:r>
              <w:rPr>
                <w:rFonts w:hint="eastAsia"/>
                <w:bCs/>
                <w:sz w:val="24"/>
              </w:rPr>
              <w:t>t。根据《焊接工程师手册》（第2版，陈祝年编著），焊接材料的发尘量为2g/kg~5g/kg，项目烟尘产生系数取5g/kg，则项目焊接烟尘产生量为0.00</w:t>
            </w:r>
            <w:r>
              <w:rPr>
                <w:bCs/>
                <w:sz w:val="24"/>
              </w:rPr>
              <w:t>25</w:t>
            </w:r>
            <w:r>
              <w:rPr>
                <w:rFonts w:hint="eastAsia"/>
                <w:bCs/>
                <w:sz w:val="24"/>
              </w:rPr>
              <w:t>t/a，产生速率为0.0025kg/h。焊接产生主要的污染物有Fe2O</w:t>
            </w:r>
            <w:r>
              <w:rPr>
                <w:rFonts w:hint="eastAsia"/>
                <w:bCs/>
                <w:sz w:val="24"/>
                <w:vertAlign w:val="subscript"/>
              </w:rPr>
              <w:t>3</w:t>
            </w:r>
            <w:r>
              <w:rPr>
                <w:rFonts w:hint="eastAsia"/>
                <w:bCs/>
                <w:sz w:val="24"/>
              </w:rPr>
              <w:t>、MnO</w:t>
            </w:r>
            <w:r>
              <w:rPr>
                <w:rFonts w:hint="eastAsia"/>
                <w:bCs/>
                <w:sz w:val="24"/>
                <w:vertAlign w:val="subscript"/>
              </w:rPr>
              <w:t>2</w:t>
            </w:r>
            <w:r>
              <w:rPr>
                <w:rFonts w:hint="eastAsia"/>
                <w:bCs/>
                <w:sz w:val="24"/>
              </w:rPr>
              <w:t>等金属粉尘和CO、O</w:t>
            </w:r>
            <w:r>
              <w:rPr>
                <w:rFonts w:hint="eastAsia"/>
                <w:bCs/>
                <w:sz w:val="24"/>
                <w:vertAlign w:val="subscript"/>
              </w:rPr>
              <w:t>3</w:t>
            </w:r>
            <w:r>
              <w:rPr>
                <w:rFonts w:hint="eastAsia"/>
                <w:bCs/>
                <w:sz w:val="24"/>
              </w:rPr>
              <w:t>、NO</w:t>
            </w:r>
            <w:r>
              <w:rPr>
                <w:rFonts w:hint="eastAsia"/>
                <w:bCs/>
                <w:sz w:val="24"/>
                <w:vertAlign w:val="subscript"/>
              </w:rPr>
              <w:t>X</w:t>
            </w:r>
            <w:r>
              <w:rPr>
                <w:rFonts w:hint="eastAsia"/>
                <w:bCs/>
                <w:sz w:val="24"/>
              </w:rPr>
              <w:t>等气体。</w:t>
            </w:r>
          </w:p>
          <w:p>
            <w:pPr>
              <w:pStyle w:val="158"/>
              <w:ind w:firstLine="48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4）</w:t>
            </w:r>
            <w:r>
              <w:rPr>
                <w:rFonts w:hint="eastAsia"/>
                <w:b/>
                <w:bCs/>
                <w:color w:val="000000" w:themeColor="text1"/>
                <w14:textFill>
                  <w14:solidFill>
                    <w14:schemeClr w14:val="tx1"/>
                  </w14:solidFill>
                </w14:textFill>
              </w:rPr>
              <w:t>油烟废气</w:t>
            </w:r>
          </w:p>
          <w:p>
            <w:pPr>
              <w:pStyle w:val="22"/>
              <w:spacing w:line="360" w:lineRule="auto"/>
              <w:ind w:firstLine="480"/>
            </w:pPr>
            <w:r>
              <w:rPr>
                <w:rFonts w:ascii="Times New Roman" w:hAnsi="Times New Roman"/>
                <w:color w:val="000000" w:themeColor="text1"/>
                <w:sz w:val="24"/>
                <w14:textFill>
                  <w14:solidFill>
                    <w14:schemeClr w14:val="tx1"/>
                  </w14:solidFill>
                </w14:textFill>
              </w:rPr>
              <w:t>本项目设置员工40人，均在厂区内食宿，厨房采用液化石油气为燃料，液化石油气为清洁能源，污染物产生量很少。一般食堂的食用油耗油系数为3kg/100人·d，则本项目一天的食用油新增用量约为1.20kg，油烟和油的挥发量占总耗油量的2％～4％之间，取其均值3％，则油烟的产生量约为0.0108t/a（年工作日以300天计）。食堂油烟设置高效油烟净化器对其进行处理，高效油烟处理器对油烟的处理效率＞75%，则油烟处理效率取75%，</w:t>
            </w:r>
            <w:r>
              <w:rPr>
                <w:rFonts w:hint="eastAsia" w:ascii="Times New Roman" w:hAnsi="Times New Roman"/>
                <w:color w:val="000000" w:themeColor="text1"/>
                <w:sz w:val="24"/>
                <w14:textFill>
                  <w14:solidFill>
                    <w14:schemeClr w14:val="tx1"/>
                  </w14:solidFill>
                </w14:textFill>
              </w:rPr>
              <w:t>项目</w:t>
            </w:r>
            <w:r>
              <w:rPr>
                <w:rFonts w:ascii="Times New Roman" w:hAnsi="Times New Roman"/>
                <w:color w:val="000000" w:themeColor="text1"/>
                <w:sz w:val="24"/>
                <w14:textFill>
                  <w14:solidFill>
                    <w14:schemeClr w14:val="tx1"/>
                  </w14:solidFill>
                </w14:textFill>
              </w:rPr>
              <w:t>新增油烟排放量约为0.0027t/a。</w:t>
            </w:r>
          </w:p>
          <w:p>
            <w:pPr>
              <w:tabs>
                <w:tab w:val="left" w:pos="7437"/>
              </w:tabs>
              <w:spacing w:line="360" w:lineRule="auto"/>
              <w:ind w:firstLine="482" w:firstLineChars="200"/>
              <w:rPr>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w:t>
            </w:r>
            <w:r>
              <w:rPr>
                <w:b/>
                <w:bCs/>
                <w:color w:val="000000" w:themeColor="text1"/>
                <w:sz w:val="24"/>
                <w14:textFill>
                  <w14:solidFill>
                    <w14:schemeClr w14:val="tx1"/>
                  </w14:solidFill>
                </w14:textFill>
              </w:rPr>
              <w:t>收集情况</w:t>
            </w:r>
          </w:p>
          <w:p>
            <w:pPr>
              <w:tabs>
                <w:tab w:val="left" w:pos="7437"/>
              </w:tabs>
              <w:spacing w:line="360" w:lineRule="auto"/>
              <w:ind w:firstLine="482" w:firstLineChars="200"/>
              <w:rPr>
                <w:b/>
                <w:sz w:val="24"/>
              </w:rPr>
            </w:pPr>
            <w:r>
              <w:rPr>
                <w:rFonts w:hint="eastAsia"/>
                <w:b/>
                <w:bCs/>
                <w:color w:val="000000" w:themeColor="text1"/>
                <w:sz w:val="24"/>
                <w14:textFill>
                  <w14:solidFill>
                    <w14:schemeClr w14:val="tx1"/>
                  </w14:solidFill>
                </w14:textFill>
              </w:rPr>
              <w:t>①</w:t>
            </w:r>
            <w:r>
              <w:rPr>
                <w:rFonts w:hint="eastAsia"/>
                <w:b/>
                <w:sz w:val="24"/>
              </w:rPr>
              <w:t>开料、雕刻、打磨</w:t>
            </w:r>
            <w:r>
              <w:rPr>
                <w:rFonts w:hint="eastAsia"/>
                <w:b/>
                <w:color w:val="000000" w:themeColor="text1"/>
                <w:sz w:val="24"/>
                <w14:textFill>
                  <w14:solidFill>
                    <w14:schemeClr w14:val="tx1"/>
                  </w14:solidFill>
                </w14:textFill>
              </w:rPr>
              <w:t>、切割工序废气</w:t>
            </w:r>
            <w:r>
              <w:rPr>
                <w:rFonts w:hint="eastAsia"/>
                <w:b/>
                <w:sz w:val="24"/>
              </w:rPr>
              <w:t>收集装置</w:t>
            </w:r>
          </w:p>
          <w:p>
            <w:pPr>
              <w:tabs>
                <w:tab w:val="left" w:pos="7437"/>
              </w:tabs>
              <w:spacing w:line="360" w:lineRule="auto"/>
              <w:ind w:firstLine="480" w:firstLineChars="200"/>
            </w:pPr>
            <w:r>
              <w:rPr>
                <w:rFonts w:hint="eastAsia"/>
                <w:bCs/>
                <w:sz w:val="24"/>
              </w:rPr>
              <w:t>项目</w:t>
            </w:r>
            <w:r>
              <w:rPr>
                <w:bCs/>
                <w:sz w:val="24"/>
              </w:rPr>
              <w:t>设置</w:t>
            </w:r>
            <w:r>
              <w:rPr>
                <w:rFonts w:hint="eastAsia"/>
                <w:bCs/>
                <w:sz w:val="24"/>
              </w:rPr>
              <w:t>集气罩对开料、雕刻、</w:t>
            </w:r>
            <w:r>
              <w:rPr>
                <w:bCs/>
                <w:sz w:val="24"/>
              </w:rPr>
              <w:t>打磨</w:t>
            </w:r>
            <w:r>
              <w:rPr>
                <w:rFonts w:hint="eastAsia"/>
                <w:bCs/>
                <w:sz w:val="24"/>
              </w:rPr>
              <w:t>、切割</w:t>
            </w:r>
            <w:r>
              <w:rPr>
                <w:bCs/>
                <w:sz w:val="24"/>
              </w:rPr>
              <w:t>工序产生的粉尘进行收集，</w:t>
            </w:r>
            <w:r>
              <w:rPr>
                <w:rFonts w:hint="eastAsia"/>
                <w:bCs/>
                <w:sz w:val="24"/>
              </w:rPr>
              <w:t>根据《局部排气罩的捕集效率实验》（彭泰瑶、邵强）中表3平面发生源时罩子的捕集效率，在距离0.3m，风速在1m/s的情况下，捕集效率为78.3%，开料、雕刻、打磨、切割位距离吸气口约0.4m，风速约0.5m/s，捕集效率保守取60%。开料、雕刻、打磨、切割工序废气处理装置收集风量为1</w:t>
            </w:r>
            <w:r>
              <w:rPr>
                <w:bCs/>
                <w:sz w:val="24"/>
              </w:rPr>
              <w:t>5000</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w:t>
            </w:r>
            <w:r>
              <w:rPr>
                <w:color w:val="000000" w:themeColor="text1"/>
                <w:sz w:val="24"/>
                <w14:textFill>
                  <w14:solidFill>
                    <w14:schemeClr w14:val="tx1"/>
                  </w14:solidFill>
                </w14:textFill>
              </w:rPr>
              <w:t>收集后引至一套</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布袋除尘</w:t>
            </w:r>
            <w:r>
              <w:rPr>
                <w:bCs/>
                <w:color w:val="000000" w:themeColor="text1"/>
                <w:sz w:val="24"/>
                <w14:textFill>
                  <w14:solidFill>
                    <w14:schemeClr w14:val="tx1"/>
                  </w14:solidFill>
                </w14:textFill>
              </w:rPr>
              <w:t>”装置进行处理，处理达标后经15m高排气筒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1</w:t>
            </w:r>
            <w:r>
              <w:rPr>
                <w:bCs/>
                <w:color w:val="000000" w:themeColor="text1"/>
                <w:sz w:val="24"/>
                <w14:textFill>
                  <w14:solidFill>
                    <w14:schemeClr w14:val="tx1"/>
                  </w14:solidFill>
                </w14:textFill>
              </w:rPr>
              <w:t>排放。</w:t>
            </w:r>
          </w:p>
          <w:p>
            <w:pPr>
              <w:tabs>
                <w:tab w:val="left" w:pos="7437"/>
              </w:tabs>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②调漆、喷漆、晾干</w:t>
            </w:r>
            <w:r>
              <w:rPr>
                <w:b/>
                <w:bCs/>
                <w:color w:val="000000" w:themeColor="text1"/>
                <w:sz w:val="24"/>
                <w14:textFill>
                  <w14:solidFill>
                    <w14:schemeClr w14:val="tx1"/>
                  </w14:solidFill>
                </w14:textFill>
              </w:rPr>
              <w:t>工序</w:t>
            </w:r>
            <w:r>
              <w:rPr>
                <w:rFonts w:hint="eastAsia"/>
                <w:b/>
                <w:bCs/>
                <w:color w:val="000000" w:themeColor="text1"/>
                <w:sz w:val="24"/>
                <w14:textFill>
                  <w14:solidFill>
                    <w14:schemeClr w14:val="tx1"/>
                  </w14:solidFill>
                </w14:textFill>
              </w:rPr>
              <w:t>废气收集装置</w:t>
            </w:r>
          </w:p>
          <w:p>
            <w:pPr>
              <w:tabs>
                <w:tab w:val="left" w:pos="7437"/>
              </w:tabs>
              <w:spacing w:line="360" w:lineRule="auto"/>
              <w:ind w:firstLine="480" w:firstLineChars="200"/>
              <w:rPr>
                <w:bCs/>
                <w:color w:val="000000" w:themeColor="text1"/>
                <w:sz w:val="24"/>
                <w14:textFill>
                  <w14:solidFill>
                    <w14:schemeClr w14:val="tx1"/>
                  </w14:solidFill>
                </w14:textFill>
              </w:rPr>
            </w:pPr>
            <w:r>
              <w:rPr>
                <w:color w:val="000000" w:themeColor="text1"/>
                <w:sz w:val="24"/>
                <w14:textFill>
                  <w14:solidFill>
                    <w14:schemeClr w14:val="tx1"/>
                  </w14:solidFill>
                </w14:textFill>
              </w:rPr>
              <w:t>有机废气主要为气态的挥发性有机物，</w:t>
            </w:r>
            <w:r>
              <w:rPr>
                <w:rFonts w:hint="eastAsia"/>
                <w:color w:val="000000" w:themeColor="text1"/>
                <w:sz w:val="24"/>
                <w14:textFill>
                  <w14:solidFill>
                    <w14:schemeClr w14:val="tx1"/>
                  </w14:solidFill>
                </w14:textFill>
              </w:rPr>
              <w:t>喷漆</w:t>
            </w:r>
            <w:r>
              <w:rPr>
                <w:color w:val="000000" w:themeColor="text1"/>
                <w:sz w:val="24"/>
                <w14:textFill>
                  <w14:solidFill>
                    <w14:schemeClr w14:val="tx1"/>
                  </w14:solidFill>
                </w14:textFill>
              </w:rPr>
              <w:t>工序在</w:t>
            </w:r>
            <w:r>
              <w:rPr>
                <w:rFonts w:hint="eastAsia"/>
                <w:color w:val="000000" w:themeColor="text1"/>
                <w:sz w:val="24"/>
                <w14:textFill>
                  <w14:solidFill>
                    <w14:schemeClr w14:val="tx1"/>
                  </w14:solidFill>
                </w14:textFill>
              </w:rPr>
              <w:t>喷涂喷柜</w:t>
            </w:r>
            <w:r>
              <w:rPr>
                <w:color w:val="000000" w:themeColor="text1"/>
                <w:sz w:val="24"/>
                <w14:textFill>
                  <w14:solidFill>
                    <w14:schemeClr w14:val="tx1"/>
                  </w14:solidFill>
                </w14:textFill>
              </w:rPr>
              <w:t>上完成，</w:t>
            </w:r>
            <w:r>
              <w:rPr>
                <w:rFonts w:hint="eastAsia"/>
                <w:color w:val="000000" w:themeColor="text1"/>
                <w:sz w:val="24"/>
                <w14:textFill>
                  <w14:solidFill>
                    <w14:schemeClr w14:val="tx1"/>
                  </w14:solidFill>
                </w14:textFill>
              </w:rPr>
              <w:t>晾干工序在晾干房内完成。项目设置密闭负压车间，</w:t>
            </w:r>
            <w:r>
              <w:rPr>
                <w:bCs/>
                <w:color w:val="000000" w:themeColor="text1"/>
                <w:sz w:val="24"/>
                <w14:textFill>
                  <w14:solidFill>
                    <w14:schemeClr w14:val="tx1"/>
                  </w14:solidFill>
                </w14:textFill>
              </w:rPr>
              <w:t>为保证废气的捕集效率，建设单位拟采取的措施包括：①</w:t>
            </w:r>
            <w:r>
              <w:rPr>
                <w:color w:val="000000" w:themeColor="text1"/>
                <w:sz w:val="24"/>
                <w14:textFill>
                  <w14:solidFill>
                    <w14:schemeClr w14:val="tx1"/>
                  </w14:solidFill>
                </w14:textFill>
              </w:rPr>
              <w:t>采用全密封设备/空间——单层密闭负压（总VOCs产生源设置在密闭车间、密闭设备、密闭管道内，所有开口处，包括人员或物料进出口处呈负压）</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参</w:t>
            </w:r>
            <w:r>
              <w:rPr>
                <w:rFonts w:hint="eastAsia"/>
                <w:color w:val="000000" w:themeColor="text1"/>
                <w:sz w:val="24"/>
                <w14:textFill>
                  <w14:solidFill>
                    <w14:schemeClr w14:val="tx1"/>
                  </w14:solidFill>
                </w14:textFill>
              </w:rPr>
              <w:t>考《</w:t>
            </w:r>
            <w:r>
              <w:rPr>
                <w:color w:val="000000" w:themeColor="text1"/>
                <w:sz w:val="24"/>
                <w14:textFill>
                  <w14:solidFill>
                    <w14:schemeClr w14:val="tx1"/>
                  </w14:solidFill>
                </w14:textFill>
              </w:rPr>
              <w:t>广东省工业源挥发性有机物减排量核算方法（试行）》（粤环办[2021]92号）废气收集集气效率参考值</w:t>
            </w:r>
            <w:r>
              <w:rPr>
                <w:rFonts w:hint="eastAsia"/>
                <w:color w:val="000000" w:themeColor="text1"/>
                <w:sz w:val="24"/>
                <w14:textFill>
                  <w14:solidFill>
                    <w14:schemeClr w14:val="tx1"/>
                  </w14:solidFill>
                </w14:textFill>
              </w:rPr>
              <w:t>，集气效率参考值为95%，故本评价保守取90%计算</w:t>
            </w:r>
            <w:r>
              <w:rPr>
                <w:bCs/>
                <w:color w:val="000000" w:themeColor="text1"/>
                <w:sz w:val="24"/>
                <w14:textFill>
                  <w14:solidFill>
                    <w14:schemeClr w14:val="tx1"/>
                  </w14:solidFill>
                </w14:textFill>
              </w:rPr>
              <w:t>；</w:t>
            </w:r>
            <w:r>
              <w:rPr>
                <w:rFonts w:hint="eastAsia" w:ascii="宋体" w:hAnsi="宋体" w:cs="宋体"/>
                <w:color w:val="000000" w:themeColor="text1"/>
                <w:sz w:val="24"/>
                <w14:textFill>
                  <w14:solidFill>
                    <w14:schemeClr w14:val="tx1"/>
                  </w14:solidFill>
                </w14:textFill>
              </w:rPr>
              <w:t>②</w:t>
            </w:r>
            <w:r>
              <w:rPr>
                <w:rFonts w:hint="eastAsia"/>
                <w:color w:val="000000" w:themeColor="text1"/>
                <w:sz w:val="24"/>
                <w14:textFill>
                  <w14:solidFill>
                    <w14:schemeClr w14:val="tx1"/>
                  </w14:solidFill>
                </w14:textFill>
              </w:rPr>
              <w:t>负压</w:t>
            </w:r>
            <w:r>
              <w:rPr>
                <w:color w:val="000000" w:themeColor="text1"/>
                <w:sz w:val="24"/>
                <w14:textFill>
                  <w14:solidFill>
                    <w14:schemeClr w14:val="tx1"/>
                  </w14:solidFill>
                </w14:textFill>
              </w:rPr>
              <w:t>收集后引至一套</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水喷淋+过滤除雾器+二级活性炭吸附</w:t>
            </w:r>
            <w:r>
              <w:rPr>
                <w:bCs/>
                <w:color w:val="000000" w:themeColor="text1"/>
                <w:sz w:val="24"/>
                <w14:textFill>
                  <w14:solidFill>
                    <w14:schemeClr w14:val="tx1"/>
                  </w14:solidFill>
                </w14:textFill>
              </w:rPr>
              <w:t>”装置进行处理，处理达标后经15m高排气筒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w:t>
            </w:r>
            <w:r>
              <w:rPr>
                <w:bCs/>
                <w:color w:val="000000" w:themeColor="text1"/>
                <w:sz w:val="24"/>
                <w14:textFill>
                  <w14:solidFill>
                    <w14:schemeClr w14:val="tx1"/>
                  </w14:solidFill>
                </w14:textFill>
              </w:rPr>
              <w:t>排放。</w:t>
            </w:r>
          </w:p>
          <w:p>
            <w:pPr>
              <w:tabs>
                <w:tab w:val="left" w:pos="7437"/>
              </w:tabs>
              <w:spacing w:line="360" w:lineRule="auto"/>
              <w:ind w:firstLine="480" w:firstLineChars="200"/>
              <w:rPr>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项目喷漆、晾干废气风量计算：项目</w:t>
            </w:r>
            <w:r>
              <w:rPr>
                <w:rFonts w:hint="eastAsia"/>
                <w:color w:val="000000" w:themeColor="text1"/>
                <w:sz w:val="24"/>
                <w14:textFill>
                  <w14:solidFill>
                    <w14:schemeClr w14:val="tx1"/>
                  </w14:solidFill>
                </w14:textFill>
              </w:rPr>
              <w:t>调漆在喷漆房内进行，两个喷漆房区域为</w:t>
            </w:r>
            <w:r>
              <w:rPr>
                <w:color w:val="000000" w:themeColor="text1"/>
                <w:sz w:val="24"/>
                <w14:textFill>
                  <w14:solidFill>
                    <w14:schemeClr w14:val="tx1"/>
                  </w14:solidFill>
                </w14:textFill>
              </w:rPr>
              <w:t>112m</w:t>
            </w:r>
            <w:r>
              <w:rPr>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、晾干房</w:t>
            </w:r>
            <w:r>
              <w:rPr>
                <w:color w:val="000000" w:themeColor="text1"/>
                <w:sz w:val="24"/>
                <w14:textFill>
                  <w14:solidFill>
                    <w14:schemeClr w14:val="tx1"/>
                  </w14:solidFill>
                </w14:textFill>
              </w:rPr>
              <w:t>42m</w:t>
            </w:r>
            <w:r>
              <w:rPr>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共</w:t>
            </w:r>
            <w:r>
              <w:rPr>
                <w:color w:val="000000" w:themeColor="text1"/>
                <w:sz w:val="24"/>
                <w14:textFill>
                  <w14:solidFill>
                    <w14:schemeClr w14:val="tx1"/>
                  </w14:solidFill>
                </w14:textFill>
              </w:rPr>
              <w:t>154</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2</w:t>
            </w:r>
            <w:r>
              <w:rPr>
                <w:rFonts w:hint="eastAsia"/>
                <w:color w:val="000000" w:themeColor="text1"/>
                <w:sz w:val="24"/>
                <w14:textFill>
                  <w14:solidFill>
                    <w14:schemeClr w14:val="tx1"/>
                  </w14:solidFill>
                </w14:textFill>
              </w:rPr>
              <w:t>。各区域高度为4</w:t>
            </w:r>
            <w:r>
              <w:rPr>
                <w:color w:val="000000" w:themeColor="text1"/>
                <w:sz w:val="24"/>
                <w14:textFill>
                  <w14:solidFill>
                    <w14:schemeClr w14:val="tx1"/>
                  </w14:solidFill>
                </w14:textFill>
              </w:rPr>
              <w:t>m</w:t>
            </w:r>
            <w:r>
              <w:rPr>
                <w:rFonts w:hint="eastAsia"/>
                <w:color w:val="000000" w:themeColor="text1"/>
                <w:sz w:val="24"/>
                <w14:textFill>
                  <w14:solidFill>
                    <w14:schemeClr w14:val="tx1"/>
                  </w14:solidFill>
                </w14:textFill>
              </w:rPr>
              <w:t>；均在密闭条件下进行生产，车间废气呈负压收集，根据《涂装车间设计手册》和《广东省表面涂装（汽车制造）挥发性有机废气治理技术指南》（粤环</w:t>
            </w:r>
            <w:r>
              <w:rPr>
                <w:color w:val="000000" w:themeColor="text1"/>
                <w:sz w:val="24"/>
                <w14:textFill>
                  <w14:solidFill>
                    <w14:schemeClr w14:val="tx1"/>
                  </w14:solidFill>
                </w14:textFill>
              </w:rPr>
              <w:t xml:space="preserve">[2015]4 </w:t>
            </w:r>
            <w:r>
              <w:rPr>
                <w:rFonts w:hint="eastAsia"/>
                <w:color w:val="000000" w:themeColor="text1"/>
                <w:sz w:val="24"/>
                <w14:textFill>
                  <w14:solidFill>
                    <w14:schemeClr w14:val="tx1"/>
                  </w14:solidFill>
                </w14:textFill>
              </w:rPr>
              <w:t>号文）计算车间所需新风量和废气捕集率：</w:t>
            </w:r>
          </w:p>
          <w:p>
            <w:pPr>
              <w:tabs>
                <w:tab w:val="left" w:pos="7437"/>
              </w:tabs>
              <w:spacing w:line="360" w:lineRule="auto"/>
              <w:ind w:firstLine="480" w:firstLineChars="200"/>
              <w:jc w:val="center"/>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废气捕集率</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车间实际有组织排气量</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车间所需新风量</w:t>
            </w:r>
          </w:p>
          <w:p>
            <w:pPr>
              <w:tabs>
                <w:tab w:val="left" w:pos="7437"/>
              </w:tabs>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按照喷涂、晾干区域空间体积和1</w:t>
            </w:r>
            <w:r>
              <w:rPr>
                <w:color w:val="000000" w:themeColor="text1"/>
                <w:sz w:val="24"/>
                <w14:textFill>
                  <w14:solidFill>
                    <w14:schemeClr w14:val="tx1"/>
                  </w14:solidFill>
                </w14:textFill>
              </w:rPr>
              <w:t>5</w:t>
            </w:r>
            <w:r>
              <w:rPr>
                <w:rFonts w:hint="eastAsia"/>
                <w:color w:val="000000" w:themeColor="text1"/>
                <w:sz w:val="24"/>
                <w14:textFill>
                  <w14:solidFill>
                    <w14:schemeClr w14:val="tx1"/>
                  </w14:solidFill>
                </w14:textFill>
              </w:rPr>
              <w:t>次/小时换气次数计算新风量。项目喷涂、晾干区域所需风量</w:t>
            </w:r>
            <w:r>
              <w:rPr>
                <w:color w:val="000000" w:themeColor="text1"/>
                <w:sz w:val="24"/>
                <w14:textFill>
                  <w14:solidFill>
                    <w14:schemeClr w14:val="tx1"/>
                  </w14:solidFill>
                </w14:textFill>
              </w:rPr>
              <w:t>154</w:t>
            </w:r>
            <w:r>
              <w:rPr>
                <w:rFonts w:hint="eastAsia"/>
                <w:color w:val="000000" w:themeColor="text1"/>
                <w:sz w:val="24"/>
                <w14:textFill>
                  <w14:solidFill>
                    <w14:schemeClr w14:val="tx1"/>
                  </w14:solidFill>
                </w14:textFill>
              </w:rPr>
              <w:t>×4×15m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w:t>
            </w:r>
            <w:r>
              <w:rPr>
                <w:color w:val="000000" w:themeColor="text1"/>
                <w:sz w:val="24"/>
                <w14:textFill>
                  <w14:solidFill>
                    <w14:schemeClr w14:val="tx1"/>
                  </w14:solidFill>
                </w14:textFill>
              </w:rPr>
              <w:t>9240</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/h，考虑漏风损失，设计风量为</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0000m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w:t>
            </w:r>
            <w:r>
              <w:rPr>
                <w:color w:val="000000" w:themeColor="text1"/>
                <w:sz w:val="24"/>
                <w14:textFill>
                  <w14:solidFill>
                    <w14:schemeClr w14:val="tx1"/>
                  </w14:solidFill>
                </w14:textFill>
              </w:rPr>
              <w:t>。</w:t>
            </w:r>
          </w:p>
          <w:p>
            <w:pPr>
              <w:tabs>
                <w:tab w:val="left" w:pos="7437"/>
              </w:tabs>
              <w:spacing w:line="360" w:lineRule="auto"/>
              <w:ind w:firstLine="482" w:firstLineChars="200"/>
              <w:rPr>
                <w:b/>
                <w:sz w:val="24"/>
              </w:rPr>
            </w:pPr>
            <w:r>
              <w:rPr>
                <w:rFonts w:hint="eastAsia"/>
                <w:b/>
                <w:bCs/>
                <w:color w:val="000000" w:themeColor="text1"/>
                <w:sz w:val="24"/>
                <w14:textFill>
                  <w14:solidFill>
                    <w14:schemeClr w14:val="tx1"/>
                  </w14:solidFill>
                </w14:textFill>
              </w:rPr>
              <w:t>③</w:t>
            </w:r>
            <w:r>
              <w:rPr>
                <w:rFonts w:hint="eastAsia"/>
                <w:b/>
                <w:sz w:val="24"/>
              </w:rPr>
              <w:t>焊接工序废气收集装置</w:t>
            </w:r>
          </w:p>
          <w:p>
            <w:pPr>
              <w:tabs>
                <w:tab w:val="left" w:pos="7437"/>
              </w:tabs>
              <w:spacing w:line="360" w:lineRule="auto"/>
              <w:ind w:firstLine="480" w:firstLineChars="200"/>
            </w:pPr>
            <w:r>
              <w:rPr>
                <w:rFonts w:hint="eastAsia"/>
                <w:bCs/>
                <w:sz w:val="24"/>
              </w:rPr>
              <w:t>项目</w:t>
            </w:r>
            <w:r>
              <w:rPr>
                <w:bCs/>
                <w:sz w:val="24"/>
              </w:rPr>
              <w:t>设置</w:t>
            </w:r>
            <w:r>
              <w:rPr>
                <w:rFonts w:hint="eastAsia"/>
                <w:bCs/>
                <w:sz w:val="24"/>
              </w:rPr>
              <w:t>集气罩对焊接</w:t>
            </w:r>
            <w:r>
              <w:rPr>
                <w:bCs/>
                <w:sz w:val="24"/>
              </w:rPr>
              <w:t>工序产生的</w:t>
            </w:r>
            <w:r>
              <w:rPr>
                <w:rFonts w:hint="eastAsia"/>
                <w:bCs/>
                <w:sz w:val="24"/>
              </w:rPr>
              <w:t>焊接烟尘</w:t>
            </w:r>
            <w:r>
              <w:rPr>
                <w:bCs/>
                <w:sz w:val="24"/>
              </w:rPr>
              <w:t>进行收集，</w:t>
            </w:r>
            <w:r>
              <w:rPr>
                <w:rFonts w:hint="eastAsia"/>
                <w:bCs/>
                <w:sz w:val="24"/>
              </w:rPr>
              <w:t>参考《移动式焊烟净化机的发展方向》（陈伟馨等，电焊机第42卷第2期，2012年2月），移动式焊烟净化机的吸尘效率平均为84%，移动式焊接烟尘净化器吸气罩需要人工操作，考虑本项目实际操作过程与参考文献差异，本项目焊接烟尘的收集效率取80%。焊接工序废气处理装置收集风量为</w:t>
            </w:r>
            <w:r>
              <w:rPr>
                <w:bCs/>
                <w:sz w:val="24"/>
              </w:rPr>
              <w:t>5000</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/h，</w:t>
            </w:r>
            <w:r>
              <w:rPr>
                <w:color w:val="000000" w:themeColor="text1"/>
                <w:sz w:val="24"/>
                <w14:textFill>
                  <w14:solidFill>
                    <w14:schemeClr w14:val="tx1"/>
                  </w14:solidFill>
                </w14:textFill>
              </w:rPr>
              <w:t>收集后引至一套</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焊接烟尘净化器</w:t>
            </w:r>
            <w:r>
              <w:rPr>
                <w:bCs/>
                <w:color w:val="000000" w:themeColor="text1"/>
                <w:sz w:val="24"/>
                <w14:textFill>
                  <w14:solidFill>
                    <w14:schemeClr w14:val="tx1"/>
                  </w14:solidFill>
                </w14:textFill>
              </w:rPr>
              <w:t>”装置进行处理，处理达标后经15m高排气筒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3</w:t>
            </w:r>
            <w:r>
              <w:rPr>
                <w:bCs/>
                <w:color w:val="000000" w:themeColor="text1"/>
                <w:sz w:val="24"/>
                <w14:textFill>
                  <w14:solidFill>
                    <w14:schemeClr w14:val="tx1"/>
                  </w14:solidFill>
                </w14:textFill>
              </w:rPr>
              <w:t>排放。</w:t>
            </w:r>
          </w:p>
          <w:p>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（3）</w:t>
            </w:r>
            <w:r>
              <w:rPr>
                <w:b/>
                <w:color w:val="000000" w:themeColor="text1"/>
                <w:sz w:val="24"/>
                <w14:textFill>
                  <w14:solidFill>
                    <w14:schemeClr w14:val="tx1"/>
                  </w14:solidFill>
                </w14:textFill>
              </w:rPr>
              <w:t>处理排放情况</w:t>
            </w:r>
          </w:p>
          <w:p>
            <w:pPr>
              <w:spacing w:line="360" w:lineRule="auto"/>
              <w:ind w:firstLine="482" w:firstLineChars="200"/>
              <w:rPr>
                <w:b/>
                <w:bCs/>
                <w:color w:val="000000" w:themeColor="text1"/>
                <w:sz w:val="24"/>
                <w14:textFill>
                  <w14:solidFill>
                    <w14:schemeClr w14:val="tx1"/>
                  </w14:solidFill>
                </w14:textFill>
              </w:rPr>
            </w:pPr>
            <w:r>
              <w:rPr>
                <w:rFonts w:hint="eastAsia"/>
                <w:b/>
                <w:bCs/>
                <w:sz w:val="24"/>
                <w:szCs w:val="32"/>
              </w:rPr>
              <w:t>①开料、雕刻、</w:t>
            </w:r>
            <w:r>
              <w:rPr>
                <w:rFonts w:hint="eastAsia"/>
                <w:b/>
                <w:bCs/>
                <w:color w:val="000000" w:themeColor="text1"/>
                <w:sz w:val="24"/>
                <w14:textFill>
                  <w14:solidFill>
                    <w14:schemeClr w14:val="tx1"/>
                  </w14:solidFill>
                </w14:textFill>
              </w:rPr>
              <w:t>打磨、切割</w:t>
            </w:r>
            <w:r>
              <w:rPr>
                <w:b/>
                <w:bCs/>
                <w:color w:val="000000" w:themeColor="text1"/>
                <w:sz w:val="24"/>
                <w14:textFill>
                  <w14:solidFill>
                    <w14:schemeClr w14:val="tx1"/>
                  </w14:solidFill>
                </w14:textFill>
              </w:rPr>
              <w:t>工序产生的</w:t>
            </w:r>
            <w:r>
              <w:rPr>
                <w:rFonts w:hint="eastAsia"/>
                <w:b/>
                <w:bCs/>
                <w:color w:val="000000" w:themeColor="text1"/>
                <w:sz w:val="24"/>
                <w14:textFill>
                  <w14:solidFill>
                    <w14:schemeClr w14:val="tx1"/>
                  </w14:solidFill>
                </w14:textFill>
              </w:rPr>
              <w:t>粉尘的处理</w:t>
            </w:r>
          </w:p>
          <w:p>
            <w:pPr>
              <w:spacing w:line="360" w:lineRule="auto"/>
              <w:ind w:firstLine="480" w:firstLineChars="200"/>
              <w:rPr>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项目车间内</w:t>
            </w:r>
            <w:r>
              <w:rPr>
                <w:bCs/>
                <w:color w:val="000000" w:themeColor="text1"/>
                <w:sz w:val="24"/>
                <w14:textFill>
                  <w14:solidFill>
                    <w14:schemeClr w14:val="tx1"/>
                  </w14:solidFill>
                </w14:textFill>
              </w:rPr>
              <w:t>设置</w:t>
            </w:r>
            <w:r>
              <w:rPr>
                <w:rFonts w:hint="eastAsia"/>
                <w:bCs/>
                <w:color w:val="000000" w:themeColor="text1"/>
                <w:sz w:val="24"/>
                <w14:textFill>
                  <w14:solidFill>
                    <w14:schemeClr w14:val="tx1"/>
                  </w14:solidFill>
                </w14:textFill>
              </w:rPr>
              <w:t>集气罩对开料、雕刻、</w:t>
            </w:r>
            <w:r>
              <w:rPr>
                <w:bCs/>
                <w:color w:val="000000" w:themeColor="text1"/>
                <w:sz w:val="24"/>
                <w14:textFill>
                  <w14:solidFill>
                    <w14:schemeClr w14:val="tx1"/>
                  </w14:solidFill>
                </w14:textFill>
              </w:rPr>
              <w:t>打磨</w:t>
            </w:r>
            <w:r>
              <w:rPr>
                <w:rFonts w:hint="eastAsia"/>
                <w:bCs/>
                <w:color w:val="000000" w:themeColor="text1"/>
                <w:sz w:val="24"/>
                <w14:textFill>
                  <w14:solidFill>
                    <w14:schemeClr w14:val="tx1"/>
                  </w14:solidFill>
                </w14:textFill>
              </w:rPr>
              <w:t>、切割</w:t>
            </w:r>
            <w:r>
              <w:rPr>
                <w:bCs/>
                <w:color w:val="000000" w:themeColor="text1"/>
                <w:sz w:val="24"/>
                <w14:textFill>
                  <w14:solidFill>
                    <w14:schemeClr w14:val="tx1"/>
                  </w14:solidFill>
                </w14:textFill>
              </w:rPr>
              <w:t>工序产生的粉尘进行收集，</w:t>
            </w:r>
            <w:r>
              <w:rPr>
                <w:color w:val="000000" w:themeColor="text1"/>
                <w:sz w:val="24"/>
                <w14:textFill>
                  <w14:solidFill>
                    <w14:schemeClr w14:val="tx1"/>
                  </w14:solidFill>
                </w14:textFill>
              </w:rPr>
              <w:t>引至一套</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布袋除尘</w:t>
            </w:r>
            <w:r>
              <w:rPr>
                <w:bCs/>
                <w:color w:val="000000" w:themeColor="text1"/>
                <w:sz w:val="24"/>
                <w14:textFill>
                  <w14:solidFill>
                    <w14:schemeClr w14:val="tx1"/>
                  </w14:solidFill>
                </w14:textFill>
              </w:rPr>
              <w:t>”装置进行处理，处理达标后经15m高排气筒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1</w:t>
            </w:r>
            <w:r>
              <w:rPr>
                <w:bCs/>
                <w:color w:val="000000" w:themeColor="text1"/>
                <w:sz w:val="24"/>
                <w14:textFill>
                  <w14:solidFill>
                    <w14:schemeClr w14:val="tx1"/>
                  </w14:solidFill>
                </w14:textFill>
              </w:rPr>
              <w:t>排放。</w:t>
            </w:r>
            <w:r>
              <w:rPr>
                <w:color w:val="000000" w:themeColor="text1"/>
                <w:sz w:val="24"/>
                <w14:textFill>
                  <w14:solidFill>
                    <w14:schemeClr w14:val="tx1"/>
                  </w14:solidFill>
                </w14:textFill>
              </w:rPr>
              <w:t>根据</w:t>
            </w:r>
            <w:r>
              <w:rPr>
                <w:rFonts w:hint="eastAsia"/>
                <w:color w:val="000000" w:themeColor="text1"/>
                <w:sz w:val="24"/>
                <w14:textFill>
                  <w14:solidFill>
                    <w14:schemeClr w14:val="tx1"/>
                  </w14:solidFill>
                </w14:textFill>
              </w:rPr>
              <w:t>《第二次全国污染源普查产排污系数手册——203木质制品制行业系数手册》中“203木质制品制造行业系数表”袋式</w:t>
            </w:r>
            <w:r>
              <w:rPr>
                <w:color w:val="000000" w:themeColor="text1"/>
                <w:sz w:val="24"/>
                <w14:textFill>
                  <w14:solidFill>
                    <w14:schemeClr w14:val="tx1"/>
                  </w14:solidFill>
                </w14:textFill>
              </w:rPr>
              <w:t>除尘器的除尘效率</w:t>
            </w:r>
            <w:r>
              <w:rPr>
                <w:rFonts w:hint="eastAsia"/>
                <w:color w:val="000000" w:themeColor="text1"/>
                <w:sz w:val="24"/>
                <w14:textFill>
                  <w14:solidFill>
                    <w14:schemeClr w14:val="tx1"/>
                  </w14:solidFill>
                </w14:textFill>
              </w:rPr>
              <w:t>为</w:t>
            </w:r>
            <w:r>
              <w:rPr>
                <w:color w:val="000000" w:themeColor="text1"/>
                <w:sz w:val="24"/>
                <w14:textFill>
                  <w14:solidFill>
                    <w14:schemeClr w14:val="tx1"/>
                  </w14:solidFill>
                </w14:textFill>
              </w:rPr>
              <w:t>90%，</w:t>
            </w:r>
            <w:r>
              <w:rPr>
                <w:rFonts w:hint="eastAsia"/>
                <w:color w:val="000000" w:themeColor="text1"/>
                <w:sz w:val="24"/>
                <w14:textFill>
                  <w14:solidFill>
                    <w14:schemeClr w14:val="tx1"/>
                  </w14:solidFill>
                </w14:textFill>
              </w:rPr>
              <w:t>项目布袋除尘器粉尘的去除效率取</w:t>
            </w:r>
            <w:r>
              <w:rPr>
                <w:color w:val="000000" w:themeColor="text1"/>
                <w:sz w:val="24"/>
                <w14:textFill>
                  <w14:solidFill>
                    <w14:schemeClr w14:val="tx1"/>
                  </w14:solidFill>
                </w14:textFill>
              </w:rPr>
              <w:t>90</w:t>
            </w:r>
            <w:r>
              <w:rPr>
                <w:rFonts w:hint="eastAsia"/>
                <w:color w:val="000000" w:themeColor="text1"/>
                <w:sz w:val="24"/>
                <w14:textFill>
                  <w14:solidFill>
                    <w14:schemeClr w14:val="tx1"/>
                  </w14:solidFill>
                </w14:textFill>
              </w:rPr>
              <w:t>%。集气罩未能收集到的粉尘将在车间沉降，参考《未纳入排污许可管理行业适用的排污系数、物料衡算方法（试行）》（原环境保护部公告 2017年第81号）中“47 锯材加工业”的系数，车间不装除尘设备的情况下，重力沉降法的效率约为85%。因此经过处理后粉尘有组织排放量为</w:t>
            </w:r>
            <w:r>
              <w:rPr>
                <w:color w:val="000000" w:themeColor="text1"/>
                <w:sz w:val="24"/>
                <w14:textFill>
                  <w14:solidFill>
                    <w14:schemeClr w14:val="tx1"/>
                  </w14:solidFill>
                </w14:textFill>
              </w:rPr>
              <w:t>0.3267</w:t>
            </w:r>
            <w:r>
              <w:rPr>
                <w:rFonts w:hint="eastAsia"/>
                <w:color w:val="000000" w:themeColor="text1"/>
                <w:sz w:val="24"/>
                <w14:textFill>
                  <w14:solidFill>
                    <w14:schemeClr w14:val="tx1"/>
                  </w14:solidFill>
                </w14:textFill>
              </w:rPr>
              <w:t>t/a，排放速率为</w:t>
            </w:r>
            <w:r>
              <w:rPr>
                <w:color w:val="000000" w:themeColor="text1"/>
                <w:sz w:val="24"/>
                <w14:textFill>
                  <w14:solidFill>
                    <w14:schemeClr w14:val="tx1"/>
                  </w14:solidFill>
                </w14:textFill>
              </w:rPr>
              <w:t>0.136</w:t>
            </w:r>
            <w:r>
              <w:rPr>
                <w:rFonts w:hint="eastAsia"/>
                <w:color w:val="000000" w:themeColor="text1"/>
                <w:sz w:val="24"/>
                <w14:textFill>
                  <w14:solidFill>
                    <w14:schemeClr w14:val="tx1"/>
                  </w14:solidFill>
                </w14:textFill>
              </w:rPr>
              <w:t>kg/h，排放浓度为</w:t>
            </w:r>
            <w:r>
              <w:rPr>
                <w:color w:val="000000" w:themeColor="text1"/>
                <w:sz w:val="24"/>
                <w14:textFill>
                  <w14:solidFill>
                    <w14:schemeClr w14:val="tx1"/>
                  </w14:solidFill>
                </w14:textFill>
              </w:rPr>
              <w:t>9.08</w:t>
            </w:r>
            <w:r>
              <w:rPr>
                <w:rFonts w:hint="eastAsia"/>
                <w:color w:val="000000" w:themeColor="text1"/>
                <w:sz w:val="24"/>
                <w14:textFill>
                  <w14:solidFill>
                    <w14:schemeClr w14:val="tx1"/>
                  </w14:solidFill>
                </w14:textFill>
              </w:rPr>
              <w:t>mg/m³；无组织排放量为0.</w:t>
            </w:r>
            <w:r>
              <w:rPr>
                <w:color w:val="000000" w:themeColor="text1"/>
                <w:sz w:val="24"/>
                <w14:textFill>
                  <w14:solidFill>
                    <w14:schemeClr w14:val="tx1"/>
                  </w14:solidFill>
                </w14:textFill>
              </w:rPr>
              <w:t>3267</w:t>
            </w:r>
            <w:r>
              <w:rPr>
                <w:rFonts w:hint="eastAsia"/>
                <w:color w:val="000000" w:themeColor="text1"/>
                <w:sz w:val="24"/>
                <w14:textFill>
                  <w14:solidFill>
                    <w14:schemeClr w14:val="tx1"/>
                  </w14:solidFill>
                </w14:textFill>
              </w:rPr>
              <w:t>t/a，排放速率为</w:t>
            </w:r>
            <w:r>
              <w:rPr>
                <w:color w:val="000000" w:themeColor="text1"/>
                <w:sz w:val="24"/>
                <w14:textFill>
                  <w14:solidFill>
                    <w14:schemeClr w14:val="tx1"/>
                  </w14:solidFill>
                </w14:textFill>
              </w:rPr>
              <w:t>0.136</w:t>
            </w:r>
            <w:r>
              <w:rPr>
                <w:rFonts w:hint="eastAsia"/>
                <w:color w:val="000000" w:themeColor="text1"/>
                <w:sz w:val="24"/>
                <w14:textFill>
                  <w14:solidFill>
                    <w14:schemeClr w14:val="tx1"/>
                  </w14:solidFill>
                </w14:textFill>
              </w:rPr>
              <w:t>kg/h。</w:t>
            </w:r>
          </w:p>
          <w:p>
            <w:pPr>
              <w:pStyle w:val="47"/>
              <w:spacing w:line="360" w:lineRule="auto"/>
              <w:ind w:firstLine="482" w:firstLineChars="200"/>
              <w:rPr>
                <w:rFonts w:ascii="Times New Roman"/>
                <w:b/>
                <w:bCs/>
                <w:color w:val="000000" w:themeColor="text1"/>
                <w14:textFill>
                  <w14:solidFill>
                    <w14:schemeClr w14:val="tx1"/>
                  </w14:solidFill>
                </w14:textFill>
              </w:rPr>
            </w:pPr>
            <w:r>
              <w:rPr>
                <w:rFonts w:hint="eastAsia" w:ascii="Times New Roman"/>
                <w:b/>
                <w:bCs/>
                <w:color w:val="000000" w:themeColor="text1"/>
                <w14:textFill>
                  <w14:solidFill>
                    <w14:schemeClr w14:val="tx1"/>
                  </w14:solidFill>
                </w14:textFill>
              </w:rPr>
              <w:t>②调漆、喷漆、晾干工序产生的漆雾、有机废气的处理</w:t>
            </w:r>
          </w:p>
          <w:p>
            <w:pPr>
              <w:pStyle w:val="47"/>
              <w:spacing w:line="360" w:lineRule="auto"/>
              <w:ind w:firstLine="480" w:firstLineChars="200"/>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喷淋塔主要处理</w:t>
            </w:r>
            <w:r>
              <w:rPr>
                <w:rFonts w:hint="eastAsia" w:ascii="Times New Roman"/>
                <w:color w:val="000000" w:themeColor="text1"/>
                <w14:textFill>
                  <w14:solidFill>
                    <w14:schemeClr w14:val="tx1"/>
                  </w14:solidFill>
                </w14:textFill>
              </w:rPr>
              <w:t>喷涂</w:t>
            </w:r>
            <w:r>
              <w:rPr>
                <w:rFonts w:ascii="Times New Roman"/>
                <w:color w:val="000000" w:themeColor="text1"/>
                <w14:textFill>
                  <w14:solidFill>
                    <w14:schemeClr w14:val="tx1"/>
                  </w14:solidFill>
                </w14:textFill>
              </w:rPr>
              <w:t>产生的漆雾，根据《三废处理工程技术手册》（化工出版社）湿式除尘器的除尘效率一般在70%~99%，本</w:t>
            </w:r>
            <w:r>
              <w:rPr>
                <w:rFonts w:hint="eastAsia" w:ascii="Times New Roman"/>
                <w:color w:val="000000" w:themeColor="text1"/>
                <w14:textFill>
                  <w14:solidFill>
                    <w14:schemeClr w14:val="tx1"/>
                  </w14:solidFill>
                </w14:textFill>
              </w:rPr>
              <w:t>次</w:t>
            </w:r>
            <w:r>
              <w:rPr>
                <w:rFonts w:ascii="Times New Roman"/>
                <w:color w:val="000000" w:themeColor="text1"/>
                <w14:textFill>
                  <w14:solidFill>
                    <w14:schemeClr w14:val="tx1"/>
                  </w14:solidFill>
                </w14:textFill>
              </w:rPr>
              <w:t>环评喷淋塔的处理效率按</w:t>
            </w:r>
            <w:r>
              <w:rPr>
                <w:rFonts w:hint="eastAsia" w:ascii="Times New Roman"/>
                <w:color w:val="000000" w:themeColor="text1"/>
                <w14:textFill>
                  <w14:solidFill>
                    <w14:schemeClr w14:val="tx1"/>
                  </w14:solidFill>
                </w14:textFill>
              </w:rPr>
              <w:t>80</w:t>
            </w:r>
            <w:r>
              <w:rPr>
                <w:rFonts w:ascii="Times New Roman"/>
                <w:color w:val="000000" w:themeColor="text1"/>
                <w14:textFill>
                  <w14:solidFill>
                    <w14:schemeClr w14:val="tx1"/>
                  </w14:solidFill>
                </w14:textFill>
              </w:rPr>
              <w:t>%计算。</w:t>
            </w:r>
            <w:r>
              <w:rPr>
                <w:rFonts w:hint="eastAsia" w:ascii="Times New Roman"/>
                <w:color w:val="000000" w:themeColor="text1"/>
                <w14:textFill>
                  <w14:solidFill>
                    <w14:schemeClr w14:val="tx1"/>
                  </w14:solidFill>
                </w14:textFill>
              </w:rPr>
              <w:t>根据《广东省印刷、制鞋、家具、表面涂装（汽车制造）行业挥发性有机物总量减排核算 细则》中表 1-1 常见治理设施治理效率可知，吸附法对有机废气的处理效率约为45～80%，本项目取60%，“二级活性炭”吸附法对有机废气的处理效率约为85%；水喷淋对有机废气的处理效率约为5~15%，根据本项目的情况，吸收法对有机废气的处理效率约为10%，故“水喷淋+过滤除雾器+二级活性炭吸附”综合有机废气处理效率为86.5%，本项目取86%。废气</w:t>
            </w:r>
            <w:r>
              <w:rPr>
                <w:rFonts w:ascii="Times New Roman"/>
                <w:color w:val="000000" w:themeColor="text1"/>
                <w14:textFill>
                  <w14:solidFill>
                    <w14:schemeClr w14:val="tx1"/>
                  </w14:solidFill>
                </w14:textFill>
              </w:rPr>
              <w:t>先经过喷淋塔处理后，引至一套“水喷淋+</w:t>
            </w:r>
            <w:r>
              <w:rPr>
                <w:rFonts w:hint="eastAsia" w:ascii="Times New Roman"/>
                <w:color w:val="000000" w:themeColor="text1"/>
                <w14:textFill>
                  <w14:solidFill>
                    <w14:schemeClr w14:val="tx1"/>
                  </w14:solidFill>
                </w14:textFill>
              </w:rPr>
              <w:t>过滤除雾器+二级</w:t>
            </w:r>
            <w:r>
              <w:rPr>
                <w:rFonts w:ascii="Times New Roman"/>
                <w:color w:val="000000" w:themeColor="text1"/>
                <w14:textFill>
                  <w14:solidFill>
                    <w14:schemeClr w14:val="tx1"/>
                  </w14:solidFill>
                </w14:textFill>
              </w:rPr>
              <w:t>活性炭吸附”装置进行处理达标后，经15米高的排气筒</w:t>
            </w:r>
            <w:r>
              <w:rPr>
                <w:rFonts w:hint="eastAsia" w:ascii="Times New Roman"/>
                <w:color w:val="000000" w:themeColor="text1"/>
                <w14:textFill>
                  <w14:solidFill>
                    <w14:schemeClr w14:val="tx1"/>
                  </w14:solidFill>
                </w14:textFill>
              </w:rPr>
              <w:t>DA00</w:t>
            </w:r>
            <w:r>
              <w:rPr>
                <w:rFonts w:ascii="Times New Roman"/>
                <w:color w:val="000000" w:themeColor="text1"/>
                <w14:textFill>
                  <w14:solidFill>
                    <w14:schemeClr w14:val="tx1"/>
                  </w14:solidFill>
                </w14:textFill>
              </w:rPr>
              <w:t>2排放，排放风量为10</w:t>
            </w:r>
            <w:r>
              <w:rPr>
                <w:rFonts w:hint="eastAsia" w:ascii="Times New Roman"/>
                <w:color w:val="000000" w:themeColor="text1"/>
                <w14:textFill>
                  <w14:solidFill>
                    <w14:schemeClr w14:val="tx1"/>
                  </w14:solidFill>
                </w14:textFill>
              </w:rPr>
              <w:t>000</w:t>
            </w:r>
            <w:r>
              <w:rPr>
                <w:rFonts w:ascii="Times New Roman"/>
                <w:color w:val="000000" w:themeColor="text1"/>
                <w14:textFill>
                  <w14:solidFill>
                    <w14:schemeClr w14:val="tx1"/>
                  </w14:solidFill>
                </w14:textFill>
              </w:rPr>
              <w:t>m</w:t>
            </w:r>
            <w:r>
              <w:rPr>
                <w:rFonts w:ascii="Times New Roman"/>
                <w:color w:val="000000" w:themeColor="text1"/>
                <w:vertAlign w:val="superscript"/>
                <w14:textFill>
                  <w14:solidFill>
                    <w14:schemeClr w14:val="tx1"/>
                  </w14:solidFill>
                </w14:textFill>
              </w:rPr>
              <w:t>3</w:t>
            </w:r>
            <w:r>
              <w:rPr>
                <w:rFonts w:ascii="Times New Roman"/>
                <w:color w:val="000000" w:themeColor="text1"/>
                <w14:textFill>
                  <w14:solidFill>
                    <w14:schemeClr w14:val="tx1"/>
                  </w14:solidFill>
                </w14:textFill>
              </w:rPr>
              <w:t>/h；</w:t>
            </w:r>
          </w:p>
          <w:p>
            <w:pPr>
              <w:spacing w:line="360" w:lineRule="auto"/>
              <w:ind w:firstLine="480" w:firstLineChars="200"/>
              <w:rPr>
                <w:color w:val="000000" w:themeColor="text1"/>
                <w:sz w:val="24"/>
                <w14:textFill>
                  <w14:solidFill>
                    <w14:schemeClr w14:val="tx1"/>
                  </w14:solidFill>
                </w14:textFill>
              </w:rPr>
            </w:pPr>
            <w:r>
              <w:rPr>
                <w:bCs/>
                <w:color w:val="000000" w:themeColor="text1"/>
                <w:sz w:val="24"/>
                <w14:textFill>
                  <w14:solidFill>
                    <w14:schemeClr w14:val="tx1"/>
                  </w14:solidFill>
                </w14:textFill>
              </w:rPr>
              <w:t>废气</w:t>
            </w:r>
            <w:r>
              <w:rPr>
                <w:color w:val="000000" w:themeColor="text1"/>
                <w:sz w:val="24"/>
                <w14:textFill>
                  <w14:solidFill>
                    <w14:schemeClr w14:val="tx1"/>
                  </w14:solidFill>
                </w14:textFill>
              </w:rPr>
              <w:t>收集后进入</w:t>
            </w:r>
            <w:r>
              <w:rPr>
                <w:rFonts w:hint="eastAsia"/>
                <w:color w:val="000000" w:themeColor="text1"/>
                <w:sz w:val="24"/>
                <w14:textFill>
                  <w14:solidFill>
                    <w14:schemeClr w14:val="tx1"/>
                  </w14:solidFill>
                </w14:textFill>
              </w:rPr>
              <w:t>“水喷淋+过滤除雾器+二级活性炭”吸附法</w:t>
            </w:r>
            <w:r>
              <w:rPr>
                <w:color w:val="000000" w:themeColor="text1"/>
                <w:sz w:val="24"/>
                <w14:textFill>
                  <w14:solidFill>
                    <w14:schemeClr w14:val="tx1"/>
                  </w14:solidFill>
                </w14:textFill>
              </w:rPr>
              <w:t>装置处理后由15m排气筒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2排放，</w:t>
            </w:r>
            <w:r>
              <w:rPr>
                <w:rFonts w:hint="eastAsia"/>
                <w:color w:val="000000" w:themeColor="text1"/>
                <w:sz w:val="24"/>
                <w14:textFill>
                  <w14:solidFill>
                    <w14:schemeClr w14:val="tx1"/>
                  </w14:solidFill>
                </w14:textFill>
              </w:rPr>
              <w:t>废气</w:t>
            </w:r>
            <w:r>
              <w:rPr>
                <w:bCs/>
                <w:color w:val="000000" w:themeColor="text1"/>
                <w:sz w:val="24"/>
                <w14:textFill>
                  <w14:solidFill>
                    <w14:schemeClr w14:val="tx1"/>
                  </w14:solidFill>
                </w14:textFill>
              </w:rPr>
              <w:t>有组织</w:t>
            </w:r>
            <w:r>
              <w:rPr>
                <w:rFonts w:hint="eastAsia"/>
                <w:bCs/>
                <w:color w:val="000000" w:themeColor="text1"/>
                <w:sz w:val="24"/>
                <w14:textFill>
                  <w14:solidFill>
                    <w14:schemeClr w14:val="tx1"/>
                  </w14:solidFill>
                </w14:textFill>
              </w:rPr>
              <w:t>总VOC</w:t>
            </w:r>
            <w:r>
              <w:rPr>
                <w:bCs/>
                <w:color w:val="000000" w:themeColor="text1"/>
                <w:sz w:val="24"/>
                <w14:textFill>
                  <w14:solidFill>
                    <w14:schemeClr w14:val="tx1"/>
                  </w14:solidFill>
                </w14:textFill>
              </w:rPr>
              <w:t>s</w:t>
            </w:r>
            <w:r>
              <w:rPr>
                <w:rFonts w:hint="eastAsia"/>
                <w:color w:val="000000" w:themeColor="text1"/>
                <w:sz w:val="24"/>
                <w14:textFill>
                  <w14:solidFill>
                    <w14:schemeClr w14:val="tx1"/>
                  </w14:solidFill>
                </w14:textFill>
              </w:rPr>
              <w:t>排放量为0.</w:t>
            </w:r>
            <w:r>
              <w:rPr>
                <w:color w:val="000000" w:themeColor="text1"/>
                <w:sz w:val="24"/>
                <w14:textFill>
                  <w14:solidFill>
                    <w14:schemeClr w14:val="tx1"/>
                  </w14:solidFill>
                </w14:textFill>
              </w:rPr>
              <w:t>1631</w:t>
            </w:r>
            <w:r>
              <w:rPr>
                <w:rFonts w:hint="eastAsia"/>
                <w:color w:val="000000" w:themeColor="text1"/>
                <w:sz w:val="24"/>
                <w14:textFill>
                  <w14:solidFill>
                    <w14:schemeClr w14:val="tx1"/>
                  </w14:solidFill>
                </w14:textFill>
              </w:rPr>
              <w:t>t/a，排放速率为0.0</w:t>
            </w:r>
            <w:r>
              <w:rPr>
                <w:color w:val="000000" w:themeColor="text1"/>
                <w:sz w:val="24"/>
                <w14:textFill>
                  <w14:solidFill>
                    <w14:schemeClr w14:val="tx1"/>
                  </w14:solidFill>
                </w14:textFill>
              </w:rPr>
              <w:t>68</w:t>
            </w:r>
            <w:r>
              <w:rPr>
                <w:rFonts w:hint="eastAsia"/>
                <w:color w:val="000000" w:themeColor="text1"/>
                <w:sz w:val="24"/>
                <w14:textFill>
                  <w14:solidFill>
                    <w14:schemeClr w14:val="tx1"/>
                  </w14:solidFill>
                </w14:textFill>
              </w:rPr>
              <w:t>kg/h，排放浓度为</w:t>
            </w:r>
            <w:r>
              <w:rPr>
                <w:color w:val="000000" w:themeColor="text1"/>
                <w:sz w:val="24"/>
                <w14:textFill>
                  <w14:solidFill>
                    <w14:schemeClr w14:val="tx1"/>
                  </w14:solidFill>
                </w14:textFill>
              </w:rPr>
              <w:t>.6.80</w:t>
            </w:r>
            <w:r>
              <w:rPr>
                <w:rFonts w:hint="eastAsia"/>
                <w:color w:val="000000" w:themeColor="text1"/>
                <w:sz w:val="24"/>
                <w14:textFill>
                  <w14:solidFill>
                    <w14:schemeClr w14:val="tx1"/>
                  </w14:solidFill>
                </w14:textFill>
              </w:rPr>
              <w:t>mg/m³；无组织总VOCs排放量为0.</w:t>
            </w:r>
            <w:r>
              <w:rPr>
                <w:color w:val="000000" w:themeColor="text1"/>
                <w:sz w:val="24"/>
                <w14:textFill>
                  <w14:solidFill>
                    <w14:schemeClr w14:val="tx1"/>
                  </w14:solidFill>
                </w14:textFill>
              </w:rPr>
              <w:t>1295</w:t>
            </w:r>
            <w:r>
              <w:rPr>
                <w:rFonts w:hint="eastAsia"/>
                <w:color w:val="000000" w:themeColor="text1"/>
                <w:sz w:val="24"/>
                <w14:textFill>
                  <w14:solidFill>
                    <w14:schemeClr w14:val="tx1"/>
                  </w14:solidFill>
                </w14:textFill>
              </w:rPr>
              <w:t>t/a，排放速率为0.0</w:t>
            </w:r>
            <w:r>
              <w:rPr>
                <w:color w:val="000000" w:themeColor="text1"/>
                <w:sz w:val="24"/>
                <w14:textFill>
                  <w14:solidFill>
                    <w14:schemeClr w14:val="tx1"/>
                  </w14:solidFill>
                </w14:textFill>
              </w:rPr>
              <w:t>54</w:t>
            </w:r>
            <w:r>
              <w:rPr>
                <w:rFonts w:hint="eastAsia"/>
                <w:color w:val="000000" w:themeColor="text1"/>
                <w:sz w:val="24"/>
                <w14:textFill>
                  <w14:solidFill>
                    <w14:schemeClr w14:val="tx1"/>
                  </w14:solidFill>
                </w14:textFill>
              </w:rPr>
              <w:t>kg/h。漆雾有组织排放量为0.</w:t>
            </w:r>
            <w:r>
              <w:rPr>
                <w:color w:val="000000" w:themeColor="text1"/>
                <w:sz w:val="24"/>
                <w14:textFill>
                  <w14:solidFill>
                    <w14:schemeClr w14:val="tx1"/>
                  </w14:solidFill>
                </w14:textFill>
              </w:rPr>
              <w:t>4831</w:t>
            </w:r>
            <w:r>
              <w:rPr>
                <w:rFonts w:hint="eastAsia"/>
                <w:color w:val="000000" w:themeColor="text1"/>
                <w:sz w:val="24"/>
                <w14:textFill>
                  <w14:solidFill>
                    <w14:schemeClr w14:val="tx1"/>
                  </w14:solidFill>
                </w14:textFill>
              </w:rPr>
              <w:t>t/a，排放速率为0.</w:t>
            </w:r>
            <w:r>
              <w:rPr>
                <w:color w:val="000000" w:themeColor="text1"/>
                <w:sz w:val="24"/>
                <w14:textFill>
                  <w14:solidFill>
                    <w14:schemeClr w14:val="tx1"/>
                  </w14:solidFill>
                </w14:textFill>
              </w:rPr>
              <w:t>201</w:t>
            </w:r>
            <w:r>
              <w:rPr>
                <w:rFonts w:hint="eastAsia"/>
                <w:color w:val="000000" w:themeColor="text1"/>
                <w:sz w:val="24"/>
                <w14:textFill>
                  <w14:solidFill>
                    <w14:schemeClr w14:val="tx1"/>
                  </w14:solidFill>
                </w14:textFill>
              </w:rPr>
              <w:t>kg/h，排放浓度为</w:t>
            </w:r>
            <w:r>
              <w:rPr>
                <w:color w:val="000000" w:themeColor="text1"/>
                <w:sz w:val="24"/>
                <w14:textFill>
                  <w14:solidFill>
                    <w14:schemeClr w14:val="tx1"/>
                  </w14:solidFill>
                </w14:textFill>
              </w:rPr>
              <w:t>20.13</w:t>
            </w:r>
            <w:r>
              <w:rPr>
                <w:rFonts w:hint="eastAsia"/>
                <w:color w:val="000000" w:themeColor="text1"/>
                <w:sz w:val="24"/>
                <w14:textFill>
                  <w14:solidFill>
                    <w14:schemeClr w14:val="tx1"/>
                  </w14:solidFill>
                </w14:textFill>
              </w:rPr>
              <w:t>mg/m³；无组织排放量为0.</w:t>
            </w:r>
            <w:r>
              <w:rPr>
                <w:color w:val="000000" w:themeColor="text1"/>
                <w:sz w:val="24"/>
                <w14:textFill>
                  <w14:solidFill>
                    <w14:schemeClr w14:val="tx1"/>
                  </w14:solidFill>
                </w14:textFill>
              </w:rPr>
              <w:t>2684</w:t>
            </w:r>
            <w:r>
              <w:rPr>
                <w:rFonts w:hint="eastAsia"/>
                <w:color w:val="000000" w:themeColor="text1"/>
                <w:sz w:val="24"/>
                <w14:textFill>
                  <w14:solidFill>
                    <w14:schemeClr w14:val="tx1"/>
                  </w14:solidFill>
                </w14:textFill>
              </w:rPr>
              <w:t>t/a，排放速率为0.</w:t>
            </w:r>
            <w:r>
              <w:rPr>
                <w:color w:val="000000" w:themeColor="text1"/>
                <w:sz w:val="24"/>
                <w14:textFill>
                  <w14:solidFill>
                    <w14:schemeClr w14:val="tx1"/>
                  </w14:solidFill>
                </w14:textFill>
              </w:rPr>
              <w:t>112</w:t>
            </w:r>
            <w:r>
              <w:rPr>
                <w:rFonts w:hint="eastAsia"/>
                <w:color w:val="000000" w:themeColor="text1"/>
                <w:sz w:val="24"/>
                <w14:textFill>
                  <w14:solidFill>
                    <w14:schemeClr w14:val="tx1"/>
                  </w14:solidFill>
                </w14:textFill>
              </w:rPr>
              <w:t>kg/h。</w:t>
            </w: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③焊接工序产生的焊接烟尘的处理</w:t>
            </w:r>
          </w:p>
          <w:p>
            <w:pPr>
              <w:spacing w:line="360" w:lineRule="auto"/>
              <w:ind w:firstLine="480" w:firstLineChars="200"/>
            </w:pPr>
            <w:r>
              <w:rPr>
                <w:rFonts w:hint="eastAsia"/>
                <w:color w:val="000000" w:themeColor="text1"/>
                <w:sz w:val="24"/>
                <w14:textFill>
                  <w14:solidFill>
                    <w14:schemeClr w14:val="tx1"/>
                  </w14:solidFill>
                </w14:textFill>
              </w:rPr>
              <w:t>项目车间内设置集气罩对开焊接工序产生的焊接烟尘进行收集，引至一套“焊接烟尘净化器”装置进行处理，处理达标后经15m高排气筒DA00</w:t>
            </w:r>
            <w:r>
              <w:rPr>
                <w:color w:val="000000" w:themeColor="text1"/>
                <w:sz w:val="24"/>
                <w14:textFill>
                  <w14:solidFill>
                    <w14:schemeClr w14:val="tx1"/>
                  </w14:solidFill>
                </w14:textFill>
              </w:rPr>
              <w:t>3</w:t>
            </w:r>
            <w:r>
              <w:rPr>
                <w:rFonts w:hint="eastAsia"/>
                <w:color w:val="000000" w:themeColor="text1"/>
                <w:sz w:val="24"/>
                <w14:textFill>
                  <w14:solidFill>
                    <w14:schemeClr w14:val="tx1"/>
                  </w14:solidFill>
                </w14:textFill>
              </w:rPr>
              <w:t>排放。参考《厂房焊接烟尘治理方法概述》（侯国庆等，江西建材，建筑与规划设计，2018年2月（上）），移动式除尘系统净化总效率可达99%以上，保守考虑本项目处理效率取90%。因此经过处理后焊接烟尘有组织排放量为0.</w:t>
            </w:r>
            <w:r>
              <w:rPr>
                <w:color w:val="000000" w:themeColor="text1"/>
                <w:sz w:val="24"/>
                <w14:textFill>
                  <w14:solidFill>
                    <w14:schemeClr w14:val="tx1"/>
                  </w14:solidFill>
                </w14:textFill>
              </w:rPr>
              <w:t>0002</w:t>
            </w:r>
            <w:r>
              <w:rPr>
                <w:rFonts w:hint="eastAsia"/>
                <w:color w:val="000000" w:themeColor="text1"/>
                <w:sz w:val="24"/>
                <w14:textFill>
                  <w14:solidFill>
                    <w14:schemeClr w14:val="tx1"/>
                  </w14:solidFill>
                </w14:textFill>
              </w:rPr>
              <w:t>t/a，排放速率为0.</w:t>
            </w:r>
            <w:r>
              <w:rPr>
                <w:color w:val="000000" w:themeColor="text1"/>
                <w:sz w:val="24"/>
                <w14:textFill>
                  <w14:solidFill>
                    <w14:schemeClr w14:val="tx1"/>
                  </w14:solidFill>
                </w14:textFill>
              </w:rPr>
              <w:t>0001</w:t>
            </w:r>
            <w:r>
              <w:rPr>
                <w:rFonts w:hint="eastAsia"/>
                <w:color w:val="000000" w:themeColor="text1"/>
                <w:sz w:val="24"/>
                <w14:textFill>
                  <w14:solidFill>
                    <w14:schemeClr w14:val="tx1"/>
                  </w14:solidFill>
                </w14:textFill>
              </w:rPr>
              <w:t>kg/h，排放浓度为</w:t>
            </w:r>
            <w:r>
              <w:rPr>
                <w:color w:val="000000" w:themeColor="text1"/>
                <w:sz w:val="24"/>
                <w14:textFill>
                  <w14:solidFill>
                    <w14:schemeClr w14:val="tx1"/>
                  </w14:solidFill>
                </w14:textFill>
              </w:rPr>
              <w:t>0.02</w:t>
            </w:r>
            <w:r>
              <w:rPr>
                <w:rFonts w:hint="eastAsia"/>
                <w:color w:val="000000" w:themeColor="text1"/>
                <w:sz w:val="24"/>
                <w14:textFill>
                  <w14:solidFill>
                    <w14:schemeClr w14:val="tx1"/>
                  </w14:solidFill>
                </w14:textFill>
              </w:rPr>
              <w:t>mg/m³；无组织排放量为0.</w:t>
            </w:r>
            <w:r>
              <w:rPr>
                <w:color w:val="000000" w:themeColor="text1"/>
                <w:sz w:val="24"/>
                <w14:textFill>
                  <w14:solidFill>
                    <w14:schemeClr w14:val="tx1"/>
                  </w14:solidFill>
                </w14:textFill>
              </w:rPr>
              <w:t>0005</w:t>
            </w:r>
            <w:r>
              <w:rPr>
                <w:rFonts w:hint="eastAsia"/>
                <w:color w:val="000000" w:themeColor="text1"/>
                <w:sz w:val="24"/>
                <w14:textFill>
                  <w14:solidFill>
                    <w14:schemeClr w14:val="tx1"/>
                  </w14:solidFill>
                </w14:textFill>
              </w:rPr>
              <w:t>t/a，排放速率为</w:t>
            </w:r>
            <w:r>
              <w:rPr>
                <w:color w:val="000000" w:themeColor="text1"/>
                <w:sz w:val="24"/>
                <w14:textFill>
                  <w14:solidFill>
                    <w14:schemeClr w14:val="tx1"/>
                  </w14:solidFill>
                </w14:textFill>
              </w:rPr>
              <w:t>0.0002</w:t>
            </w:r>
            <w:r>
              <w:rPr>
                <w:rFonts w:hint="eastAsia"/>
                <w:color w:val="000000" w:themeColor="text1"/>
                <w:sz w:val="24"/>
                <w14:textFill>
                  <w14:solidFill>
                    <w14:schemeClr w14:val="tx1"/>
                  </w14:solidFill>
                </w14:textFill>
              </w:rPr>
              <w:t>kg/h。</w:t>
            </w: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（4）</w:t>
            </w:r>
            <w:r>
              <w:rPr>
                <w:b/>
                <w:bCs/>
                <w:color w:val="000000" w:themeColor="text1"/>
                <w:kern w:val="0"/>
                <w:sz w:val="24"/>
                <w14:textFill>
                  <w14:solidFill>
                    <w14:schemeClr w14:val="tx1"/>
                  </w14:solidFill>
                </w14:textFill>
              </w:rPr>
              <w:t>非正常工况防范措施</w:t>
            </w:r>
          </w:p>
          <w:p>
            <w:pPr>
              <w:spacing w:line="360" w:lineRule="auto"/>
              <w:ind w:firstLine="480" w:firstLineChars="200"/>
              <w:rPr>
                <w:b/>
                <w:bCs/>
                <w:color w:val="000000" w:themeColor="text1"/>
                <w:szCs w:val="21"/>
                <w14:textFill>
                  <w14:solidFill>
                    <w14:schemeClr w14:val="tx1"/>
                  </w14:solidFill>
                </w14:textFill>
              </w:rPr>
            </w:pPr>
            <w:r>
              <w:rPr>
                <w:color w:val="000000" w:themeColor="text1"/>
                <w:sz w:val="24"/>
                <w14:textFill>
                  <w14:solidFill>
                    <w14:schemeClr w14:val="tx1"/>
                  </w14:solidFill>
                </w14:textFill>
              </w:rPr>
              <w:t>本项目的非正常排放指的是废气治理设施发生故障时，导致废气直接排放，建设单位应在故障时停止生产，待故障排除后方可恢复生产；平时应加强对设备的维护保养，避免非正常排放的产生，非正常排放详情见下表</w:t>
            </w:r>
            <w:r>
              <w:rPr>
                <w:rFonts w:hint="eastAsia"/>
                <w:color w:val="000000" w:themeColor="text1"/>
                <w:sz w:val="24"/>
                <w14:textFill>
                  <w14:solidFill>
                    <w14:schemeClr w14:val="tx1"/>
                  </w14:solidFill>
                </w14:textFill>
              </w:rPr>
              <w:t>：</w:t>
            </w:r>
          </w:p>
          <w:p>
            <w:pPr>
              <w:pStyle w:val="34"/>
              <w:adjustRightInd w:val="0"/>
              <w:snapToGrid w:val="0"/>
              <w:spacing w:before="0" w:beforeAutospacing="0" w:after="0" w:afterAutospacing="0" w:line="36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表4</w:t>
            </w:r>
            <w:r>
              <w:rPr>
                <w:rFonts w:hint="eastAsia" w:ascii="Times New Roman" w:hAnsi="Times New Roman"/>
                <w:b/>
                <w:bCs/>
                <w:color w:val="000000" w:themeColor="text1"/>
                <w:sz w:val="21"/>
                <w:szCs w:val="21"/>
                <w14:textFill>
                  <w14:solidFill>
                    <w14:schemeClr w14:val="tx1"/>
                  </w14:solidFill>
                </w14:textFill>
              </w:rPr>
              <w:t>-</w:t>
            </w:r>
            <w:r>
              <w:rPr>
                <w:rFonts w:ascii="Times New Roman" w:hAnsi="Times New Roman"/>
                <w:b/>
                <w:bCs/>
                <w:color w:val="000000" w:themeColor="text1"/>
                <w:sz w:val="21"/>
                <w:szCs w:val="21"/>
                <w14:textFill>
                  <w14:solidFill>
                    <w14:schemeClr w14:val="tx1"/>
                  </w14:solidFill>
                </w14:textFill>
              </w:rPr>
              <w:t>3  非正常排放情况一览表</w:t>
            </w:r>
          </w:p>
          <w:tbl>
            <w:tblPr>
              <w:tblStyle w:val="39"/>
              <w:tblW w:w="4998" w:type="pct"/>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108" w:type="dxa"/>
                <w:bottom w:w="0" w:type="dxa"/>
                <w:right w:w="108" w:type="dxa"/>
              </w:tblCellMar>
            </w:tblPr>
            <w:tblGrid>
              <w:gridCol w:w="427"/>
              <w:gridCol w:w="874"/>
              <w:gridCol w:w="920"/>
              <w:gridCol w:w="980"/>
              <w:gridCol w:w="1214"/>
              <w:gridCol w:w="1103"/>
              <w:gridCol w:w="746"/>
              <w:gridCol w:w="798"/>
              <w:gridCol w:w="109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62"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536"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w:t>
                  </w:r>
                </w:p>
              </w:tc>
              <w:tc>
                <w:tcPr>
                  <w:tcW w:w="564"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原因</w:t>
                  </w:r>
                </w:p>
              </w:tc>
              <w:tc>
                <w:tcPr>
                  <w:tcW w:w="601"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c>
                <w:tcPr>
                  <w:tcW w:w="744"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排放浓度/（mg/m³）</w:t>
                  </w:r>
                </w:p>
              </w:tc>
              <w:tc>
                <w:tcPr>
                  <w:tcW w:w="676"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排放速率/（kg/h）</w:t>
                  </w:r>
                </w:p>
              </w:tc>
              <w:tc>
                <w:tcPr>
                  <w:tcW w:w="457"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持续时间/h</w:t>
                  </w:r>
                </w:p>
              </w:tc>
              <w:tc>
                <w:tcPr>
                  <w:tcW w:w="489"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频次/（次/a）</w:t>
                  </w:r>
                </w:p>
              </w:tc>
              <w:tc>
                <w:tcPr>
                  <w:tcW w:w="670" w:type="pc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措施</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62"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536" w:type="pct"/>
                  <w:tcBorders>
                    <w:tl2br w:val="nil"/>
                    <w:tr2bl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DA001</w:t>
                  </w:r>
                  <w:r>
                    <w:rPr>
                      <w:color w:val="000000" w:themeColor="text1"/>
                      <w:szCs w:val="21"/>
                      <w14:textFill>
                        <w14:solidFill>
                          <w14:schemeClr w14:val="tx1"/>
                        </w14:solidFill>
                      </w14:textFill>
                    </w:rPr>
                    <w:t>排放口</w:t>
                  </w:r>
                </w:p>
              </w:tc>
              <w:tc>
                <w:tcPr>
                  <w:tcW w:w="564" w:type="pct"/>
                  <w:vMerge w:val="restar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废气治理设施故障，导致废气直接排放</w:t>
                  </w:r>
                </w:p>
              </w:tc>
              <w:tc>
                <w:tcPr>
                  <w:tcW w:w="601" w:type="pct"/>
                  <w:tcBorders>
                    <w:tl2br w:val="nil"/>
                    <w:tr2bl w:val="nil"/>
                  </w:tcBorders>
                  <w:vAlign w:val="center"/>
                </w:tcPr>
                <w:p>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粉尘</w:t>
                  </w:r>
                </w:p>
                <w:p>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744"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14:textFill>
                        <w14:solidFill>
                          <w14:schemeClr w14:val="tx1"/>
                        </w14:solidFill>
                      </w14:textFill>
                    </w:rPr>
                    <w:t>90.75</w:t>
                  </w:r>
                </w:p>
              </w:tc>
              <w:tc>
                <w:tcPr>
                  <w:tcW w:w="676"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1.361</w:t>
                  </w:r>
                </w:p>
              </w:tc>
              <w:tc>
                <w:tcPr>
                  <w:tcW w:w="457"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489"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670" w:type="pct"/>
                  <w:vMerge w:val="restar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故障时停止生产，故障排除后恢复生产；平时应加强对设备维护保养</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62" w:type="pct"/>
                  <w:vMerge w:val="restart"/>
                  <w:tcBorders>
                    <w:tl2br w:val="nil"/>
                    <w:tr2bl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p>
              </w:tc>
              <w:tc>
                <w:tcPr>
                  <w:tcW w:w="536" w:type="pct"/>
                  <w:vMerge w:val="restart"/>
                  <w:tcBorders>
                    <w:tl2br w:val="nil"/>
                    <w:tr2bl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t>
                  </w:r>
                  <w:r>
                    <w:rPr>
                      <w:color w:val="000000" w:themeColor="text1"/>
                      <w:szCs w:val="21"/>
                      <w14:textFill>
                        <w14:solidFill>
                          <w14:schemeClr w14:val="tx1"/>
                        </w14:solidFill>
                      </w14:textFill>
                    </w:rPr>
                    <w:t>A002排放口</w:t>
                  </w:r>
                </w:p>
              </w:tc>
              <w:tc>
                <w:tcPr>
                  <w:tcW w:w="564" w:type="pct"/>
                  <w:vMerge w:val="continue"/>
                  <w:tcBorders>
                    <w:tl2br w:val="nil"/>
                    <w:tr2bl w:val="nil"/>
                  </w:tcBorders>
                  <w:vAlign w:val="center"/>
                </w:tcPr>
                <w:p>
                  <w:pPr>
                    <w:ind w:left="-105" w:leftChars="-50" w:right="-105" w:rightChars="-50"/>
                    <w:jc w:val="center"/>
                    <w:rPr>
                      <w:color w:val="000000" w:themeColor="text1"/>
                      <w:szCs w:val="21"/>
                      <w14:textFill>
                        <w14:solidFill>
                          <w14:schemeClr w14:val="tx1"/>
                        </w14:solidFill>
                      </w14:textFill>
                    </w:rPr>
                  </w:pPr>
                </w:p>
              </w:tc>
              <w:tc>
                <w:tcPr>
                  <w:tcW w:w="601" w:type="pct"/>
                  <w:tcBorders>
                    <w:tl2br w:val="nil"/>
                    <w:tr2bl w:val="nil"/>
                  </w:tcBorders>
                  <w:vAlign w:val="center"/>
                </w:tcPr>
                <w:p>
                  <w:pPr>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w:t>
                  </w:r>
                  <w:r>
                    <w:rPr>
                      <w:rFonts w:hint="eastAsia"/>
                      <w:color w:val="000000" w:themeColor="text1"/>
                      <w:szCs w:val="21"/>
                      <w14:textFill>
                        <w14:solidFill>
                          <w14:schemeClr w14:val="tx1"/>
                        </w14:solidFill>
                      </w14:textFill>
                    </w:rPr>
                    <w:t>VOC</w:t>
                  </w:r>
                </w:p>
              </w:tc>
              <w:tc>
                <w:tcPr>
                  <w:tcW w:w="744" w:type="pct"/>
                  <w:tcBorders>
                    <w:tl2br w:val="nil"/>
                    <w:tr2bl w:val="nil"/>
                  </w:tcBorders>
                  <w:vAlign w:val="center"/>
                </w:tcPr>
                <w:p>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48.55</w:t>
                  </w:r>
                </w:p>
              </w:tc>
              <w:tc>
                <w:tcPr>
                  <w:tcW w:w="676"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0.486</w:t>
                  </w:r>
                </w:p>
              </w:tc>
              <w:tc>
                <w:tcPr>
                  <w:tcW w:w="457" w:type="pct"/>
                  <w:vMerge w:val="restar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489" w:type="pct"/>
                  <w:vMerge w:val="restar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670" w:type="pct"/>
                  <w:vMerge w:val="continue"/>
                  <w:tcBorders>
                    <w:tl2br w:val="nil"/>
                    <w:tr2bl w:val="nil"/>
                  </w:tcBorders>
                  <w:vAlign w:val="center"/>
                </w:tcPr>
                <w:p>
                  <w:pPr>
                    <w:jc w:val="center"/>
                    <w:rPr>
                      <w:color w:val="000000" w:themeColor="text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62" w:type="pct"/>
                  <w:vMerge w:val="continue"/>
                  <w:tcBorders>
                    <w:tl2br w:val="nil"/>
                    <w:tr2bl w:val="nil"/>
                  </w:tcBorders>
                  <w:vAlign w:val="center"/>
                </w:tcPr>
                <w:p>
                  <w:pPr>
                    <w:jc w:val="center"/>
                    <w:rPr>
                      <w:color w:val="000000" w:themeColor="text1"/>
                      <w:szCs w:val="21"/>
                      <w14:textFill>
                        <w14:solidFill>
                          <w14:schemeClr w14:val="tx1"/>
                        </w14:solidFill>
                      </w14:textFill>
                    </w:rPr>
                  </w:pPr>
                </w:p>
              </w:tc>
              <w:tc>
                <w:tcPr>
                  <w:tcW w:w="536" w:type="pct"/>
                  <w:vMerge w:val="continue"/>
                  <w:tcBorders>
                    <w:tl2br w:val="nil"/>
                    <w:tr2bl w:val="nil"/>
                  </w:tcBorders>
                  <w:vAlign w:val="center"/>
                </w:tcPr>
                <w:p>
                  <w:pPr>
                    <w:jc w:val="center"/>
                    <w:rPr>
                      <w:color w:val="000000" w:themeColor="text1"/>
                      <w:szCs w:val="21"/>
                      <w14:textFill>
                        <w14:solidFill>
                          <w14:schemeClr w14:val="tx1"/>
                        </w14:solidFill>
                      </w14:textFill>
                    </w:rPr>
                  </w:pPr>
                </w:p>
              </w:tc>
              <w:tc>
                <w:tcPr>
                  <w:tcW w:w="564" w:type="pct"/>
                  <w:vMerge w:val="continue"/>
                  <w:tcBorders>
                    <w:tl2br w:val="nil"/>
                    <w:tr2bl w:val="nil"/>
                  </w:tcBorders>
                  <w:vAlign w:val="center"/>
                </w:tcPr>
                <w:p>
                  <w:pPr>
                    <w:ind w:left="-105" w:leftChars="-50" w:right="-105" w:rightChars="-50"/>
                    <w:jc w:val="center"/>
                    <w:rPr>
                      <w:color w:val="000000" w:themeColor="text1"/>
                      <w:szCs w:val="21"/>
                      <w14:textFill>
                        <w14:solidFill>
                          <w14:schemeClr w14:val="tx1"/>
                        </w14:solidFill>
                      </w14:textFill>
                    </w:rPr>
                  </w:pPr>
                </w:p>
              </w:tc>
              <w:tc>
                <w:tcPr>
                  <w:tcW w:w="601" w:type="pct"/>
                  <w:tcBorders>
                    <w:tl2br w:val="nil"/>
                    <w:tr2bl w:val="nil"/>
                  </w:tcBorders>
                  <w:vAlign w:val="center"/>
                </w:tcPr>
                <w:p>
                  <w:pPr>
                    <w:ind w:left="-105" w:leftChars="-50" w:right="-105" w:rightChars="-50"/>
                    <w:jc w:val="center"/>
                  </w:pPr>
                  <w:r>
                    <w:rPr>
                      <w:rFonts w:hint="eastAsia"/>
                      <w:color w:val="000000" w:themeColor="text1"/>
                      <w:szCs w:val="21"/>
                      <w14:textFill>
                        <w14:solidFill>
                          <w14:schemeClr w14:val="tx1"/>
                        </w14:solidFill>
                      </w14:textFill>
                    </w:rPr>
                    <w:t>漆雾（颗粒物）</w:t>
                  </w:r>
                </w:p>
              </w:tc>
              <w:tc>
                <w:tcPr>
                  <w:tcW w:w="744"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100.65</w:t>
                  </w:r>
                </w:p>
              </w:tc>
              <w:tc>
                <w:tcPr>
                  <w:tcW w:w="676"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1.007</w:t>
                  </w:r>
                </w:p>
              </w:tc>
              <w:tc>
                <w:tcPr>
                  <w:tcW w:w="457" w:type="pct"/>
                  <w:vMerge w:val="continue"/>
                  <w:tcBorders>
                    <w:tl2br w:val="nil"/>
                    <w:tr2bl w:val="nil"/>
                  </w:tcBorders>
                  <w:vAlign w:val="center"/>
                </w:tcPr>
                <w:p>
                  <w:pPr>
                    <w:jc w:val="center"/>
                    <w:rPr>
                      <w:color w:val="000000" w:themeColor="text1"/>
                      <w:szCs w:val="21"/>
                      <w14:textFill>
                        <w14:solidFill>
                          <w14:schemeClr w14:val="tx1"/>
                        </w14:solidFill>
                      </w14:textFill>
                    </w:rPr>
                  </w:pPr>
                </w:p>
              </w:tc>
              <w:tc>
                <w:tcPr>
                  <w:tcW w:w="489" w:type="pct"/>
                  <w:vMerge w:val="continue"/>
                  <w:tcBorders>
                    <w:tl2br w:val="nil"/>
                    <w:tr2bl w:val="nil"/>
                  </w:tcBorders>
                  <w:vAlign w:val="center"/>
                </w:tcPr>
                <w:p>
                  <w:pPr>
                    <w:jc w:val="center"/>
                    <w:rPr>
                      <w:color w:val="000000" w:themeColor="text1"/>
                      <w:szCs w:val="21"/>
                      <w14:textFill>
                        <w14:solidFill>
                          <w14:schemeClr w14:val="tx1"/>
                        </w14:solidFill>
                      </w14:textFill>
                    </w:rPr>
                  </w:pPr>
                </w:p>
              </w:tc>
              <w:tc>
                <w:tcPr>
                  <w:tcW w:w="670" w:type="pct"/>
                  <w:vMerge w:val="continue"/>
                  <w:tcBorders>
                    <w:tl2br w:val="nil"/>
                    <w:tr2bl w:val="nil"/>
                  </w:tcBorders>
                  <w:vAlign w:val="center"/>
                </w:tcPr>
                <w:p>
                  <w:pPr>
                    <w:jc w:val="center"/>
                    <w:rPr>
                      <w:color w:val="000000" w:themeColor="text1"/>
                      <w:szCs w:val="21"/>
                      <w14:textFill>
                        <w14:solidFill>
                          <w14:schemeClr w14:val="tx1"/>
                        </w14:solidFill>
                      </w14:textFill>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340" w:hRule="atLeast"/>
                <w:jc w:val="center"/>
              </w:trPr>
              <w:tc>
                <w:tcPr>
                  <w:tcW w:w="262" w:type="pct"/>
                  <w:tcBorders>
                    <w:tl2br w:val="nil"/>
                    <w:tr2bl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536" w:type="pct"/>
                  <w:tcBorders>
                    <w:tl2br w:val="nil"/>
                    <w:tr2bl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t>
                  </w:r>
                  <w:r>
                    <w:rPr>
                      <w:color w:val="000000" w:themeColor="text1"/>
                      <w:szCs w:val="21"/>
                      <w14:textFill>
                        <w14:solidFill>
                          <w14:schemeClr w14:val="tx1"/>
                        </w14:solidFill>
                      </w14:textFill>
                    </w:rPr>
                    <w:t>A003排放口</w:t>
                  </w:r>
                </w:p>
              </w:tc>
              <w:tc>
                <w:tcPr>
                  <w:tcW w:w="564" w:type="pct"/>
                  <w:vMerge w:val="continue"/>
                  <w:tcBorders>
                    <w:tl2br w:val="nil"/>
                    <w:tr2bl w:val="nil"/>
                  </w:tcBorders>
                  <w:vAlign w:val="center"/>
                </w:tcPr>
                <w:p>
                  <w:pPr>
                    <w:ind w:left="-105" w:leftChars="-50" w:right="-105" w:rightChars="-50"/>
                    <w:jc w:val="center"/>
                    <w:rPr>
                      <w:color w:val="000000" w:themeColor="text1"/>
                      <w:szCs w:val="21"/>
                      <w14:textFill>
                        <w14:solidFill>
                          <w14:schemeClr w14:val="tx1"/>
                        </w14:solidFill>
                      </w14:textFill>
                    </w:rPr>
                  </w:pPr>
                </w:p>
              </w:tc>
              <w:tc>
                <w:tcPr>
                  <w:tcW w:w="601" w:type="pct"/>
                  <w:tcBorders>
                    <w:tl2br w:val="nil"/>
                    <w:tr2bl w:val="nil"/>
                  </w:tcBorders>
                  <w:vAlign w:val="center"/>
                </w:tcPr>
                <w:p>
                  <w:pPr>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焊接烟尘（颗粒物）</w:t>
                  </w:r>
                </w:p>
              </w:tc>
              <w:tc>
                <w:tcPr>
                  <w:tcW w:w="744" w:type="pct"/>
                  <w:tcBorders>
                    <w:tl2br w:val="nil"/>
                    <w:tr2bl w:val="nil"/>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w:t>
                  </w:r>
                  <w:r>
                    <w:rPr>
                      <w:color w:val="000000" w:themeColor="text1"/>
                      <w14:textFill>
                        <w14:solidFill>
                          <w14:schemeClr w14:val="tx1"/>
                        </w14:solidFill>
                      </w14:textFill>
                    </w:rPr>
                    <w:t>.17</w:t>
                  </w:r>
                </w:p>
              </w:tc>
              <w:tc>
                <w:tcPr>
                  <w:tcW w:w="676" w:type="pct"/>
                  <w:tcBorders>
                    <w:tl2br w:val="nil"/>
                    <w:tr2bl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.001</w:t>
                  </w:r>
                </w:p>
              </w:tc>
              <w:tc>
                <w:tcPr>
                  <w:tcW w:w="457" w:type="pct"/>
                  <w:tcBorders>
                    <w:tl2br w:val="nil"/>
                    <w:tr2bl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489" w:type="pct"/>
                  <w:tcBorders>
                    <w:tl2br w:val="nil"/>
                    <w:tr2bl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670" w:type="pct"/>
                  <w:vMerge w:val="continue"/>
                  <w:tcBorders>
                    <w:tl2br w:val="nil"/>
                    <w:tr2bl w:val="nil"/>
                  </w:tcBorders>
                  <w:vAlign w:val="center"/>
                </w:tcPr>
                <w:p>
                  <w:pPr>
                    <w:jc w:val="center"/>
                    <w:rPr>
                      <w:color w:val="000000" w:themeColor="text1"/>
                      <w:szCs w:val="21"/>
                      <w14:textFill>
                        <w14:solidFill>
                          <w14:schemeClr w14:val="tx1"/>
                        </w14:solidFill>
                      </w14:textFill>
                    </w:rPr>
                  </w:pPr>
                </w:p>
              </w:tc>
            </w:tr>
          </w:tbl>
          <w:p>
            <w:pPr>
              <w:spacing w:before="156" w:beforeLines="50"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2、污染治理技术可行性分析</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车间内设置集气罩对开料、雕刻、打磨、切割工序产生的粉尘进行收集，引至一套“布袋除尘”装置进行处理，处理达标后经15m高排气筒DA001排放。根据《第二次全国污染源普查产排污系数手册——203木质制品制行业系数手册》中“203木质制品制造行业系数表”袋式除尘器的除尘效率为90%，项目布袋除尘器粉尘的去除效率取90%。根据《排污许可证申请与核发技术规范 总则》（HJ942-2018），本项目粉尘（颗粒物）的废气防治工艺为可行技术。</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漆雾（颗粒物）</w:t>
            </w:r>
            <w:r>
              <w:rPr>
                <w:color w:val="000000" w:themeColor="text1"/>
                <w:sz w:val="24"/>
                <w14:textFill>
                  <w14:solidFill>
                    <w14:schemeClr w14:val="tx1"/>
                  </w14:solidFill>
                </w14:textFill>
              </w:rPr>
              <w:t>收集后经水喷淋处理，处理后由15m高排气筒（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2）排放，</w:t>
            </w:r>
            <w:r>
              <w:rPr>
                <w:rFonts w:hint="eastAsia"/>
                <w:color w:val="000000" w:themeColor="text1"/>
                <w:sz w:val="24"/>
                <w14:textFill>
                  <w14:solidFill>
                    <w14:schemeClr w14:val="tx1"/>
                  </w14:solidFill>
                </w14:textFill>
              </w:rPr>
              <w:t>粉尘（颗粒物）</w:t>
            </w:r>
            <w:r>
              <w:rPr>
                <w:color w:val="000000" w:themeColor="text1"/>
                <w:sz w:val="24"/>
                <w14:textFill>
                  <w14:solidFill>
                    <w14:schemeClr w14:val="tx1"/>
                  </w14:solidFill>
                </w14:textFill>
              </w:rPr>
              <w:t>收集后经水喷淋处理，处理后由15m高排气筒（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2）排放，根据《三废处理工程技术手册》（化工出版社）湿式除尘器的除尘效率一般在70%~99%，本环评喷淋塔的处理效率按</w:t>
            </w:r>
            <w:r>
              <w:rPr>
                <w:rFonts w:hint="eastAsia"/>
                <w:color w:val="000000" w:themeColor="text1"/>
                <w:sz w:val="24"/>
                <w14:textFill>
                  <w14:solidFill>
                    <w14:schemeClr w14:val="tx1"/>
                  </w14:solidFill>
                </w14:textFill>
              </w:rPr>
              <w:t>80</w:t>
            </w:r>
            <w:r>
              <w:rPr>
                <w:color w:val="000000" w:themeColor="text1"/>
                <w:sz w:val="24"/>
                <w14:textFill>
                  <w14:solidFill>
                    <w14:schemeClr w14:val="tx1"/>
                  </w14:solidFill>
                </w14:textFill>
              </w:rPr>
              <w:t>%计算。</w:t>
            </w:r>
          </w:p>
          <w:p>
            <w:pPr>
              <w:spacing w:line="360" w:lineRule="auto"/>
              <w:ind w:firstLine="480" w:firstLineChars="200"/>
              <w:rPr>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根据《广东省印刷、制鞋、家具、表面涂装（汽车制造）行业挥发性有机物总量减排核算 细则》中表 1-1常见治理设施治理效率可知，吸附法对有机废气的处理效率约为45～80%，本项目取60%，“二级活性炭”吸附法对有机废气的处理效率约为85%；水喷淋对有机废气的处理效率约为5~15%，根据本项目的情况，吸收法对有机废气的处理效率约为 10%，故“</w:t>
            </w:r>
            <w:r>
              <w:rPr>
                <w:rFonts w:hint="eastAsia"/>
                <w:color w:val="000000" w:themeColor="text1"/>
                <w:spacing w:val="-3"/>
                <w:sz w:val="24"/>
                <w14:textFill>
                  <w14:solidFill>
                    <w14:schemeClr w14:val="tx1"/>
                  </w14:solidFill>
                </w14:textFill>
              </w:rPr>
              <w:t>水喷淋+过滤除雾器+二级活性炭吸附</w:t>
            </w:r>
            <w:r>
              <w:rPr>
                <w:rFonts w:hint="eastAsia"/>
                <w:bCs/>
                <w:color w:val="000000" w:themeColor="text1"/>
                <w:sz w:val="24"/>
                <w14:textFill>
                  <w14:solidFill>
                    <w14:schemeClr w14:val="tx1"/>
                  </w14:solidFill>
                </w14:textFill>
              </w:rPr>
              <w:t>”综合有机废气处理效率为86.5%，本项目取86%。</w:t>
            </w:r>
            <w:r>
              <w:rPr>
                <w:color w:val="000000" w:themeColor="text1"/>
                <w:sz w:val="24"/>
                <w14:textFill>
                  <w14:solidFill>
                    <w14:schemeClr w14:val="tx1"/>
                  </w14:solidFill>
                </w14:textFill>
              </w:rPr>
              <w:t>根据</w:t>
            </w:r>
            <w:r>
              <w:fldChar w:fldCharType="begin"/>
            </w:r>
            <w:r>
              <w:instrText xml:space="preserve"> HYPERLINK "http://www.mee.gov.cn/ywgz/fgbz/bz/bzwb/pwxk/201709/t20170918_421803.shtml" </w:instrText>
            </w:r>
            <w:r>
              <w:fldChar w:fldCharType="separate"/>
            </w:r>
            <w:r>
              <w:rPr>
                <w:color w:val="000000" w:themeColor="text1"/>
                <w:sz w:val="24"/>
                <w14:textFill>
                  <w14:solidFill>
                    <w14:schemeClr w14:val="tx1"/>
                  </w14:solidFill>
                </w14:textFill>
              </w:rPr>
              <w:t xml:space="preserve">《排污许可证申请与核发技术规范 </w:t>
            </w:r>
            <w:r>
              <w:rPr>
                <w:rFonts w:hint="eastAsia"/>
                <w:color w:val="000000" w:themeColor="text1"/>
                <w:sz w:val="24"/>
                <w14:textFill>
                  <w14:solidFill>
                    <w14:schemeClr w14:val="tx1"/>
                  </w14:solidFill>
                </w14:textFill>
              </w:rPr>
              <w:t>总则</w:t>
            </w:r>
            <w:r>
              <w:rPr>
                <w:color w:val="000000" w:themeColor="text1"/>
                <w:sz w:val="24"/>
                <w14:textFill>
                  <w14:solidFill>
                    <w14:schemeClr w14:val="tx1"/>
                  </w14:solidFill>
                </w14:textFill>
              </w:rPr>
              <w:t>》（HJ942-2018）</w:t>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t>，本项目</w:t>
            </w:r>
            <w:r>
              <w:rPr>
                <w:rFonts w:hint="eastAsia"/>
                <w:color w:val="000000" w:themeColor="text1"/>
                <w:sz w:val="24"/>
                <w14:textFill>
                  <w14:solidFill>
                    <w14:schemeClr w14:val="tx1"/>
                  </w14:solidFill>
                </w14:textFill>
              </w:rPr>
              <w:t>总VOC</w:t>
            </w:r>
            <w:r>
              <w:rPr>
                <w:color w:val="000000" w:themeColor="text1"/>
                <w:sz w:val="24"/>
                <w14:textFill>
                  <w14:solidFill>
                    <w14:schemeClr w14:val="tx1"/>
                  </w14:solidFill>
                </w14:textFill>
              </w:rPr>
              <w:t>s以及</w:t>
            </w:r>
            <w:r>
              <w:rPr>
                <w:rFonts w:hint="eastAsia"/>
                <w:color w:val="000000" w:themeColor="text1"/>
                <w:sz w:val="24"/>
                <w14:textFill>
                  <w14:solidFill>
                    <w14:schemeClr w14:val="tx1"/>
                  </w14:solidFill>
                </w14:textFill>
              </w:rPr>
              <w:t>漆雾（</w:t>
            </w:r>
            <w:r>
              <w:rPr>
                <w:color w:val="000000" w:themeColor="text1"/>
                <w:sz w:val="24"/>
                <w14:textFill>
                  <w14:solidFill>
                    <w14:schemeClr w14:val="tx1"/>
                  </w14:solidFill>
                </w14:textFill>
              </w:rPr>
              <w:t>颗粒物</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的废气防治工艺为可行技术。</w:t>
            </w:r>
          </w:p>
          <w:p>
            <w:pPr>
              <w:spacing w:line="360" w:lineRule="auto"/>
              <w:ind w:firstLine="480" w:firstLineChars="200"/>
            </w:pPr>
            <w:r>
              <w:rPr>
                <w:rFonts w:hint="eastAsia"/>
                <w:color w:val="000000" w:themeColor="text1"/>
                <w:sz w:val="24"/>
                <w14:textFill>
                  <w14:solidFill>
                    <w14:schemeClr w14:val="tx1"/>
                  </w14:solidFill>
                </w14:textFill>
              </w:rPr>
              <w:t>项目车间内设置集气罩对开焊接工序产生的焊接烟尘进行收集，引至一套“焊接烟尘净化器”装置进行处理，处理达标后经15m高排气筒DA003排放。参考《厂房焊接烟尘治理方法概述》（侯国庆等，江西建材，建筑与规划设计，2018年2月（上）），移动式除尘系统净化总效率可达99%以上，保守考虑本项目处理效率取90%。根据《排污许可证申请与核发技术规范 总则》（HJ942-2018），本项目焊接烟尘（颗粒物）的废气防治工艺为可行技术。</w:t>
            </w:r>
          </w:p>
          <w:p>
            <w:pPr>
              <w:spacing w:line="360" w:lineRule="auto"/>
              <w:ind w:firstLine="482"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3、达标排放情况</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经处理设备处理后，</w:t>
            </w:r>
            <w:r>
              <w:rPr>
                <w:rFonts w:hint="eastAsia"/>
                <w:color w:val="000000" w:themeColor="text1"/>
                <w:sz w:val="24"/>
                <w14:textFill>
                  <w14:solidFill>
                    <w14:schemeClr w14:val="tx1"/>
                  </w14:solidFill>
                </w14:textFill>
              </w:rPr>
              <w:t>有</w:t>
            </w:r>
            <w:r>
              <w:rPr>
                <w:color w:val="000000" w:themeColor="text1"/>
                <w:sz w:val="24"/>
                <w14:textFill>
                  <w14:solidFill>
                    <w14:schemeClr w14:val="tx1"/>
                  </w14:solidFill>
                </w14:textFill>
              </w:rPr>
              <w:t>机废气排放浓度达到广东省《固定污染源挥发性有机物综合排放标准》（DB44/2367-2022）</w:t>
            </w:r>
            <w:r>
              <w:rPr>
                <w:rFonts w:hint="eastAsia"/>
                <w:color w:val="000000" w:themeColor="text1"/>
                <w:sz w:val="24"/>
                <w14:textFill>
                  <w14:solidFill>
                    <w14:schemeClr w14:val="tx1"/>
                  </w14:solidFill>
                </w14:textFill>
              </w:rPr>
              <w:t>表1挥发性有机物排放限值的要求</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厂界</w:t>
            </w:r>
            <w:r>
              <w:rPr>
                <w:color w:val="000000" w:themeColor="text1"/>
                <w:sz w:val="24"/>
                <w14:textFill>
                  <w14:solidFill>
                    <w14:schemeClr w14:val="tx1"/>
                  </w14:solidFill>
                </w14:textFill>
              </w:rPr>
              <w:t>无组织排放</w:t>
            </w:r>
            <w:r>
              <w:rPr>
                <w:rFonts w:hint="eastAsia"/>
                <w:color w:val="000000" w:themeColor="text1"/>
                <w:sz w:val="24"/>
                <w14:textFill>
                  <w14:solidFill>
                    <w14:schemeClr w14:val="tx1"/>
                  </w14:solidFill>
                </w14:textFill>
              </w:rPr>
              <w:t>达到广东省《家具制造行业挥发性有机化合物排放标准》（DB44/814-2010）无组织排放监控点浓度限值标准的要求</w:t>
            </w:r>
            <w:r>
              <w:rPr>
                <w:color w:val="000000" w:themeColor="text1"/>
                <w:sz w:val="24"/>
                <w14:textFill>
                  <w14:solidFill>
                    <w14:schemeClr w14:val="tx1"/>
                  </w14:solidFill>
                </w14:textFill>
              </w:rPr>
              <w:t>；排气筒</w:t>
            </w:r>
            <w:r>
              <w:rPr>
                <w:rFonts w:hint="eastAsia"/>
                <w:color w:val="000000" w:themeColor="text1"/>
                <w:sz w:val="24"/>
                <w14:textFill>
                  <w14:solidFill>
                    <w14:schemeClr w14:val="tx1"/>
                  </w14:solidFill>
                </w14:textFill>
              </w:rPr>
              <w:t>DA001、D</w:t>
            </w:r>
            <w:r>
              <w:rPr>
                <w:color w:val="000000" w:themeColor="text1"/>
                <w:sz w:val="24"/>
                <w14:textFill>
                  <w14:solidFill>
                    <w14:schemeClr w14:val="tx1"/>
                  </w14:solidFill>
                </w14:textFill>
              </w:rPr>
              <w:t>A002</w:t>
            </w:r>
            <w:r>
              <w:rPr>
                <w:rFonts w:hint="eastAsia"/>
                <w:color w:val="000000" w:themeColor="text1"/>
                <w:sz w:val="24"/>
                <w14:textFill>
                  <w14:solidFill>
                    <w14:schemeClr w14:val="tx1"/>
                  </w14:solidFill>
                </w14:textFill>
              </w:rPr>
              <w:t>、D</w:t>
            </w:r>
            <w:r>
              <w:rPr>
                <w:color w:val="000000" w:themeColor="text1"/>
                <w:sz w:val="24"/>
                <w14:textFill>
                  <w14:solidFill>
                    <w14:schemeClr w14:val="tx1"/>
                  </w14:solidFill>
                </w14:textFill>
              </w:rPr>
              <w:t>A003中颗粒物有组织排放达到广东省《大气污染物排放限值》（DB44/27-2001）第二时段二级标准，颗粒物无组织排放达到广东省《大气污染物排放限值》（DB44/27-2001）第二时段无组织排放监控点浓度限值标准。厂区内</w:t>
            </w:r>
            <w:r>
              <w:rPr>
                <w:rFonts w:hint="eastAsia"/>
                <w:color w:val="000000" w:themeColor="text1"/>
                <w:sz w:val="24"/>
                <w14:textFill>
                  <w14:solidFill>
                    <w14:schemeClr w14:val="tx1"/>
                  </w14:solidFill>
                </w14:textFill>
              </w:rPr>
              <w:t>非甲烷总烃</w:t>
            </w:r>
            <w:r>
              <w:rPr>
                <w:color w:val="000000" w:themeColor="text1"/>
                <w:sz w:val="24"/>
                <w14:textFill>
                  <w14:solidFill>
                    <w14:schemeClr w14:val="tx1"/>
                  </w14:solidFill>
                </w14:textFill>
              </w:rPr>
              <w:t>无组织排放符合</w:t>
            </w:r>
            <w:r>
              <w:rPr>
                <w:rFonts w:hint="eastAsia"/>
                <w:color w:val="000000" w:themeColor="text1"/>
                <w:sz w:val="24"/>
                <w14:textFill>
                  <w14:solidFill>
                    <w14:schemeClr w14:val="tx1"/>
                  </w14:solidFill>
                </w14:textFill>
              </w:rPr>
              <w:t>《固定污染源挥发性有机物综合排放标准》（DB44/2367-2022）中表3厂区内无组织排放限值的要求</w:t>
            </w:r>
            <w:r>
              <w:rPr>
                <w:color w:val="000000" w:themeColor="text1"/>
                <w:sz w:val="24"/>
                <w14:textFill>
                  <w14:solidFill>
                    <w14:schemeClr w14:val="tx1"/>
                  </w14:solidFill>
                </w14:textFill>
              </w:rPr>
              <w:t>，对周围的环境影响</w:t>
            </w:r>
            <w:r>
              <w:rPr>
                <w:rFonts w:hint="eastAsia"/>
                <w:color w:val="000000" w:themeColor="text1"/>
                <w:sz w:val="24"/>
                <w14:textFill>
                  <w14:solidFill>
                    <w14:schemeClr w14:val="tx1"/>
                  </w14:solidFill>
                </w14:textFill>
              </w:rPr>
              <w:t>较小。</w:t>
            </w:r>
          </w:p>
          <w:p>
            <w:pPr>
              <w:pStyle w:val="91"/>
              <w:numPr>
                <w:ilvl w:val="0"/>
                <w:numId w:val="4"/>
              </w:numPr>
              <w:spacing w:line="360" w:lineRule="auto"/>
              <w:ind w:firstLineChars="0"/>
              <w:rPr>
                <w:b/>
                <w:color w:val="000000" w:themeColor="text1"/>
                <w:sz w:val="24"/>
                <w14:textFill>
                  <w14:solidFill>
                    <w14:schemeClr w14:val="tx1"/>
                  </w14:solidFill>
                </w14:textFill>
              </w:rPr>
            </w:pPr>
            <w:r>
              <w:rPr>
                <w:b/>
                <w:color w:val="000000" w:themeColor="text1"/>
                <w:sz w:val="24"/>
                <w14:textFill>
                  <w14:solidFill>
                    <w14:schemeClr w14:val="tx1"/>
                  </w14:solidFill>
                </w14:textFill>
              </w:rPr>
              <w:t>废气排放口情况基本情况</w:t>
            </w:r>
          </w:p>
          <w:p>
            <w:pPr>
              <w:pStyle w:val="6"/>
              <w:spacing w:before="0" w:after="0" w:line="36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表4-4  废气排放口基本情况一览表</w:t>
            </w:r>
          </w:p>
          <w:tbl>
            <w:tblPr>
              <w:tblStyle w:val="39"/>
              <w:tblW w:w="4985" w:type="pct"/>
              <w:tblInd w:w="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35"/>
              <w:gridCol w:w="1589"/>
              <w:gridCol w:w="1245"/>
              <w:gridCol w:w="1221"/>
              <w:gridCol w:w="646"/>
              <w:gridCol w:w="923"/>
              <w:gridCol w:w="819"/>
              <w:gridCol w:w="8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13" w:type="pct"/>
                  <w:vMerge w:val="restart"/>
                  <w:vAlign w:val="center"/>
                </w:tcPr>
                <w:p>
                  <w:pPr>
                    <w:pStyle w:val="143"/>
                    <w:adjustRightInd w:val="0"/>
                    <w:snapToGrid w:val="0"/>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排放口编号</w:t>
                  </w:r>
                </w:p>
              </w:tc>
              <w:tc>
                <w:tcPr>
                  <w:tcW w:w="976" w:type="pct"/>
                  <w:vMerge w:val="restart"/>
                  <w:vAlign w:val="center"/>
                </w:tcPr>
                <w:p>
                  <w:pPr>
                    <w:pStyle w:val="143"/>
                    <w:adjustRightInd w:val="0"/>
                    <w:snapToGrid w:val="0"/>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废气排放口名称</w:t>
                  </w:r>
                </w:p>
              </w:tc>
              <w:tc>
                <w:tcPr>
                  <w:tcW w:w="1515" w:type="pct"/>
                  <w:gridSpan w:val="2"/>
                  <w:vAlign w:val="center"/>
                </w:tcPr>
                <w:p>
                  <w:pPr>
                    <w:pStyle w:val="143"/>
                    <w:adjustRightInd w:val="0"/>
                    <w:snapToGrid w:val="0"/>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地理坐标</w:t>
                  </w:r>
                </w:p>
              </w:tc>
              <w:tc>
                <w:tcPr>
                  <w:tcW w:w="397" w:type="pct"/>
                  <w:vMerge w:val="restart"/>
                  <w:vAlign w:val="center"/>
                </w:tcPr>
                <w:p>
                  <w:pPr>
                    <w:pStyle w:val="143"/>
                    <w:adjustRightInd w:val="0"/>
                    <w:snapToGrid w:val="0"/>
                    <w:spacing w:line="240" w:lineRule="auto"/>
                    <w:ind w:left="-105" w:leftChars="-50" w:right="-105" w:rightChars="-50"/>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排气温度℃</w:t>
                  </w:r>
                </w:p>
              </w:tc>
              <w:tc>
                <w:tcPr>
                  <w:tcW w:w="1070" w:type="pct"/>
                  <w:gridSpan w:val="2"/>
                  <w:vAlign w:val="center"/>
                </w:tcPr>
                <w:p>
                  <w:pPr>
                    <w:pStyle w:val="143"/>
                    <w:adjustRightInd w:val="0"/>
                    <w:snapToGrid w:val="0"/>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排放口基本情况</w:t>
                  </w:r>
                </w:p>
              </w:tc>
              <w:tc>
                <w:tcPr>
                  <w:tcW w:w="530" w:type="pct"/>
                  <w:vMerge w:val="restart"/>
                  <w:vAlign w:val="center"/>
                </w:tcPr>
                <w:p>
                  <w:pPr>
                    <w:pStyle w:val="143"/>
                    <w:adjustRightInd w:val="0"/>
                    <w:snapToGrid w:val="0"/>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类型</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13" w:type="pct"/>
                  <w:vMerge w:val="continue"/>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p>
              </w:tc>
              <w:tc>
                <w:tcPr>
                  <w:tcW w:w="976" w:type="pct"/>
                  <w:vMerge w:val="continue"/>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p>
              </w:tc>
              <w:tc>
                <w:tcPr>
                  <w:tcW w:w="765" w:type="pct"/>
                  <w:vAlign w:val="center"/>
                </w:tcPr>
                <w:p>
                  <w:pPr>
                    <w:pStyle w:val="143"/>
                    <w:adjustRightInd w:val="0"/>
                    <w:snapToGrid w:val="0"/>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经度</w:t>
                  </w:r>
                </w:p>
              </w:tc>
              <w:tc>
                <w:tcPr>
                  <w:tcW w:w="750" w:type="pct"/>
                  <w:vAlign w:val="center"/>
                </w:tcPr>
                <w:p>
                  <w:pPr>
                    <w:pStyle w:val="143"/>
                    <w:adjustRightInd w:val="0"/>
                    <w:snapToGrid w:val="0"/>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纬度</w:t>
                  </w:r>
                </w:p>
              </w:tc>
              <w:tc>
                <w:tcPr>
                  <w:tcW w:w="397" w:type="pct"/>
                  <w:vMerge w:val="continue"/>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p>
              </w:tc>
              <w:tc>
                <w:tcPr>
                  <w:tcW w:w="567" w:type="pct"/>
                  <w:vAlign w:val="center"/>
                </w:tcPr>
                <w:p>
                  <w:pPr>
                    <w:pStyle w:val="143"/>
                    <w:adjustRightInd w:val="0"/>
                    <w:snapToGrid w:val="0"/>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高度</w:t>
                  </w:r>
                </w:p>
              </w:tc>
              <w:tc>
                <w:tcPr>
                  <w:tcW w:w="503" w:type="pct"/>
                  <w:vAlign w:val="center"/>
                </w:tcPr>
                <w:p>
                  <w:pPr>
                    <w:pStyle w:val="143"/>
                    <w:adjustRightInd w:val="0"/>
                    <w:snapToGrid w:val="0"/>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内径</w:t>
                  </w:r>
                </w:p>
              </w:tc>
              <w:tc>
                <w:tcPr>
                  <w:tcW w:w="530" w:type="pct"/>
                  <w:vMerge w:val="continue"/>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13"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DA001</w:t>
                  </w:r>
                </w:p>
              </w:tc>
              <w:tc>
                <w:tcPr>
                  <w:tcW w:w="976"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开料、雕刻、打磨、切割废气排放口</w:t>
                  </w:r>
                </w:p>
              </w:tc>
              <w:tc>
                <w:tcPr>
                  <w:tcW w:w="765" w:type="pct"/>
                  <w:vAlign w:val="center"/>
                </w:tcPr>
                <w:p>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113°57′37.70″</w:t>
                  </w:r>
                </w:p>
              </w:tc>
              <w:tc>
                <w:tcPr>
                  <w:tcW w:w="750" w:type="pct"/>
                  <w:vAlign w:val="center"/>
                </w:tcPr>
                <w:p>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23°12′47.61″</w:t>
                  </w:r>
                </w:p>
              </w:tc>
              <w:tc>
                <w:tcPr>
                  <w:tcW w:w="397"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25</w:t>
                  </w:r>
                </w:p>
              </w:tc>
              <w:tc>
                <w:tcPr>
                  <w:tcW w:w="567"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15m</w:t>
                  </w:r>
                </w:p>
              </w:tc>
              <w:tc>
                <w:tcPr>
                  <w:tcW w:w="503" w:type="pct"/>
                  <w:vAlign w:val="center"/>
                </w:tcPr>
                <w:p>
                  <w:pPr>
                    <w:widowControl/>
                    <w:adjustRightInd w:val="0"/>
                    <w:snapToGrid w:val="0"/>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0.5m</w:t>
                  </w:r>
                </w:p>
              </w:tc>
              <w:tc>
                <w:tcPr>
                  <w:tcW w:w="53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一般排放口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13"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D</w:t>
                  </w:r>
                  <w:r>
                    <w:rPr>
                      <w:rFonts w:ascii="Times New Roman" w:hAnsi="Times New Roman"/>
                      <w:color w:val="000000" w:themeColor="text1"/>
                      <w:sz w:val="21"/>
                      <w:szCs w:val="21"/>
                      <w14:textFill>
                        <w14:solidFill>
                          <w14:schemeClr w14:val="tx1"/>
                        </w14:solidFill>
                      </w14:textFill>
                    </w:rPr>
                    <w:t>A002</w:t>
                  </w:r>
                </w:p>
              </w:tc>
              <w:tc>
                <w:tcPr>
                  <w:tcW w:w="976" w:type="pct"/>
                  <w:vAlign w:val="center"/>
                </w:tcPr>
                <w:p>
                  <w:pPr>
                    <w:pStyle w:val="143"/>
                    <w:adjustRightInd w:val="0"/>
                    <w:snapToGrid w:val="0"/>
                    <w:spacing w:line="240" w:lineRule="auto"/>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调漆、喷漆、晾干</w:t>
                  </w:r>
                  <w:r>
                    <w:rPr>
                      <w:rFonts w:ascii="Times New Roman" w:hAnsi="Times New Roman"/>
                      <w:color w:val="000000" w:themeColor="text1"/>
                      <w:sz w:val="21"/>
                      <w:szCs w:val="21"/>
                      <w14:textFill>
                        <w14:solidFill>
                          <w14:schemeClr w14:val="tx1"/>
                        </w14:solidFill>
                      </w14:textFill>
                    </w:rPr>
                    <w:t>废气排放口</w:t>
                  </w:r>
                </w:p>
              </w:tc>
              <w:tc>
                <w:tcPr>
                  <w:tcW w:w="765" w:type="pct"/>
                  <w:vAlign w:val="center"/>
                </w:tcPr>
                <w:p>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113°57′36.52″</w:t>
                  </w:r>
                </w:p>
              </w:tc>
              <w:tc>
                <w:tcPr>
                  <w:tcW w:w="750" w:type="pct"/>
                  <w:vAlign w:val="center"/>
                </w:tcPr>
                <w:p>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23°12′48.87″</w:t>
                  </w:r>
                </w:p>
              </w:tc>
              <w:tc>
                <w:tcPr>
                  <w:tcW w:w="397"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25</w:t>
                  </w:r>
                </w:p>
              </w:tc>
              <w:tc>
                <w:tcPr>
                  <w:tcW w:w="567"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15m</w:t>
                  </w:r>
                </w:p>
              </w:tc>
              <w:tc>
                <w:tcPr>
                  <w:tcW w:w="503"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0.5m</w:t>
                  </w:r>
                </w:p>
              </w:tc>
              <w:tc>
                <w:tcPr>
                  <w:tcW w:w="53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一般排放口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13"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D</w:t>
                  </w:r>
                  <w:r>
                    <w:rPr>
                      <w:rFonts w:ascii="Times New Roman" w:hAnsi="Times New Roman"/>
                      <w:color w:val="000000" w:themeColor="text1"/>
                      <w:sz w:val="21"/>
                      <w:szCs w:val="21"/>
                      <w14:textFill>
                        <w14:solidFill>
                          <w14:schemeClr w14:val="tx1"/>
                        </w14:solidFill>
                      </w14:textFill>
                    </w:rPr>
                    <w:t>A003</w:t>
                  </w:r>
                </w:p>
              </w:tc>
              <w:tc>
                <w:tcPr>
                  <w:tcW w:w="976" w:type="pct"/>
                  <w:vAlign w:val="center"/>
                </w:tcPr>
                <w:p>
                  <w:pPr>
                    <w:pStyle w:val="143"/>
                    <w:adjustRightInd w:val="0"/>
                    <w:snapToGrid w:val="0"/>
                    <w:spacing w:line="240" w:lineRule="auto"/>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焊接烟尘废气排放口</w:t>
                  </w:r>
                </w:p>
              </w:tc>
              <w:tc>
                <w:tcPr>
                  <w:tcW w:w="765" w:type="pct"/>
                  <w:vAlign w:val="center"/>
                </w:tcPr>
                <w:p>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113°57′35.95″</w:t>
                  </w:r>
                </w:p>
              </w:tc>
              <w:tc>
                <w:tcPr>
                  <w:tcW w:w="750" w:type="pct"/>
                  <w:vAlign w:val="center"/>
                </w:tcPr>
                <w:p>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23°12′48.26″</w:t>
                  </w:r>
                </w:p>
              </w:tc>
              <w:tc>
                <w:tcPr>
                  <w:tcW w:w="397"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25</w:t>
                  </w:r>
                </w:p>
              </w:tc>
              <w:tc>
                <w:tcPr>
                  <w:tcW w:w="567"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15m</w:t>
                  </w:r>
                </w:p>
              </w:tc>
              <w:tc>
                <w:tcPr>
                  <w:tcW w:w="503" w:type="pct"/>
                  <w:vAlign w:val="center"/>
                </w:tcPr>
                <w:p>
                  <w:pPr>
                    <w:widowControl/>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0.5m</w:t>
                  </w:r>
                </w:p>
              </w:tc>
              <w:tc>
                <w:tcPr>
                  <w:tcW w:w="53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一般排放口</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13"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D</w:t>
                  </w:r>
                  <w:r>
                    <w:rPr>
                      <w:rFonts w:ascii="Times New Roman" w:hAnsi="Times New Roman"/>
                      <w:color w:val="000000" w:themeColor="text1"/>
                      <w:sz w:val="21"/>
                      <w:szCs w:val="21"/>
                      <w14:textFill>
                        <w14:solidFill>
                          <w14:schemeClr w14:val="tx1"/>
                        </w14:solidFill>
                      </w14:textFill>
                    </w:rPr>
                    <w:t>A004</w:t>
                  </w:r>
                </w:p>
              </w:tc>
              <w:tc>
                <w:tcPr>
                  <w:tcW w:w="976" w:type="pct"/>
                  <w:vAlign w:val="center"/>
                </w:tcPr>
                <w:p>
                  <w:pPr>
                    <w:pStyle w:val="143"/>
                    <w:adjustRightInd w:val="0"/>
                    <w:snapToGrid w:val="0"/>
                    <w:spacing w:line="240" w:lineRule="auto"/>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油烟废气排放口</w:t>
                  </w:r>
                </w:p>
              </w:tc>
              <w:tc>
                <w:tcPr>
                  <w:tcW w:w="765" w:type="pct"/>
                  <w:vAlign w:val="center"/>
                </w:tcPr>
                <w:p>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113°57′39.20″</w:t>
                  </w:r>
                </w:p>
              </w:tc>
              <w:tc>
                <w:tcPr>
                  <w:tcW w:w="750" w:type="pct"/>
                  <w:vAlign w:val="center"/>
                </w:tcPr>
                <w:p>
                  <w:pPr>
                    <w:adjustRightInd w:val="0"/>
                    <w:snapToGrid w:val="0"/>
                    <w:ind w:left="-105" w:leftChars="-50" w:right="-105" w:rightChars="-5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23°12′48.70″</w:t>
                  </w:r>
                </w:p>
              </w:tc>
              <w:tc>
                <w:tcPr>
                  <w:tcW w:w="397"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25</w:t>
                  </w:r>
                </w:p>
              </w:tc>
              <w:tc>
                <w:tcPr>
                  <w:tcW w:w="567" w:type="pct"/>
                  <w:vAlign w:val="center"/>
                </w:tcPr>
                <w:p>
                  <w:pPr>
                    <w:pStyle w:val="143"/>
                    <w:adjustRightInd w:val="0"/>
                    <w:snapToGrid w:val="0"/>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15m</w:t>
                  </w:r>
                </w:p>
              </w:tc>
              <w:tc>
                <w:tcPr>
                  <w:tcW w:w="503" w:type="pct"/>
                  <w:vAlign w:val="center"/>
                </w:tcPr>
                <w:p>
                  <w:pPr>
                    <w:widowControl/>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.25</w:t>
                  </w:r>
                </w:p>
              </w:tc>
              <w:tc>
                <w:tcPr>
                  <w:tcW w:w="530"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一般排放口</w:t>
                  </w:r>
                </w:p>
              </w:tc>
            </w:tr>
          </w:tbl>
          <w:p>
            <w:pPr>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5</w:t>
            </w:r>
            <w:r>
              <w:rPr>
                <w:b/>
                <w:color w:val="000000" w:themeColor="text1"/>
                <w:sz w:val="24"/>
                <w14:textFill>
                  <w14:solidFill>
                    <w14:schemeClr w14:val="tx1"/>
                  </w14:solidFill>
                </w14:textFill>
              </w:rPr>
              <w:t>、监测要求</w:t>
            </w:r>
          </w:p>
          <w:p>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根据《排污单位自行监测技术指南 总则》（HJ 819-2017）及《排污单位自行监测技术指南 涂装》（H</w:t>
            </w:r>
            <w:r>
              <w:rPr>
                <w:bCs/>
                <w:color w:val="000000" w:themeColor="text1"/>
                <w:sz w:val="24"/>
                <w14:textFill>
                  <w14:solidFill>
                    <w14:schemeClr w14:val="tx1"/>
                  </w14:solidFill>
                </w14:textFill>
              </w:rPr>
              <w:t>J1086-2020</w:t>
            </w:r>
            <w:r>
              <w:rPr>
                <w:rFonts w:hint="eastAsia"/>
                <w:bCs/>
                <w:color w:val="000000" w:themeColor="text1"/>
                <w:sz w:val="24"/>
                <w14:textFill>
                  <w14:solidFill>
                    <w14:schemeClr w14:val="tx1"/>
                  </w14:solidFill>
                </w14:textFill>
              </w:rPr>
              <w:t>），项目监测要求见表4-</w:t>
            </w:r>
            <w:r>
              <w:rPr>
                <w:bCs/>
                <w:color w:val="000000" w:themeColor="text1"/>
                <w:sz w:val="24"/>
                <w14:textFill>
                  <w14:solidFill>
                    <w14:schemeClr w14:val="tx1"/>
                  </w14:solidFill>
                </w14:textFill>
              </w:rPr>
              <w:t>5</w:t>
            </w:r>
            <w:r>
              <w:rPr>
                <w:rFonts w:hint="eastAsia"/>
                <w:bCs/>
                <w:color w:val="000000" w:themeColor="text1"/>
                <w:sz w:val="24"/>
                <w14:textFill>
                  <w14:solidFill>
                    <w14:schemeClr w14:val="tx1"/>
                  </w14:solidFill>
                </w14:textFill>
              </w:rPr>
              <w:t>。</w:t>
            </w:r>
          </w:p>
          <w:p>
            <w:pPr>
              <w:pStyle w:val="6"/>
              <w:spacing w:before="0" w:after="0" w:line="36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表4-5  大气污染物监测要求一览表</w:t>
            </w:r>
          </w:p>
          <w:tbl>
            <w:tblPr>
              <w:tblStyle w:val="39"/>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35"/>
              <w:gridCol w:w="1056"/>
              <w:gridCol w:w="841"/>
              <w:gridCol w:w="468"/>
              <w:gridCol w:w="1346"/>
              <w:gridCol w:w="1222"/>
              <w:gridCol w:w="23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0" w:type="auto"/>
                  <w:gridSpan w:val="2"/>
                  <w:vAlign w:val="center"/>
                </w:tcPr>
                <w:p>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检测点位</w:t>
                  </w:r>
                </w:p>
              </w:tc>
              <w:tc>
                <w:tcPr>
                  <w:tcW w:w="0" w:type="auto"/>
                  <w:vMerge w:val="restart"/>
                  <w:vAlign w:val="center"/>
                </w:tcPr>
                <w:p>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污染物种类</w:t>
                  </w:r>
                </w:p>
              </w:tc>
              <w:tc>
                <w:tcPr>
                  <w:tcW w:w="468" w:type="dxa"/>
                  <w:vMerge w:val="restart"/>
                  <w:vAlign w:val="center"/>
                </w:tcPr>
                <w:p>
                  <w:pPr>
                    <w:pStyle w:val="6"/>
                    <w:spacing w:before="0" w:after="0" w:line="240" w:lineRule="auto"/>
                    <w:ind w:left="-105" w:leftChars="-50" w:right="-105" w:rightChars="-50"/>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监测频次</w:t>
                  </w:r>
                </w:p>
              </w:tc>
              <w:tc>
                <w:tcPr>
                  <w:tcW w:w="5155" w:type="dxa"/>
                  <w:gridSpan w:val="3"/>
                  <w:vAlign w:val="center"/>
                </w:tcPr>
                <w:p>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执行标准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0" w:type="auto"/>
                  <w:vAlign w:val="center"/>
                </w:tcPr>
                <w:p>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编号</w:t>
                  </w:r>
                </w:p>
              </w:tc>
              <w:tc>
                <w:tcPr>
                  <w:tcW w:w="0" w:type="auto"/>
                  <w:vAlign w:val="center"/>
                </w:tcPr>
                <w:p>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名称</w:t>
                  </w:r>
                </w:p>
              </w:tc>
              <w:tc>
                <w:tcPr>
                  <w:tcW w:w="0" w:type="auto"/>
                  <w:vMerge w:val="continue"/>
                  <w:vAlign w:val="center"/>
                </w:tcPr>
                <w:p>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p>
              </w:tc>
              <w:tc>
                <w:tcPr>
                  <w:tcW w:w="468" w:type="dxa"/>
                  <w:vMerge w:val="continue"/>
                  <w:vAlign w:val="center"/>
                </w:tcPr>
                <w:p>
                  <w:pPr>
                    <w:pStyle w:val="6"/>
                    <w:spacing w:before="0" w:after="0" w:line="240" w:lineRule="auto"/>
                    <w:ind w:left="-105" w:leftChars="-50" w:right="-105" w:rightChars="-50"/>
                    <w:jc w:val="center"/>
                    <w:rPr>
                      <w:rFonts w:ascii="Times New Roman" w:hAnsi="Times New Roman" w:eastAsia="宋体"/>
                      <w:color w:val="000000" w:themeColor="text1"/>
                      <w:sz w:val="21"/>
                      <w:szCs w:val="21"/>
                      <w14:textFill>
                        <w14:solidFill>
                          <w14:schemeClr w14:val="tx1"/>
                        </w14:solidFill>
                      </w14:textFill>
                    </w:rPr>
                  </w:pPr>
                </w:p>
              </w:tc>
              <w:tc>
                <w:tcPr>
                  <w:tcW w:w="1346" w:type="dxa"/>
                  <w:vAlign w:val="center"/>
                </w:tcPr>
                <w:p>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排放浓度（mg/m</w:t>
                  </w:r>
                  <w:r>
                    <w:rPr>
                      <w:rFonts w:ascii="Times New Roman" w:hAnsi="Times New Roman" w:eastAsia="宋体"/>
                      <w:color w:val="000000" w:themeColor="text1"/>
                      <w:sz w:val="21"/>
                      <w:szCs w:val="21"/>
                      <w:vertAlign w:val="superscript"/>
                      <w14:textFill>
                        <w14:solidFill>
                          <w14:schemeClr w14:val="tx1"/>
                        </w14:solidFill>
                      </w14:textFill>
                    </w:rPr>
                    <w:t>3</w:t>
                  </w:r>
                  <w:r>
                    <w:rPr>
                      <w:rFonts w:ascii="Times New Roman" w:hAnsi="Times New Roman" w:eastAsia="宋体"/>
                      <w:color w:val="000000" w:themeColor="text1"/>
                      <w:sz w:val="21"/>
                      <w:szCs w:val="21"/>
                      <w14:textFill>
                        <w14:solidFill>
                          <w14:schemeClr w14:val="tx1"/>
                        </w14:solidFill>
                      </w14:textFill>
                    </w:rPr>
                    <w:t>）</w:t>
                  </w:r>
                </w:p>
              </w:tc>
              <w:tc>
                <w:tcPr>
                  <w:tcW w:w="0" w:type="auto"/>
                  <w:vAlign w:val="center"/>
                </w:tcPr>
                <w:p>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最高允许排放浓度（kg/h）</w:t>
                  </w:r>
                </w:p>
              </w:tc>
              <w:tc>
                <w:tcPr>
                  <w:tcW w:w="0" w:type="auto"/>
                  <w:vAlign w:val="center"/>
                </w:tcPr>
                <w:p>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标准名称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DA001</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开料、雕刻、打磨、切割废气排放口</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颗粒物</w:t>
                  </w:r>
                </w:p>
              </w:tc>
              <w:tc>
                <w:tcPr>
                  <w:tcW w:w="468" w:type="dxa"/>
                  <w:vAlign w:val="center"/>
                </w:tcPr>
                <w:p>
                  <w:pPr>
                    <w:pStyle w:val="6"/>
                    <w:spacing w:before="0" w:after="0" w:line="240" w:lineRule="auto"/>
                    <w:ind w:left="-105" w:leftChars="-50" w:right="-105" w:rightChars="-50"/>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1次/年</w:t>
                  </w:r>
                </w:p>
              </w:tc>
              <w:tc>
                <w:tcPr>
                  <w:tcW w:w="1346" w:type="dxa"/>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120</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1.45</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广东省《大气污染物排放限值》（DB44/27-2001）第二时段无组织标准及二级标准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0" w:type="auto"/>
                  <w:vMerge w:val="restart"/>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DA00</w:t>
                  </w:r>
                  <w:r>
                    <w:rPr>
                      <w:rFonts w:ascii="Times New Roman" w:hAnsi="Times New Roman" w:eastAsia="宋体"/>
                      <w:b w:val="0"/>
                      <w:bCs w:val="0"/>
                      <w:color w:val="000000" w:themeColor="text1"/>
                      <w:sz w:val="21"/>
                      <w:szCs w:val="21"/>
                      <w14:textFill>
                        <w14:solidFill>
                          <w14:schemeClr w14:val="tx1"/>
                        </w14:solidFill>
                      </w14:textFill>
                    </w:rPr>
                    <w:t>2</w:t>
                  </w:r>
                </w:p>
              </w:tc>
              <w:tc>
                <w:tcPr>
                  <w:tcW w:w="0" w:type="auto"/>
                  <w:vMerge w:val="restart"/>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喷漆、烘烤、补土</w:t>
                  </w:r>
                  <w:r>
                    <w:rPr>
                      <w:rFonts w:ascii="Times New Roman" w:hAnsi="Times New Roman" w:eastAsia="宋体"/>
                      <w:b w:val="0"/>
                      <w:bCs w:val="0"/>
                      <w:color w:val="000000" w:themeColor="text1"/>
                      <w:sz w:val="21"/>
                      <w:szCs w:val="21"/>
                      <w14:textFill>
                        <w14:solidFill>
                          <w14:schemeClr w14:val="tx1"/>
                        </w14:solidFill>
                      </w14:textFill>
                    </w:rPr>
                    <w:t>废气排放口</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TVOC</w:t>
                  </w:r>
                </w:p>
              </w:tc>
              <w:tc>
                <w:tcPr>
                  <w:tcW w:w="468" w:type="dxa"/>
                  <w:vMerge w:val="restart"/>
                  <w:vAlign w:val="center"/>
                </w:tcPr>
                <w:p>
                  <w:pPr>
                    <w:pStyle w:val="6"/>
                    <w:spacing w:before="0" w:after="0" w:line="240" w:lineRule="auto"/>
                    <w:ind w:left="-105" w:leftChars="-50" w:right="-105" w:rightChars="-50"/>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1次/年</w:t>
                  </w:r>
                </w:p>
              </w:tc>
              <w:tc>
                <w:tcPr>
                  <w:tcW w:w="1346" w:type="dxa"/>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100</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广东省《固定污染源挥发性有机物综合排放标准》（DB44/2367-2022）</w:t>
                  </w:r>
                  <w:r>
                    <w:rPr>
                      <w:rFonts w:hint="eastAsia" w:ascii="Times New Roman" w:hAnsi="Times New Roman" w:eastAsia="宋体"/>
                      <w:b w:val="0"/>
                      <w:bCs w:val="0"/>
                      <w:color w:val="000000" w:themeColor="text1"/>
                      <w:sz w:val="21"/>
                      <w:szCs w:val="21"/>
                      <w14:textFill>
                        <w14:solidFill>
                          <w14:schemeClr w14:val="tx1"/>
                        </w14:solidFill>
                      </w14:textFill>
                    </w:rPr>
                    <w:t>表1挥发性有机物排放限值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0" w:type="auto"/>
                  <w:vMerge w:val="continue"/>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p>
              </w:tc>
              <w:tc>
                <w:tcPr>
                  <w:tcW w:w="0" w:type="auto"/>
                  <w:vMerge w:val="continue"/>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颗粒物</w:t>
                  </w:r>
                </w:p>
              </w:tc>
              <w:tc>
                <w:tcPr>
                  <w:tcW w:w="468" w:type="dxa"/>
                  <w:vMerge w:val="continue"/>
                  <w:vAlign w:val="center"/>
                </w:tcPr>
                <w:p>
                  <w:pPr>
                    <w:pStyle w:val="6"/>
                    <w:spacing w:before="0" w:after="0" w:line="240" w:lineRule="auto"/>
                    <w:ind w:left="-105" w:leftChars="-50" w:right="-105" w:rightChars="-50"/>
                    <w:jc w:val="center"/>
                    <w:rPr>
                      <w:rFonts w:ascii="Times New Roman" w:hAnsi="Times New Roman" w:eastAsia="宋体"/>
                      <w:b w:val="0"/>
                      <w:bCs w:val="0"/>
                      <w:color w:val="000000" w:themeColor="text1"/>
                      <w:sz w:val="21"/>
                      <w:szCs w:val="21"/>
                      <w14:textFill>
                        <w14:solidFill>
                          <w14:schemeClr w14:val="tx1"/>
                        </w14:solidFill>
                      </w14:textFill>
                    </w:rPr>
                  </w:pPr>
                </w:p>
              </w:tc>
              <w:tc>
                <w:tcPr>
                  <w:tcW w:w="1346" w:type="dxa"/>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120</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1.45</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广东省《大气污染物排放限值》（DB44/27-2001）第二时段无组织标准及二级标准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D</w:t>
                  </w:r>
                  <w:r>
                    <w:rPr>
                      <w:rFonts w:ascii="Times New Roman" w:hAnsi="Times New Roman" w:eastAsia="宋体"/>
                      <w:b w:val="0"/>
                      <w:bCs w:val="0"/>
                      <w:color w:val="000000" w:themeColor="text1"/>
                      <w:sz w:val="21"/>
                      <w:szCs w:val="21"/>
                      <w14:textFill>
                        <w14:solidFill>
                          <w14:schemeClr w14:val="tx1"/>
                        </w14:solidFill>
                      </w14:textFill>
                    </w:rPr>
                    <w:t>A003</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打磨、抛光废气排放口</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颗粒物</w:t>
                  </w:r>
                </w:p>
              </w:tc>
              <w:tc>
                <w:tcPr>
                  <w:tcW w:w="468" w:type="dxa"/>
                  <w:vAlign w:val="center"/>
                </w:tcPr>
                <w:p>
                  <w:pPr>
                    <w:pStyle w:val="6"/>
                    <w:spacing w:before="0" w:after="0" w:line="240" w:lineRule="auto"/>
                    <w:ind w:left="-105" w:leftChars="-50" w:right="-105" w:rightChars="-50"/>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1次/年</w:t>
                  </w:r>
                </w:p>
              </w:tc>
              <w:tc>
                <w:tcPr>
                  <w:tcW w:w="1346" w:type="dxa"/>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120</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1.45</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广东省《大气污染物排放限值》（DB44/27-2001）第二时段无组织标准及二级标准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0" w:type="auto"/>
                  <w:vMerge w:val="restart"/>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w:t>
                  </w:r>
                </w:p>
              </w:tc>
              <w:tc>
                <w:tcPr>
                  <w:tcW w:w="0" w:type="auto"/>
                  <w:vMerge w:val="restart"/>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厂界</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总VOC</w:t>
                  </w:r>
                  <w:r>
                    <w:rPr>
                      <w:rFonts w:ascii="Times New Roman" w:hAnsi="Times New Roman" w:eastAsia="宋体"/>
                      <w:b w:val="0"/>
                      <w:bCs w:val="0"/>
                      <w:color w:val="000000" w:themeColor="text1"/>
                      <w:sz w:val="21"/>
                      <w:szCs w:val="21"/>
                      <w14:textFill>
                        <w14:solidFill>
                          <w14:schemeClr w14:val="tx1"/>
                        </w14:solidFill>
                      </w14:textFill>
                    </w:rPr>
                    <w:t>s</w:t>
                  </w:r>
                </w:p>
              </w:tc>
              <w:tc>
                <w:tcPr>
                  <w:tcW w:w="468" w:type="dxa"/>
                  <w:vMerge w:val="restart"/>
                  <w:vAlign w:val="center"/>
                </w:tcPr>
                <w:p>
                  <w:pPr>
                    <w:pStyle w:val="6"/>
                    <w:spacing w:before="0" w:after="0" w:line="240" w:lineRule="auto"/>
                    <w:ind w:left="-105" w:leftChars="-50" w:right="-105" w:rightChars="-50"/>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1次/年</w:t>
                  </w:r>
                </w:p>
              </w:tc>
              <w:tc>
                <w:tcPr>
                  <w:tcW w:w="1346" w:type="dxa"/>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2.0</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广东省《家具制造行业挥发性有机化合物排放标准》（DB44/814-2010）无组织排放监控点浓度限值标准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0" w:type="auto"/>
                  <w:vMerge w:val="continue"/>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p>
              </w:tc>
              <w:tc>
                <w:tcPr>
                  <w:tcW w:w="0" w:type="auto"/>
                  <w:vMerge w:val="continue"/>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颗粒物</w:t>
                  </w:r>
                </w:p>
              </w:tc>
              <w:tc>
                <w:tcPr>
                  <w:tcW w:w="468" w:type="dxa"/>
                  <w:vMerge w:val="continue"/>
                  <w:vAlign w:val="center"/>
                </w:tcPr>
                <w:p>
                  <w:pPr>
                    <w:pStyle w:val="6"/>
                    <w:spacing w:before="0" w:after="0" w:line="240" w:lineRule="auto"/>
                    <w:ind w:left="-105" w:leftChars="-50" w:right="-105" w:rightChars="-50"/>
                    <w:jc w:val="center"/>
                    <w:rPr>
                      <w:rFonts w:ascii="Times New Roman" w:hAnsi="Times New Roman" w:eastAsia="宋体"/>
                      <w:b w:val="0"/>
                      <w:bCs w:val="0"/>
                      <w:color w:val="000000" w:themeColor="text1"/>
                      <w:sz w:val="21"/>
                      <w:szCs w:val="21"/>
                      <w14:textFill>
                        <w14:solidFill>
                          <w14:schemeClr w14:val="tx1"/>
                        </w14:solidFill>
                      </w14:textFill>
                    </w:rPr>
                  </w:pPr>
                </w:p>
              </w:tc>
              <w:tc>
                <w:tcPr>
                  <w:tcW w:w="1346" w:type="dxa"/>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1.0</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w:t>
                  </w:r>
                </w:p>
              </w:tc>
              <w:tc>
                <w:tcPr>
                  <w:tcW w:w="0" w:type="auto"/>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广东省《大气污染物排放限值》（DB44/27-2001）（第二时段）无组织排放监控浓度限值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0" w:type="auto"/>
                  <w:vMerge w:val="restart"/>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w:t>
                  </w:r>
                </w:p>
              </w:tc>
              <w:tc>
                <w:tcPr>
                  <w:tcW w:w="0" w:type="auto"/>
                  <w:vMerge w:val="restart"/>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ascii="Times New Roman" w:hAnsi="Times New Roman" w:eastAsia="宋体"/>
                      <w:b w:val="0"/>
                      <w:bCs w:val="0"/>
                      <w:color w:val="000000" w:themeColor="text1"/>
                      <w:sz w:val="21"/>
                      <w:szCs w:val="21"/>
                      <w14:textFill>
                        <w14:solidFill>
                          <w14:schemeClr w14:val="tx1"/>
                        </w14:solidFill>
                      </w14:textFill>
                    </w:rPr>
                    <w:t>厂区内VOCs无组织排放监控点</w:t>
                  </w:r>
                </w:p>
              </w:tc>
              <w:tc>
                <w:tcPr>
                  <w:tcW w:w="0" w:type="auto"/>
                  <w:vMerge w:val="restart"/>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非甲烷总烃</w:t>
                  </w:r>
                </w:p>
              </w:tc>
              <w:tc>
                <w:tcPr>
                  <w:tcW w:w="468" w:type="dxa"/>
                  <w:vMerge w:val="restart"/>
                  <w:vAlign w:val="center"/>
                </w:tcPr>
                <w:p>
                  <w:pPr>
                    <w:pStyle w:val="6"/>
                    <w:spacing w:before="0" w:after="0" w:line="240" w:lineRule="auto"/>
                    <w:ind w:left="-105" w:leftChars="-50" w:right="-105" w:rightChars="-50"/>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1次/年</w:t>
                  </w:r>
                </w:p>
              </w:tc>
              <w:tc>
                <w:tcPr>
                  <w:tcW w:w="1346" w:type="dxa"/>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6</w:t>
                  </w:r>
                </w:p>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（监控点处1h平均浓度值）</w:t>
                  </w:r>
                </w:p>
              </w:tc>
              <w:tc>
                <w:tcPr>
                  <w:tcW w:w="0" w:type="auto"/>
                  <w:vMerge w:val="restart"/>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w:t>
                  </w:r>
                </w:p>
              </w:tc>
              <w:tc>
                <w:tcPr>
                  <w:tcW w:w="0" w:type="auto"/>
                  <w:vMerge w:val="restart"/>
                  <w:vAlign w:val="center"/>
                </w:tcPr>
                <w:p>
                  <w:pPr>
                    <w:pStyle w:val="6"/>
                    <w:spacing w:before="0" w:after="0" w:line="240" w:lineRule="auto"/>
                    <w:jc w:val="center"/>
                    <w:rPr>
                      <w:rFonts w:ascii="Times New Roman" w:hAnsi="Times New Roman" w:eastAsia="宋体"/>
                      <w:b w:val="0"/>
                      <w:bCs w:val="0"/>
                      <w:color w:val="000000" w:themeColor="text1"/>
                      <w:sz w:val="21"/>
                      <w:szCs w:val="21"/>
                      <w:lang w:val="pl-PL"/>
                      <w14:textFill>
                        <w14:solidFill>
                          <w14:schemeClr w14:val="tx1"/>
                        </w14:solidFill>
                      </w14:textFill>
                    </w:rPr>
                  </w:pPr>
                  <w:r>
                    <w:rPr>
                      <w:rFonts w:hint="eastAsia" w:ascii="Times New Roman" w:hAnsi="Times New Roman" w:eastAsia="宋体"/>
                      <w:b w:val="0"/>
                      <w:bCs w:val="0"/>
                      <w:color w:val="000000" w:themeColor="text1"/>
                      <w:sz w:val="21"/>
                      <w:szCs w:val="21"/>
                      <w:lang w:val="pl-PL"/>
                      <w14:textFill>
                        <w14:solidFill>
                          <w14:schemeClr w14:val="tx1"/>
                        </w14:solidFill>
                      </w14:textFill>
                    </w:rPr>
                    <w:t>广东省《固定污染源挥发性有机物综合排放标准》（DB44/2367-2022）中表3厂区内无组织排放限值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0" w:type="auto"/>
                  <w:vMerge w:val="continue"/>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p>
              </w:tc>
              <w:tc>
                <w:tcPr>
                  <w:tcW w:w="0" w:type="auto"/>
                  <w:vMerge w:val="continue"/>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p>
              </w:tc>
              <w:tc>
                <w:tcPr>
                  <w:tcW w:w="0" w:type="auto"/>
                  <w:vMerge w:val="continue"/>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p>
              </w:tc>
              <w:tc>
                <w:tcPr>
                  <w:tcW w:w="468" w:type="dxa"/>
                  <w:vMerge w:val="continue"/>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p>
              </w:tc>
              <w:tc>
                <w:tcPr>
                  <w:tcW w:w="1346" w:type="dxa"/>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20</w:t>
                  </w:r>
                </w:p>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r>
                    <w:rPr>
                      <w:rFonts w:hint="eastAsia" w:ascii="Times New Roman" w:hAnsi="Times New Roman" w:eastAsia="宋体"/>
                      <w:b w:val="0"/>
                      <w:bCs w:val="0"/>
                      <w:color w:val="000000" w:themeColor="text1"/>
                      <w:sz w:val="21"/>
                      <w:szCs w:val="21"/>
                      <w14:textFill>
                        <w14:solidFill>
                          <w14:schemeClr w14:val="tx1"/>
                        </w14:solidFill>
                      </w14:textFill>
                    </w:rPr>
                    <w:t>（监控点处任意一次浓度限值）</w:t>
                  </w:r>
                </w:p>
              </w:tc>
              <w:tc>
                <w:tcPr>
                  <w:tcW w:w="0" w:type="auto"/>
                  <w:vMerge w:val="continue"/>
                  <w:vAlign w:val="center"/>
                </w:tcPr>
                <w:p>
                  <w:pPr>
                    <w:pStyle w:val="6"/>
                    <w:spacing w:before="0" w:after="0" w:line="240" w:lineRule="auto"/>
                    <w:jc w:val="center"/>
                    <w:rPr>
                      <w:rFonts w:ascii="Times New Roman" w:hAnsi="Times New Roman" w:eastAsia="宋体"/>
                      <w:b w:val="0"/>
                      <w:bCs w:val="0"/>
                      <w:color w:val="000000" w:themeColor="text1"/>
                      <w:sz w:val="21"/>
                      <w:szCs w:val="21"/>
                      <w14:textFill>
                        <w14:solidFill>
                          <w14:schemeClr w14:val="tx1"/>
                        </w14:solidFill>
                      </w14:textFill>
                    </w:rPr>
                  </w:pPr>
                </w:p>
              </w:tc>
              <w:tc>
                <w:tcPr>
                  <w:tcW w:w="0" w:type="auto"/>
                  <w:vMerge w:val="continue"/>
                  <w:vAlign w:val="center"/>
                </w:tcPr>
                <w:p>
                  <w:pPr>
                    <w:pStyle w:val="6"/>
                    <w:spacing w:before="0" w:after="0" w:line="240" w:lineRule="auto"/>
                    <w:jc w:val="center"/>
                    <w:rPr>
                      <w:rFonts w:ascii="Times New Roman" w:hAnsi="Times New Roman" w:eastAsia="宋体"/>
                      <w:b w:val="0"/>
                      <w:bCs w:val="0"/>
                      <w:color w:val="000000" w:themeColor="text1"/>
                      <w:sz w:val="21"/>
                      <w:szCs w:val="21"/>
                      <w:lang w:val="pl-PL"/>
                      <w14:textFill>
                        <w14:solidFill>
                          <w14:schemeClr w14:val="tx1"/>
                        </w14:solidFill>
                      </w14:textFill>
                    </w:rPr>
                  </w:pPr>
                </w:p>
              </w:tc>
            </w:tr>
          </w:tbl>
          <w:p>
            <w:pPr>
              <w:spacing w:before="156" w:beforeLines="50"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6</w:t>
            </w:r>
            <w:r>
              <w:rPr>
                <w:b/>
                <w:color w:val="000000" w:themeColor="text1"/>
                <w:sz w:val="24"/>
                <w14:textFill>
                  <w14:solidFill>
                    <w14:schemeClr w14:val="tx1"/>
                  </w14:solidFill>
                </w14:textFill>
              </w:rPr>
              <w:t>、环境影响分析结论</w:t>
            </w:r>
          </w:p>
          <w:p>
            <w:pPr>
              <w:spacing w:line="360" w:lineRule="auto"/>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w:t>
            </w:r>
            <w:r>
              <w:rPr>
                <w:b/>
                <w:bCs/>
                <w:color w:val="000000" w:themeColor="text1"/>
                <w:kern w:val="0"/>
                <w:sz w:val="24"/>
                <w14:textFill>
                  <w14:solidFill>
                    <w14:schemeClr w14:val="tx1"/>
                  </w14:solidFill>
                </w14:textFill>
              </w:rPr>
              <w:t>1</w:t>
            </w:r>
            <w:r>
              <w:rPr>
                <w:rFonts w:hint="eastAsia"/>
                <w:b/>
                <w:bCs/>
                <w:color w:val="000000" w:themeColor="text1"/>
                <w:kern w:val="0"/>
                <w:sz w:val="24"/>
                <w14:textFill>
                  <w14:solidFill>
                    <w14:schemeClr w14:val="tx1"/>
                  </w14:solidFill>
                </w14:textFill>
              </w:rPr>
              <w:t>）开料、打磨、晾干工序产生的粉尘</w:t>
            </w:r>
          </w:p>
          <w:p>
            <w:pPr>
              <w:spacing w:line="360" w:lineRule="auto"/>
              <w:ind w:firstLine="480" w:firstLineChars="200"/>
              <w:rPr>
                <w:b/>
                <w:bCs/>
                <w:color w:val="000000" w:themeColor="text1"/>
                <w:kern w:val="0"/>
                <w:sz w:val="24"/>
                <w14:textFill>
                  <w14:solidFill>
                    <w14:schemeClr w14:val="tx1"/>
                  </w14:solidFill>
                </w14:textFill>
              </w:rPr>
            </w:pPr>
            <w:r>
              <w:rPr>
                <w:color w:val="000000" w:themeColor="text1"/>
                <w:sz w:val="24"/>
                <w14:textFill>
                  <w14:solidFill>
                    <w14:schemeClr w14:val="tx1"/>
                  </w14:solidFill>
                </w14:textFill>
              </w:rPr>
              <w:t>建设单位拟</w:t>
            </w:r>
            <w:r>
              <w:rPr>
                <w:rFonts w:hint="eastAsia"/>
                <w:color w:val="000000" w:themeColor="text1"/>
                <w:sz w:val="24"/>
                <w14:textFill>
                  <w14:solidFill>
                    <w14:schemeClr w14:val="tx1"/>
                  </w14:solidFill>
                </w14:textFill>
              </w:rPr>
              <w:t>在车间内设置集气罩，开料、打磨、晾干工序产生的粉尘</w:t>
            </w:r>
            <w:r>
              <w:rPr>
                <w:color w:val="000000" w:themeColor="text1"/>
                <w:sz w:val="24"/>
                <w14:textFill>
                  <w14:solidFill>
                    <w14:schemeClr w14:val="tx1"/>
                  </w14:solidFill>
                </w14:textFill>
              </w:rPr>
              <w:t>收集后经过</w:t>
            </w:r>
            <w:r>
              <w:rPr>
                <w:rFonts w:hint="eastAsia"/>
                <w:color w:val="000000" w:themeColor="text1"/>
                <w:sz w:val="24"/>
                <w14:textFill>
                  <w14:solidFill>
                    <w14:schemeClr w14:val="tx1"/>
                  </w14:solidFill>
                </w14:textFill>
              </w:rPr>
              <w:t>“布袋除尘”</w:t>
            </w:r>
            <w:r>
              <w:rPr>
                <w:color w:val="000000" w:themeColor="text1"/>
                <w:sz w:val="24"/>
                <w14:textFill>
                  <w14:solidFill>
                    <w14:schemeClr w14:val="tx1"/>
                  </w14:solidFill>
                </w14:textFill>
              </w:rPr>
              <w:t>装置处理，处理后经过15m高的排气筒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1排放；</w:t>
            </w:r>
            <w:r>
              <w:rPr>
                <w:rFonts w:hint="eastAsia"/>
                <w:color w:val="000000" w:themeColor="text1"/>
                <w:sz w:val="24"/>
                <w14:textFill>
                  <w14:solidFill>
                    <w14:schemeClr w14:val="tx1"/>
                  </w14:solidFill>
                </w14:textFill>
              </w:rPr>
              <w:t>项目粉尘（颗粒物）</w:t>
            </w:r>
            <w:r>
              <w:rPr>
                <w:color w:val="000000" w:themeColor="text1"/>
                <w:sz w:val="24"/>
                <w14:textFill>
                  <w14:solidFill>
                    <w14:schemeClr w14:val="tx1"/>
                  </w14:solidFill>
                </w14:textFill>
              </w:rPr>
              <w:t>排放浓度达到广东省《大气污染物排放限值》（DB44/27-2001）第二时段二级标准排放限值、无组织排放执行广东省《大气污染物排放限值》（DB44/27-2001）第二时段无组织排放限值</w:t>
            </w:r>
            <w:r>
              <w:rPr>
                <w:rFonts w:hint="eastAsia"/>
                <w:color w:val="000000" w:themeColor="text1"/>
                <w:sz w:val="24"/>
                <w14:textFill>
                  <w14:solidFill>
                    <w14:schemeClr w14:val="tx1"/>
                  </w14:solidFill>
                </w14:textFill>
              </w:rPr>
              <w:t>。</w:t>
            </w:r>
          </w:p>
          <w:p>
            <w:pPr>
              <w:spacing w:line="360" w:lineRule="auto"/>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（1）喷漆、烘烤、补土工序产生的</w:t>
            </w:r>
            <w:r>
              <w:rPr>
                <w:b/>
                <w:bCs/>
                <w:color w:val="000000" w:themeColor="text1"/>
                <w:kern w:val="0"/>
                <w:sz w:val="24"/>
                <w14:textFill>
                  <w14:solidFill>
                    <w14:schemeClr w14:val="tx1"/>
                  </w14:solidFill>
                </w14:textFill>
              </w:rPr>
              <w:t>废气</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建设单位拟</w:t>
            </w:r>
            <w:r>
              <w:rPr>
                <w:rFonts w:hint="eastAsia"/>
                <w:color w:val="000000" w:themeColor="text1"/>
                <w:sz w:val="24"/>
                <w14:textFill>
                  <w14:solidFill>
                    <w14:schemeClr w14:val="tx1"/>
                  </w14:solidFill>
                </w14:textFill>
              </w:rPr>
              <w:t>设置密闭负压车间，调漆、喷漆、晾干工序产生的废气</w:t>
            </w:r>
            <w:r>
              <w:rPr>
                <w:color w:val="000000" w:themeColor="text1"/>
                <w:sz w:val="24"/>
                <w14:textFill>
                  <w14:solidFill>
                    <w14:schemeClr w14:val="tx1"/>
                  </w14:solidFill>
                </w14:textFill>
              </w:rPr>
              <w:t>收集后经过</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水喷淋+</w:t>
            </w:r>
            <w:r>
              <w:rPr>
                <w:rFonts w:hint="eastAsia"/>
                <w:color w:val="000000" w:themeColor="text1"/>
                <w:sz w:val="24"/>
                <w14:textFill>
                  <w14:solidFill>
                    <w14:schemeClr w14:val="tx1"/>
                  </w14:solidFill>
                </w14:textFill>
              </w:rPr>
              <w:t>过滤除雾器+二级</w:t>
            </w:r>
            <w:r>
              <w:rPr>
                <w:color w:val="000000" w:themeColor="text1"/>
                <w:sz w:val="24"/>
                <w14:textFill>
                  <w14:solidFill>
                    <w14:schemeClr w14:val="tx1"/>
                  </w14:solidFill>
                </w14:textFill>
              </w:rPr>
              <w:t>活性炭吸附</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装置处理，处理后经过15m高的排气筒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2排放</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2中</w:t>
            </w:r>
            <w:r>
              <w:rPr>
                <w:rFonts w:hint="eastAsia"/>
                <w:color w:val="000000" w:themeColor="text1"/>
                <w:sz w:val="24"/>
                <w14:textFill>
                  <w14:solidFill>
                    <w14:schemeClr w14:val="tx1"/>
                  </w14:solidFill>
                </w14:textFill>
              </w:rPr>
              <w:t>TVOC</w:t>
            </w:r>
            <w:r>
              <w:rPr>
                <w:color w:val="000000" w:themeColor="text1"/>
                <w:sz w:val="24"/>
                <w14:textFill>
                  <w14:solidFill>
                    <w14:schemeClr w14:val="tx1"/>
                  </w14:solidFill>
                </w14:textFill>
              </w:rPr>
              <w:t>排放浓度达到广东省《固定污染源挥发性有机物综合排放标准》（DB44/2367-2022）</w:t>
            </w:r>
            <w:r>
              <w:rPr>
                <w:rFonts w:hint="eastAsia"/>
                <w:color w:val="000000" w:themeColor="text1"/>
                <w:sz w:val="24"/>
                <w14:textFill>
                  <w14:solidFill>
                    <w14:schemeClr w14:val="tx1"/>
                  </w14:solidFill>
                </w14:textFill>
              </w:rPr>
              <w:t>表1挥发性有机物排放限值的要求，</w:t>
            </w:r>
            <w:r>
              <w:rPr>
                <w:color w:val="000000" w:themeColor="text1"/>
                <w:sz w:val="24"/>
                <w14:textFill>
                  <w14:solidFill>
                    <w14:schemeClr w14:val="tx1"/>
                  </w14:solidFill>
                </w14:textFill>
              </w:rPr>
              <w:t>无组织排放</w:t>
            </w:r>
            <w:r>
              <w:rPr>
                <w:rFonts w:hint="eastAsia"/>
                <w:color w:val="000000" w:themeColor="text1"/>
                <w:sz w:val="24"/>
                <w14:textFill>
                  <w14:solidFill>
                    <w14:schemeClr w14:val="tx1"/>
                  </w14:solidFill>
                </w14:textFill>
              </w:rPr>
              <w:t>达到广东省《家具制造行业挥发性有机化合物排放标准》（DB44/814-2010）</w:t>
            </w:r>
            <w:r>
              <w:rPr>
                <w:color w:val="000000" w:themeColor="text1"/>
                <w:sz w:val="24"/>
                <w14:textFill>
                  <w14:solidFill>
                    <w14:schemeClr w14:val="tx1"/>
                  </w14:solidFill>
                </w14:textFill>
              </w:rPr>
              <w:t>无组织排放监控浓度限值</w:t>
            </w:r>
            <w:r>
              <w:rPr>
                <w:rFonts w:hint="eastAsia"/>
                <w:color w:val="000000" w:themeColor="text1"/>
                <w:sz w:val="24"/>
                <w14:textFill>
                  <w14:solidFill>
                    <w14:schemeClr w14:val="tx1"/>
                  </w14:solidFill>
                </w14:textFill>
              </w:rPr>
              <w:t>的要求。漆雾（颗粒物）</w:t>
            </w:r>
            <w:r>
              <w:rPr>
                <w:color w:val="000000" w:themeColor="text1"/>
                <w:sz w:val="24"/>
                <w14:textFill>
                  <w14:solidFill>
                    <w14:schemeClr w14:val="tx1"/>
                  </w14:solidFill>
                </w14:textFill>
              </w:rPr>
              <w:t>排放浓度达到广东省《大气污染物排放限值》（DB44/27-2001）第二时段二级标准排放限值、无组织排放执行广东省《大气污染物排放限值》（DB44/27-2001）第二时段无组织排放限值。</w:t>
            </w:r>
          </w:p>
          <w:p>
            <w:pPr>
              <w:widowControl/>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同时本项目须严格控制挥发性有机物无组织废气排放，落实无组织排放管控措施后，厂区内非甲烷总烃无组织排放预计可以满足</w:t>
            </w:r>
            <w:r>
              <w:rPr>
                <w:rStyle w:val="46"/>
                <w:rFonts w:hint="eastAsia"/>
                <w:bCs/>
                <w:color w:val="000000" w:themeColor="text1"/>
                <w:sz w:val="24"/>
                <w14:textFill>
                  <w14:solidFill>
                    <w14:schemeClr w14:val="tx1"/>
                  </w14:solidFill>
                </w14:textFill>
              </w:rPr>
              <w:t>广东省</w:t>
            </w:r>
            <w:r>
              <w:rPr>
                <w:color w:val="000000" w:themeColor="text1"/>
                <w:sz w:val="24"/>
                <w14:textFill>
                  <w14:solidFill>
                    <w14:schemeClr w14:val="tx1"/>
                  </w14:solidFill>
                </w14:textFill>
              </w:rPr>
              <w:t>《固定污染源挥发性有机物综合排放标准》（DB44/2367-2022）</w:t>
            </w:r>
            <w:r>
              <w:rPr>
                <w:rFonts w:hint="eastAsia"/>
                <w:color w:val="000000" w:themeColor="text1"/>
                <w:sz w:val="24"/>
                <w14:textFill>
                  <w14:solidFill>
                    <w14:schemeClr w14:val="tx1"/>
                  </w14:solidFill>
                </w14:textFill>
              </w:rPr>
              <w:t>中表3厂区内无组织排放限值的要求。</w:t>
            </w:r>
          </w:p>
          <w:p>
            <w:pPr>
              <w:spacing w:line="360" w:lineRule="auto"/>
              <w:ind w:firstLine="482" w:firstLineChars="200"/>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w:t>
            </w:r>
            <w:r>
              <w:rPr>
                <w:b/>
                <w:bCs/>
                <w:color w:val="000000" w:themeColor="text1"/>
                <w:kern w:val="0"/>
                <w:sz w:val="24"/>
                <w14:textFill>
                  <w14:solidFill>
                    <w14:schemeClr w14:val="tx1"/>
                  </w14:solidFill>
                </w14:textFill>
              </w:rPr>
              <w:t>3</w:t>
            </w:r>
            <w:r>
              <w:rPr>
                <w:rFonts w:hint="eastAsia"/>
                <w:b/>
                <w:bCs/>
                <w:color w:val="000000" w:themeColor="text1"/>
                <w:kern w:val="0"/>
                <w:sz w:val="24"/>
                <w14:textFill>
                  <w14:solidFill>
                    <w14:schemeClr w14:val="tx1"/>
                  </w14:solidFill>
                </w14:textFill>
              </w:rPr>
              <w:t>）焊接工序产生的焊接烟尘</w:t>
            </w:r>
          </w:p>
          <w:p>
            <w:pPr>
              <w:spacing w:line="360" w:lineRule="auto"/>
              <w:ind w:firstLine="480" w:firstLineChars="200"/>
            </w:pPr>
            <w:r>
              <w:rPr>
                <w:color w:val="000000" w:themeColor="text1"/>
                <w:sz w:val="24"/>
                <w14:textFill>
                  <w14:solidFill>
                    <w14:schemeClr w14:val="tx1"/>
                  </w14:solidFill>
                </w14:textFill>
              </w:rPr>
              <w:t>建设单位拟</w:t>
            </w:r>
            <w:r>
              <w:rPr>
                <w:rFonts w:hint="eastAsia"/>
                <w:color w:val="000000" w:themeColor="text1"/>
                <w:sz w:val="24"/>
                <w14:textFill>
                  <w14:solidFill>
                    <w14:schemeClr w14:val="tx1"/>
                  </w14:solidFill>
                </w14:textFill>
              </w:rPr>
              <w:t>在车间内设置集气罩，焊接工序产生的粉尘</w:t>
            </w:r>
            <w:r>
              <w:rPr>
                <w:color w:val="000000" w:themeColor="text1"/>
                <w:sz w:val="24"/>
                <w14:textFill>
                  <w14:solidFill>
                    <w14:schemeClr w14:val="tx1"/>
                  </w14:solidFill>
                </w14:textFill>
              </w:rPr>
              <w:t>收集后经过</w:t>
            </w:r>
            <w:r>
              <w:rPr>
                <w:rFonts w:hint="eastAsia"/>
                <w:color w:val="000000" w:themeColor="text1"/>
                <w:sz w:val="24"/>
                <w14:textFill>
                  <w14:solidFill>
                    <w14:schemeClr w14:val="tx1"/>
                  </w14:solidFill>
                </w14:textFill>
              </w:rPr>
              <w:t>“焊接烟尘净化器”</w:t>
            </w:r>
            <w:r>
              <w:rPr>
                <w:color w:val="000000" w:themeColor="text1"/>
                <w:sz w:val="24"/>
                <w14:textFill>
                  <w14:solidFill>
                    <w14:schemeClr w14:val="tx1"/>
                  </w14:solidFill>
                </w14:textFill>
              </w:rPr>
              <w:t>装置处理，处理后经过15m高的排气筒</w:t>
            </w:r>
            <w:r>
              <w:rPr>
                <w:rFonts w:hint="eastAsia"/>
                <w:color w:val="000000" w:themeColor="text1"/>
                <w:sz w:val="24"/>
                <w14:textFill>
                  <w14:solidFill>
                    <w14:schemeClr w14:val="tx1"/>
                  </w14:solidFill>
                </w14:textFill>
              </w:rPr>
              <w:t>DA00</w:t>
            </w:r>
            <w:r>
              <w:rPr>
                <w:color w:val="000000" w:themeColor="text1"/>
                <w:sz w:val="24"/>
                <w14:textFill>
                  <w14:solidFill>
                    <w14:schemeClr w14:val="tx1"/>
                  </w14:solidFill>
                </w14:textFill>
              </w:rPr>
              <w:t>3排放；</w:t>
            </w:r>
            <w:r>
              <w:rPr>
                <w:rFonts w:hint="eastAsia"/>
                <w:color w:val="000000" w:themeColor="text1"/>
                <w:sz w:val="24"/>
                <w14:textFill>
                  <w14:solidFill>
                    <w14:schemeClr w14:val="tx1"/>
                  </w14:solidFill>
                </w14:textFill>
              </w:rPr>
              <w:t>项目焊接烟尘（颗粒物）</w:t>
            </w:r>
            <w:r>
              <w:rPr>
                <w:color w:val="000000" w:themeColor="text1"/>
                <w:sz w:val="24"/>
                <w14:textFill>
                  <w14:solidFill>
                    <w14:schemeClr w14:val="tx1"/>
                  </w14:solidFill>
                </w14:textFill>
              </w:rPr>
              <w:t>排放浓度达到广东省《大气污染物排放限值》（DB44/27-2001）第二时段二级标准排放限值、无组织排放执行广东省《大气污染物排放限值》（DB44/27-2001）第二时段无组织排放限值。</w:t>
            </w:r>
          </w:p>
          <w:p>
            <w:pPr>
              <w:spacing w:line="360" w:lineRule="auto"/>
              <w:ind w:firstLine="482" w:firstLineChars="200"/>
              <w:rPr>
                <w:b/>
                <w:color w:val="000000" w:themeColor="text1"/>
                <w:sz w:val="24"/>
                <w:szCs w:val="22"/>
                <w14:textFill>
                  <w14:solidFill>
                    <w14:schemeClr w14:val="tx1"/>
                  </w14:solidFill>
                </w14:textFill>
              </w:rPr>
            </w:pPr>
            <w:r>
              <w:rPr>
                <w:rFonts w:hint="eastAsia"/>
                <w:b/>
                <w:color w:val="000000" w:themeColor="text1"/>
                <w:sz w:val="24"/>
                <w:szCs w:val="22"/>
                <w14:textFill>
                  <w14:solidFill>
                    <w14:schemeClr w14:val="tx1"/>
                  </w14:solidFill>
                </w14:textFill>
              </w:rPr>
              <w:t>10、</w:t>
            </w:r>
            <w:r>
              <w:rPr>
                <w:b/>
                <w:color w:val="000000" w:themeColor="text1"/>
                <w:sz w:val="24"/>
                <w:szCs w:val="22"/>
                <w14:textFill>
                  <w14:solidFill>
                    <w14:schemeClr w14:val="tx1"/>
                  </w14:solidFill>
                </w14:textFill>
              </w:rPr>
              <w:t>卫生防护距离</w:t>
            </w: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（1）防护距离计算</w:t>
            </w:r>
          </w:p>
          <w:p>
            <w:pPr>
              <w:snapToGrid w:val="0"/>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大气有害物质无组织排放卫生防护距离按照《大气有害物质无组织排放卫生防护距离推导技术导则》（GB/T39499-2020）中卫生防护距离推导的方法确定。根据项目废气排放情况可知，项目废气无组织排放主要污染物为总VOCs和颗粒物，其无组织排放量和等标排放量如下。</w:t>
            </w:r>
          </w:p>
          <w:p>
            <w:pPr>
              <w:tabs>
                <w:tab w:val="left" w:pos="0"/>
              </w:tabs>
              <w:adjustRightInd w:val="0"/>
              <w:snapToGrid w:val="0"/>
              <w:spacing w:line="240" w:lineRule="atLeast"/>
              <w:jc w:val="center"/>
              <w:textAlignment w:val="baseline"/>
              <w:rPr>
                <w:b/>
                <w:bCs/>
                <w:color w:val="000000" w:themeColor="text1"/>
                <w:sz w:val="16"/>
                <w:szCs w:val="16"/>
                <w14:textFill>
                  <w14:solidFill>
                    <w14:schemeClr w14:val="tx1"/>
                  </w14:solidFill>
                </w14:textFill>
              </w:rPr>
            </w:pPr>
            <w:r>
              <w:rPr>
                <w:rFonts w:hint="eastAsia"/>
                <w:b/>
                <w:bCs/>
                <w:color w:val="000000" w:themeColor="text1"/>
                <w:sz w:val="20"/>
                <w:szCs w:val="20"/>
                <w14:textFill>
                  <w14:solidFill>
                    <w14:schemeClr w14:val="tx1"/>
                  </w14:solidFill>
                </w14:textFill>
              </w:rPr>
              <w:t>表4</w:t>
            </w:r>
            <w:r>
              <w:rPr>
                <w:b/>
                <w:bCs/>
                <w:color w:val="000000" w:themeColor="text1"/>
                <w:sz w:val="20"/>
                <w:szCs w:val="20"/>
                <w14:textFill>
                  <w14:solidFill>
                    <w14:schemeClr w14:val="tx1"/>
                  </w14:solidFill>
                </w14:textFill>
              </w:rPr>
              <w:t xml:space="preserve">-6 </w:t>
            </w:r>
            <w:r>
              <w:rPr>
                <w:rFonts w:hint="eastAsia"/>
                <w:b/>
                <w:bCs/>
                <w:color w:val="000000" w:themeColor="text1"/>
                <w:sz w:val="20"/>
                <w:szCs w:val="20"/>
                <w14:textFill>
                  <w14:solidFill>
                    <w14:schemeClr w14:val="tx1"/>
                  </w14:solidFill>
                </w14:textFill>
              </w:rPr>
              <w:t xml:space="preserve"> 项目无组织排放量和等标排放量情况表</w:t>
            </w:r>
          </w:p>
          <w:tbl>
            <w:tblPr>
              <w:tblStyle w:val="3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95"/>
              <w:gridCol w:w="2557"/>
              <w:gridCol w:w="2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25" w:type="dxa"/>
                  <w:vAlign w:val="center"/>
                </w:tcPr>
                <w:p>
                  <w:pPr>
                    <w:adjustRightInd w:val="0"/>
                    <w:snapToGrid w:val="0"/>
                    <w:jc w:val="center"/>
                    <w:rPr>
                      <w:rFonts w:ascii="宋体" w:hAnsi="宋体" w:cs="宋体"/>
                      <w:b/>
                      <w:color w:val="000000" w:themeColor="text1"/>
                      <w:szCs w:val="21"/>
                      <w14:textFill>
                        <w14:solidFill>
                          <w14:schemeClr w14:val="tx1"/>
                        </w14:solidFill>
                      </w14:textFill>
                    </w:rPr>
                  </w:pPr>
                  <w:r>
                    <w:rPr>
                      <w:rFonts w:hint="eastAsia" w:ascii="宋体" w:hAnsi="宋体" w:cs="宋体"/>
                      <w:b/>
                      <w:color w:val="000000" w:themeColor="text1"/>
                      <w:szCs w:val="21"/>
                      <w14:textFill>
                        <w14:solidFill>
                          <w14:schemeClr w14:val="tx1"/>
                        </w14:solidFill>
                      </w14:textFill>
                    </w:rPr>
                    <w:t>排放源</w:t>
                  </w:r>
                </w:p>
              </w:tc>
              <w:tc>
                <w:tcPr>
                  <w:tcW w:w="5511" w:type="dxa"/>
                  <w:gridSpan w:val="2"/>
                  <w:vAlign w:val="center"/>
                </w:tcPr>
                <w:p>
                  <w:pPr>
                    <w:adjustRightInd w:val="0"/>
                    <w:snapToGrid w:val="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生产车间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25" w:type="dxa"/>
                  <w:vAlign w:val="center"/>
                </w:tcPr>
                <w:p>
                  <w:pPr>
                    <w:adjustRightInd w:val="0"/>
                    <w:snapToGrid w:val="0"/>
                    <w:jc w:val="center"/>
                    <w:rPr>
                      <w:rFonts w:ascii="宋体" w:hAnsi="宋体" w:cs="宋体"/>
                      <w:bCs/>
                      <w:color w:val="000000" w:themeColor="text1"/>
                      <w:szCs w:val="21"/>
                      <w14:textFill>
                        <w14:solidFill>
                          <w14:schemeClr w14:val="tx1"/>
                        </w14:solidFill>
                      </w14:textFill>
                    </w:rPr>
                  </w:pPr>
                  <w:r>
                    <w:rPr>
                      <w:rFonts w:hint="eastAsia" w:ascii="宋体" w:hAnsi="宋体" w:cs="宋体"/>
                      <w:bCs/>
                      <w:color w:val="000000" w:themeColor="text1"/>
                      <w:szCs w:val="21"/>
                      <w14:textFill>
                        <w14:solidFill>
                          <w14:schemeClr w14:val="tx1"/>
                        </w14:solidFill>
                      </w14:textFill>
                    </w:rPr>
                    <w:t>污染物</w:t>
                  </w:r>
                </w:p>
              </w:tc>
              <w:tc>
                <w:tcPr>
                  <w:tcW w:w="2717" w:type="dxa"/>
                  <w:vAlign w:val="center"/>
                </w:tcPr>
                <w:p>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颗粒物</w:t>
                  </w:r>
                </w:p>
              </w:tc>
              <w:tc>
                <w:tcPr>
                  <w:tcW w:w="2794" w:type="dxa"/>
                  <w:vAlign w:val="center"/>
                </w:tcPr>
                <w:p>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总VOCs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25"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无组织排放速率</w:t>
                  </w:r>
                  <w:r>
                    <w:rPr>
                      <w:rFonts w:hint="eastAsia"/>
                      <w:color w:val="000000" w:themeColor="text1"/>
                      <w14:textFill>
                        <w14:solidFill>
                          <w14:schemeClr w14:val="tx1"/>
                        </w14:solidFill>
                      </w14:textFill>
                    </w:rPr>
                    <w:t>Qc，</w:t>
                  </w:r>
                  <w:r>
                    <w:rPr>
                      <w:bCs/>
                      <w:color w:val="000000" w:themeColor="text1"/>
                      <w:szCs w:val="21"/>
                      <w14:textFill>
                        <w14:solidFill>
                          <w14:schemeClr w14:val="tx1"/>
                        </w14:solidFill>
                      </w14:textFill>
                    </w:rPr>
                    <w:t>kg/h</w:t>
                  </w:r>
                </w:p>
              </w:tc>
              <w:tc>
                <w:tcPr>
                  <w:tcW w:w="2717" w:type="dxa"/>
                  <w:vAlign w:val="center"/>
                </w:tcPr>
                <w:p>
                  <w:pPr>
                    <w:widowControl/>
                    <w:adjustRightInd w:val="0"/>
                    <w:snapToGrid w:val="0"/>
                    <w:jc w:val="center"/>
                    <w:textAlignment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0.248</w:t>
                  </w:r>
                </w:p>
              </w:tc>
              <w:tc>
                <w:tcPr>
                  <w:tcW w:w="2794"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25" w:type="dxa"/>
                  <w:vAlign w:val="center"/>
                </w:tcPr>
                <w:p>
                  <w:pPr>
                    <w:pStyle w:val="14"/>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质量标准</w:t>
                  </w:r>
                  <w:r>
                    <w:rPr>
                      <w:bCs/>
                      <w:color w:val="000000" w:themeColor="text1"/>
                      <w:sz w:val="24"/>
                      <w14:textFill>
                        <w14:solidFill>
                          <w14:schemeClr w14:val="tx1"/>
                        </w14:solidFill>
                      </w14:textFill>
                    </w:rPr>
                    <w:t>C</w:t>
                  </w:r>
                  <w:r>
                    <w:rPr>
                      <w:bCs/>
                      <w:color w:val="000000" w:themeColor="text1"/>
                      <w:sz w:val="24"/>
                      <w:vertAlign w:val="subscript"/>
                      <w14:textFill>
                        <w14:solidFill>
                          <w14:schemeClr w14:val="tx1"/>
                        </w14:solidFill>
                      </w14:textFill>
                    </w:rPr>
                    <w:t>m</w:t>
                  </w:r>
                  <w:r>
                    <w:rPr>
                      <w:rFonts w:hint="eastAsia"/>
                      <w:bCs/>
                      <w:color w:val="000000" w:themeColor="text1"/>
                      <w:sz w:val="24"/>
                      <w:vertAlign w:val="subscript"/>
                      <w14:textFill>
                        <w14:solidFill>
                          <w14:schemeClr w14:val="tx1"/>
                        </w14:solidFill>
                      </w14:textFill>
                    </w:rPr>
                    <w:t>，</w:t>
                  </w:r>
                  <w:r>
                    <w:rPr>
                      <w:bCs/>
                      <w:color w:val="000000" w:themeColor="text1"/>
                      <w:szCs w:val="21"/>
                      <w14:textFill>
                        <w14:solidFill>
                          <w14:schemeClr w14:val="tx1"/>
                        </w14:solidFill>
                      </w14:textFill>
                    </w:rPr>
                    <w:t>mg/m</w:t>
                  </w:r>
                  <w:r>
                    <w:rPr>
                      <w:bCs/>
                      <w:color w:val="000000" w:themeColor="text1"/>
                      <w:szCs w:val="21"/>
                      <w:vertAlign w:val="superscript"/>
                      <w14:textFill>
                        <w14:solidFill>
                          <w14:schemeClr w14:val="tx1"/>
                        </w14:solidFill>
                      </w14:textFill>
                    </w:rPr>
                    <w:t>3</w:t>
                  </w:r>
                </w:p>
              </w:tc>
              <w:tc>
                <w:tcPr>
                  <w:tcW w:w="2717"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0.9</w:t>
                  </w:r>
                </w:p>
              </w:tc>
              <w:tc>
                <w:tcPr>
                  <w:tcW w:w="2794"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25" w:type="dxa"/>
                  <w:vAlign w:val="center"/>
                </w:tcPr>
                <w:p>
                  <w:pPr>
                    <w:adjustRightInd w:val="0"/>
                    <w:snapToGrid w:val="0"/>
                    <w:jc w:val="center"/>
                    <w:rPr>
                      <w:bCs/>
                      <w:color w:val="000000" w:themeColor="text1"/>
                      <w:szCs w:val="21"/>
                      <w14:textFill>
                        <w14:solidFill>
                          <w14:schemeClr w14:val="tx1"/>
                        </w14:solidFill>
                      </w14:textFill>
                    </w:rPr>
                  </w:pPr>
                  <w:r>
                    <w:rPr>
                      <w:bCs/>
                      <w:color w:val="000000" w:themeColor="text1"/>
                      <w:szCs w:val="21"/>
                      <w14:textFill>
                        <w14:solidFill>
                          <w14:schemeClr w14:val="tx1"/>
                        </w14:solidFill>
                      </w14:textFill>
                    </w:rPr>
                    <w:t>等标排放量</w:t>
                  </w:r>
                  <w:r>
                    <w:rPr>
                      <w:rFonts w:hint="eastAsia"/>
                      <w:color w:val="000000" w:themeColor="text1"/>
                      <w14:textFill>
                        <w14:solidFill>
                          <w14:schemeClr w14:val="tx1"/>
                        </w14:solidFill>
                      </w14:textFill>
                    </w:rPr>
                    <w:t>Qc/</w:t>
                  </w:r>
                  <w:r>
                    <w:rPr>
                      <w:bCs/>
                      <w:color w:val="000000" w:themeColor="text1"/>
                      <w:sz w:val="24"/>
                      <w14:textFill>
                        <w14:solidFill>
                          <w14:schemeClr w14:val="tx1"/>
                        </w14:solidFill>
                      </w14:textFill>
                    </w:rPr>
                    <w:t>C</w:t>
                  </w:r>
                  <w:r>
                    <w:rPr>
                      <w:bCs/>
                      <w:color w:val="000000" w:themeColor="text1"/>
                      <w:sz w:val="24"/>
                      <w:vertAlign w:val="subscript"/>
                      <w14:textFill>
                        <w14:solidFill>
                          <w14:schemeClr w14:val="tx1"/>
                        </w14:solidFill>
                      </w14:textFill>
                    </w:rPr>
                    <w:t>m</w:t>
                  </w:r>
                  <w:r>
                    <w:rPr>
                      <w:rFonts w:hint="eastAsia"/>
                      <w:bCs/>
                      <w:color w:val="000000" w:themeColor="text1"/>
                      <w:sz w:val="24"/>
                      <w:vertAlign w:val="subscript"/>
                      <w14:textFill>
                        <w14:solidFill>
                          <w14:schemeClr w14:val="tx1"/>
                        </w14:solidFill>
                      </w14:textFill>
                    </w:rPr>
                    <w:t>，</w:t>
                  </w:r>
                  <w:r>
                    <w:rPr>
                      <w:bCs/>
                      <w:color w:val="000000" w:themeColor="text1"/>
                      <w:szCs w:val="21"/>
                      <w14:textFill>
                        <w14:solidFill>
                          <w14:schemeClr w14:val="tx1"/>
                        </w14:solidFill>
                      </w14:textFill>
                    </w:rPr>
                    <w:t>m</w:t>
                  </w:r>
                  <w:r>
                    <w:rPr>
                      <w:bCs/>
                      <w:color w:val="000000" w:themeColor="text1"/>
                      <w:szCs w:val="21"/>
                      <w:vertAlign w:val="superscript"/>
                      <w14:textFill>
                        <w14:solidFill>
                          <w14:schemeClr w14:val="tx1"/>
                        </w14:solidFill>
                      </w14:textFill>
                    </w:rPr>
                    <w:t>3</w:t>
                  </w:r>
                  <w:r>
                    <w:rPr>
                      <w:bCs/>
                      <w:color w:val="000000" w:themeColor="text1"/>
                      <w:szCs w:val="21"/>
                      <w14:textFill>
                        <w14:solidFill>
                          <w14:schemeClr w14:val="tx1"/>
                        </w14:solidFill>
                      </w14:textFill>
                    </w:rPr>
                    <w:t>/h</w:t>
                  </w:r>
                </w:p>
              </w:tc>
              <w:tc>
                <w:tcPr>
                  <w:tcW w:w="2717" w:type="dxa"/>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275749.76</w:t>
                  </w:r>
                </w:p>
              </w:tc>
              <w:tc>
                <w:tcPr>
                  <w:tcW w:w="2794" w:type="dxa"/>
                  <w:vAlign w:val="center"/>
                </w:tcPr>
                <w:p>
                  <w:pPr>
                    <w:widowControl/>
                    <w:adjustRightInd w:val="0"/>
                    <w:snapToGrid w:val="0"/>
                    <w:jc w:val="center"/>
                    <w:textAlignment w:val="center"/>
                    <w:rPr>
                      <w:bCs/>
                      <w:color w:val="000000" w:themeColor="text1"/>
                      <w:szCs w:val="21"/>
                      <w14:textFill>
                        <w14:solidFill>
                          <w14:schemeClr w14:val="tx1"/>
                        </w14:solidFill>
                      </w14:textFill>
                    </w:rPr>
                  </w:pPr>
                  <w:r>
                    <w:rPr>
                      <w:color w:val="000000" w:themeColor="text1"/>
                      <w14:textFill>
                        <w14:solidFill>
                          <w14:schemeClr w14:val="tx1"/>
                        </w14:solidFill>
                      </w14:textFill>
                    </w:rPr>
                    <w:t>44953.80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25" w:type="dxa"/>
                  <w:vAlign w:val="center"/>
                </w:tcPr>
                <w:p>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等标排放量是否相差10%以内</w:t>
                  </w:r>
                </w:p>
              </w:tc>
              <w:tc>
                <w:tcPr>
                  <w:tcW w:w="5511" w:type="dxa"/>
                  <w:gridSpan w:val="2"/>
                  <w:vAlign w:val="center"/>
                </w:tcPr>
                <w:p>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225" w:type="dxa"/>
                  <w:vAlign w:val="center"/>
                </w:tcPr>
                <w:p>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最大等标排放量污染物</w:t>
                  </w:r>
                </w:p>
              </w:tc>
              <w:tc>
                <w:tcPr>
                  <w:tcW w:w="5511" w:type="dxa"/>
                  <w:gridSpan w:val="2"/>
                  <w:vAlign w:val="center"/>
                </w:tcPr>
                <w:p>
                  <w:pPr>
                    <w:adjustRightInd w:val="0"/>
                    <w:snapToGrid w:val="0"/>
                    <w:jc w:val="center"/>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TSP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736" w:type="dxa"/>
                  <w:gridSpan w:val="3"/>
                  <w:vAlign w:val="center"/>
                </w:tcPr>
                <w:p>
                  <w:pPr>
                    <w:adjustRightInd w:val="0"/>
                    <w:snapToGrid w:val="0"/>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备注：颗粒物无组织排放速率为调开料、雕刻、打磨、切割、</w:t>
                  </w:r>
                  <w:r>
                    <w:rPr>
                      <w:rFonts w:hint="eastAsia"/>
                      <w:color w:val="000000" w:themeColor="text1"/>
                      <w:szCs w:val="21"/>
                      <w14:textFill>
                        <w14:solidFill>
                          <w14:schemeClr w14:val="tx1"/>
                        </w14:solidFill>
                      </w14:textFill>
                    </w:rPr>
                    <w:t>喷漆、焊接工序总排放速率；</w:t>
                  </w:r>
                  <w:r>
                    <w:rPr>
                      <w:rFonts w:hint="eastAsia"/>
                      <w:bCs/>
                      <w:color w:val="000000" w:themeColor="text1"/>
                      <w:szCs w:val="21"/>
                      <w14:textFill>
                        <w14:solidFill>
                          <w14:schemeClr w14:val="tx1"/>
                        </w14:solidFill>
                      </w14:textFill>
                    </w:rPr>
                    <w:t>总VOCs无组织排放速率为调漆、喷漆、晾干工序</w:t>
                  </w:r>
                  <w:r>
                    <w:rPr>
                      <w:rFonts w:hint="eastAsia"/>
                      <w:color w:val="000000" w:themeColor="text1"/>
                      <w:szCs w:val="21"/>
                      <w14:textFill>
                        <w14:solidFill>
                          <w14:schemeClr w14:val="tx1"/>
                        </w14:solidFill>
                      </w14:textFill>
                    </w:rPr>
                    <w:t>的总排放速率。</w:t>
                  </w:r>
                </w:p>
              </w:tc>
            </w:tr>
          </w:tbl>
          <w:p>
            <w:pPr>
              <w:adjustRightInd w:val="0"/>
              <w:snapToGrid w:val="0"/>
              <w:spacing w:before="156" w:beforeLines="50" w:line="360" w:lineRule="auto"/>
              <w:ind w:firstLine="480" w:firstLineChars="200"/>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本项目两种污染物的等标排放量相差在10%以外，故优先选择颗粒物，等标排放量最大的污染物。为企业无组织排放的主要特征大气有害物质。当前两种污染物需要同时选择这两种特征大气有害物质分别计算卫生防护距离初值。</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本项目无组织排放污染物主要为颗粒物。根据</w:t>
            </w:r>
            <w:r>
              <w:rPr>
                <w:color w:val="000000" w:themeColor="text1"/>
                <w:sz w:val="24"/>
                <w14:textFill>
                  <w14:solidFill>
                    <w14:schemeClr w14:val="tx1"/>
                  </w14:solidFill>
                </w14:textFill>
              </w:rPr>
              <w:t>《大气有害物质无组织排放卫生防护距离推导技术导则》（GB/T39499-2020）</w:t>
            </w:r>
            <w:r>
              <w:rPr>
                <w:rFonts w:hint="eastAsia"/>
                <w:color w:val="000000" w:themeColor="text1"/>
                <w:sz w:val="24"/>
                <w14:textFill>
                  <w14:solidFill>
                    <w14:schemeClr w14:val="tx1"/>
                  </w14:solidFill>
                </w14:textFill>
              </w:rPr>
              <w:t>中推荐的方法计算卫生防护距离。</w:t>
            </w:r>
          </w:p>
          <w:p>
            <w:pPr>
              <w:spacing w:line="360" w:lineRule="auto"/>
              <w:ind w:firstLine="480" w:firstLineChars="20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INCLUDEPICTURE "C:\\Users\\86156\\AppData\\Local\\Temp\\ksohtml11568\\wps7.jpg" \* MERGEFORMATINET </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INCLUDEPICTURE  "C:\\Users\\86156\\AppData\\Local\\Temp\\ksohtml11568\\wps7.jpg" \* MERGEFORMATINET </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INCLUDEPICTURE  "C:\\Users\\86156\\AppData\\Local\\Temp\\ksohtml11568\\wps7.jpg" \* MERGEFORMATINET </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color w:val="000000" w:themeColor="text1"/>
                <w:sz w:val="24"/>
                <w14:textFill>
                  <w14:solidFill>
                    <w14:schemeClr w14:val="tx1"/>
                  </w14:solidFill>
                </w14:textFill>
              </w:rPr>
              <w:instrText xml:space="preserve"> INCLUDEPICTURE  "C:\\Users\\86156\\AppData\\Local\\Temp\\ksohtml11568\\wps7.jpg" \* MERGEFORMATINET </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 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"C:\\Users\\我的文档\\WeChat%20Files\\wxid_gwa4v0t022qg41\\86156\\AppData\\Local\\Temp\\ksohtml11568\\wps7.jpg"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"C:\\Users\\lenovo\\我的文档\\WeChat%20Files\\wxid_gwa4v0t022qg41\\86156\\AppData\\Local\\Temp\\ksohtml11568\\wps7.jpg"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"D:\\backup\\Desktop\\我的文档\\WeChat%25252520Files\\wxid_gwa4v0t022qg41\\86156\\AppData\\Local\\Temp\\ksohtml11568\\wps7.jpg"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"C:\\Users\\Administrator\\Desktop\\我的文档\\WeChat%25252520Files\\wxid_gwa4v0t022qg41\\86156\\AppData\\Local\\Temp\\ksohtml11568\\wps7.jpg"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"C:\\Users\\Administrator\\Desktop\\我的文档\\WeChat%252525252525252525252525252520Files\\wxid_gwa4v0t022qg41\\86156\\AppData\\Local\\Temp\\ksohtml11568\\wps7.jpg"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fldChar w:fldCharType="begin"/>
            </w:r>
            <w:r>
              <w:rPr>
                <w:rFonts w:hint="eastAsia"/>
                <w:color w:val="000000" w:themeColor="text1"/>
                <w:sz w:val="24"/>
                <w14:textFill>
                  <w14:solidFill>
                    <w14:schemeClr w14:val="tx1"/>
                  </w14:solidFill>
                </w14:textFill>
              </w:rPr>
              <w:instrText xml:space="preserve">INCLUDEPICTURE  "C:\\Users\\Administrator\\Desktop\\我的文档\\WeChat%25252525252525252525252525252525252525252520Files\\wxid_gwa4v0t022qg41\\86156\\AppData\\Local\\Temp\\ksohtml11568\\wps7.jpg" \* MERGEFORMATINET</w:instrText>
            </w:r>
            <w:r>
              <w:rPr>
                <w:color w:val="000000" w:themeColor="text1"/>
                <w:sz w:val="24"/>
                <w14:textFill>
                  <w14:solidFill>
                    <w14:schemeClr w14:val="tx1"/>
                  </w14:solidFill>
                </w14:textFill>
              </w:rPr>
              <w:fldChar w:fldCharType="separate"/>
            </w:r>
            <w:r>
              <w:rPr>
                <w:color w:val="000000" w:themeColor="text1"/>
                <w:sz w:val="24"/>
                <w14:textFill>
                  <w14:solidFill>
                    <w14:schemeClr w14:val="tx1"/>
                  </w14:solidFill>
                </w14:textFill>
              </w:rPr>
              <w:drawing>
                <wp:inline distT="0" distB="0" distL="0" distR="0">
                  <wp:extent cx="1790700" cy="447675"/>
                  <wp:effectExtent l="0" t="0" r="0" b="9525"/>
                  <wp:docPr id="1090" name="图片 18"/>
                  <wp:cNvGraphicFramePr/>
                  <a:graphic xmlns:a="http://schemas.openxmlformats.org/drawingml/2006/main">
                    <a:graphicData uri="http://schemas.openxmlformats.org/drawingml/2006/picture">
                      <pic:pic xmlns:pic="http://schemas.openxmlformats.org/drawingml/2006/picture">
                        <pic:nvPicPr>
                          <pic:cNvPr id="1090" name="图片 18"/>
                          <pic:cNvPicPr/>
                        </pic:nvPicPr>
                        <pic:blipFill>
                          <a:blip r:embed="rId29"/>
                          <a:srcRect/>
                          <a:stretch>
                            <a:fillRect/>
                          </a:stretch>
                        </pic:blipFill>
                        <pic:spPr>
                          <a:xfrm>
                            <a:off x="0" y="0"/>
                            <a:ext cx="1790700" cy="447675"/>
                          </a:xfrm>
                          <a:prstGeom prst="rect">
                            <a:avLst/>
                          </a:prstGeom>
                          <a:ln>
                            <a:noFill/>
                          </a:ln>
                        </pic:spPr>
                      </pic:pic>
                    </a:graphicData>
                  </a:graphic>
                </wp:inline>
              </w:drawing>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r>
              <w:rPr>
                <w:color w:val="000000" w:themeColor="text1"/>
                <w:sz w:val="24"/>
                <w14:textFill>
                  <w14:solidFill>
                    <w14:schemeClr w14:val="tx1"/>
                  </w14:solidFill>
                </w14:textFill>
              </w:rPr>
              <w:fldChar w:fldCharType="end"/>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式中：</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Q</w:t>
            </w:r>
            <w:r>
              <w:rPr>
                <w:rFonts w:hint="eastAsia"/>
                <w:color w:val="000000" w:themeColor="text1"/>
                <w:sz w:val="24"/>
                <w14:textFill>
                  <w14:solidFill>
                    <w14:schemeClr w14:val="tx1"/>
                  </w14:solidFill>
                </w14:textFill>
              </w:rPr>
              <w:t>c</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大气有害物质的无组织排放量，单位为千克每小时（kg</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h）；</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Cm—大气有害物质环境空气质量的标准限值，单位为毫克每立方米（mg/m³）；</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L—</w:t>
            </w:r>
            <w:r>
              <w:rPr>
                <w:rFonts w:hint="eastAsia"/>
                <w:color w:val="000000" w:themeColor="text1"/>
                <w:sz w:val="24"/>
                <w14:textFill>
                  <w14:solidFill>
                    <w14:schemeClr w14:val="tx1"/>
                  </w14:solidFill>
                </w14:textFill>
              </w:rPr>
              <w:t>大气有害物质卫生防护距离初值，单位为米（m）</w:t>
            </w:r>
            <w:r>
              <w:rPr>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r—</w:t>
            </w:r>
            <w:r>
              <w:rPr>
                <w:rFonts w:hint="eastAsia"/>
                <w:color w:val="000000" w:themeColor="text1"/>
                <w:sz w:val="24"/>
                <w14:textFill>
                  <w14:solidFill>
                    <w14:schemeClr w14:val="tx1"/>
                  </w14:solidFill>
                </w14:textFill>
              </w:rPr>
              <w:t>大气有害物质无组织排放源所在生产单元的等效半经，单位为米（m）</w:t>
            </w:r>
            <w:r>
              <w:rPr>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A、B、C、D—</w:t>
            </w:r>
            <w:r>
              <w:rPr>
                <w:rFonts w:hint="eastAsia"/>
                <w:color w:val="000000" w:themeColor="text1"/>
                <w:sz w:val="24"/>
                <w14:textFill>
                  <w14:solidFill>
                    <w14:schemeClr w14:val="tx1"/>
                  </w14:solidFill>
                </w14:textFill>
              </w:rPr>
              <w:t>卫生防护距离初值计算系数，无因次，根据工业企业所在地区近5年平均风速及大气污染源构成类别，从《大气有害物质无组织排放卫生防护距离推导技术导则》（GB/T 39499-2020）表1中查得，见下表：</w:t>
            </w:r>
          </w:p>
          <w:p>
            <w:pPr>
              <w:pStyle w:val="6"/>
              <w:spacing w:before="0" w:after="0" w:line="360" w:lineRule="auto"/>
              <w:jc w:val="center"/>
              <w:rPr>
                <w:rFonts w:ascii="Times New Roman" w:hAnsi="Times New Roman" w:eastAsia="宋体"/>
                <w:color w:val="000000" w:themeColor="text1"/>
                <w:sz w:val="21"/>
                <w:szCs w:val="21"/>
                <w14:textFill>
                  <w14:solidFill>
                    <w14:schemeClr w14:val="tx1"/>
                  </w14:solidFill>
                </w14:textFill>
              </w:rPr>
            </w:pPr>
            <w:r>
              <w:rPr>
                <w:rFonts w:hint="eastAsia" w:ascii="Times New Roman" w:hAnsi="Times New Roman" w:eastAsia="宋体"/>
                <w:color w:val="000000" w:themeColor="text1"/>
                <w:sz w:val="21"/>
                <w:szCs w:val="21"/>
                <w14:textFill>
                  <w14:solidFill>
                    <w14:schemeClr w14:val="tx1"/>
                  </w14:solidFill>
                </w14:textFill>
              </w:rPr>
              <w:t>表4-</w:t>
            </w:r>
            <w:r>
              <w:rPr>
                <w:rFonts w:ascii="Times New Roman" w:hAnsi="Times New Roman" w:eastAsia="宋体"/>
                <w:color w:val="000000" w:themeColor="text1"/>
                <w:sz w:val="21"/>
                <w:szCs w:val="21"/>
                <w14:textFill>
                  <w14:solidFill>
                    <w14:schemeClr w14:val="tx1"/>
                  </w14:solidFill>
                </w14:textFill>
              </w:rPr>
              <w:t>7</w:t>
            </w:r>
            <w:r>
              <w:rPr>
                <w:rFonts w:hint="eastAsia" w:ascii="Times New Roman" w:hAnsi="Times New Roman" w:eastAsia="宋体"/>
                <w:color w:val="000000" w:themeColor="text1"/>
                <w:sz w:val="21"/>
                <w:szCs w:val="21"/>
                <w14:textFill>
                  <w14:solidFill>
                    <w14:schemeClr w14:val="tx1"/>
                  </w14:solidFill>
                </w14:textFill>
              </w:rPr>
              <w:t xml:space="preserve"> 卫生防护距离初值</w:t>
            </w:r>
            <w:r>
              <w:rPr>
                <w:rFonts w:ascii="Times New Roman" w:hAnsi="Times New Roman" w:eastAsia="宋体"/>
                <w:color w:val="000000" w:themeColor="text1"/>
                <w:sz w:val="21"/>
                <w:szCs w:val="21"/>
                <w14:textFill>
                  <w14:solidFill>
                    <w14:schemeClr w14:val="tx1"/>
                  </w14:solidFill>
                </w14:textFill>
              </w:rPr>
              <w:t>计算</w:t>
            </w:r>
            <w:r>
              <w:rPr>
                <w:rFonts w:hint="eastAsia" w:ascii="Times New Roman" w:hAnsi="Times New Roman" w:eastAsia="宋体"/>
                <w:color w:val="000000" w:themeColor="text1"/>
                <w:sz w:val="21"/>
                <w:szCs w:val="21"/>
                <w14:textFill>
                  <w14:solidFill>
                    <w14:schemeClr w14:val="tx1"/>
                  </w14:solidFill>
                </w14:textFill>
              </w:rPr>
              <w:t>系数</w:t>
            </w:r>
          </w:p>
          <w:tbl>
            <w:tblPr>
              <w:tblStyle w:val="39"/>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013"/>
              <w:gridCol w:w="1783"/>
              <w:gridCol w:w="592"/>
              <w:gridCol w:w="592"/>
              <w:gridCol w:w="599"/>
              <w:gridCol w:w="592"/>
              <w:gridCol w:w="592"/>
              <w:gridCol w:w="600"/>
              <w:gridCol w:w="592"/>
              <w:gridCol w:w="593"/>
              <w:gridCol w:w="61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restart"/>
                  <w:tcBorders>
                    <w:tl2br w:val="nil"/>
                    <w:tr2bl w:val="nil"/>
                  </w:tcBorders>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hint="eastAsia" w:ascii="Times New Roman" w:hAnsi="Times New Roman"/>
                      <w:b/>
                      <w:bCs/>
                      <w:color w:val="000000" w:themeColor="text1"/>
                      <w:sz w:val="21"/>
                      <w:szCs w:val="21"/>
                      <w14:textFill>
                        <w14:solidFill>
                          <w14:schemeClr w14:val="tx1"/>
                        </w14:solidFill>
                      </w14:textFill>
                    </w:rPr>
                    <w:t>卫生防护</w:t>
                  </w:r>
                  <w:r>
                    <w:rPr>
                      <w:rFonts w:ascii="Times New Roman" w:hAnsi="Times New Roman"/>
                      <w:b/>
                      <w:bCs/>
                      <w:color w:val="000000" w:themeColor="text1"/>
                      <w:sz w:val="21"/>
                      <w:szCs w:val="21"/>
                      <w14:textFill>
                        <w14:solidFill>
                          <w14:schemeClr w14:val="tx1"/>
                        </w14:solidFill>
                      </w14:textFill>
                    </w:rPr>
                    <w:t>距离初值计算系数</w:t>
                  </w:r>
                </w:p>
              </w:tc>
              <w:tc>
                <w:tcPr>
                  <w:tcW w:w="1093" w:type="pct"/>
                  <w:vMerge w:val="restart"/>
                  <w:tcBorders>
                    <w:tl2br w:val="nil"/>
                    <w:tr2bl w:val="nil"/>
                  </w:tcBorders>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工业企业所在地</w:t>
                  </w:r>
                  <w:r>
                    <w:rPr>
                      <w:rFonts w:hint="eastAsia" w:ascii="Times New Roman" w:hAnsi="Times New Roman"/>
                      <w:b/>
                      <w:bCs/>
                      <w:color w:val="000000" w:themeColor="text1"/>
                      <w:sz w:val="21"/>
                      <w:szCs w:val="21"/>
                      <w14:textFill>
                        <w14:solidFill>
                          <w14:schemeClr w14:val="tx1"/>
                        </w14:solidFill>
                      </w14:textFill>
                    </w:rPr>
                    <w:t>区</w:t>
                  </w:r>
                  <w:r>
                    <w:rPr>
                      <w:rFonts w:ascii="Times New Roman" w:hAnsi="Times New Roman"/>
                      <w:b/>
                      <w:bCs/>
                      <w:color w:val="000000" w:themeColor="text1"/>
                      <w:sz w:val="21"/>
                      <w:szCs w:val="21"/>
                      <w14:textFill>
                        <w14:solidFill>
                          <w14:schemeClr w14:val="tx1"/>
                        </w14:solidFill>
                      </w14:textFill>
                    </w:rPr>
                    <w:t>近</w:t>
                  </w:r>
                  <w:r>
                    <w:rPr>
                      <w:rFonts w:hint="eastAsia" w:ascii="Times New Roman" w:hAnsi="Times New Roman"/>
                      <w:b/>
                      <w:bCs/>
                      <w:color w:val="000000" w:themeColor="text1"/>
                      <w:sz w:val="21"/>
                      <w:szCs w:val="21"/>
                      <w14:textFill>
                        <w14:solidFill>
                          <w14:schemeClr w14:val="tx1"/>
                        </w14:solidFill>
                      </w14:textFill>
                    </w:rPr>
                    <w:t>5</w:t>
                  </w:r>
                  <w:r>
                    <w:rPr>
                      <w:rFonts w:ascii="Times New Roman" w:hAnsi="Times New Roman"/>
                      <w:b/>
                      <w:bCs/>
                      <w:color w:val="000000" w:themeColor="text1"/>
                      <w:sz w:val="21"/>
                      <w:szCs w:val="21"/>
                      <w14:textFill>
                        <w14:solidFill>
                          <w14:schemeClr w14:val="tx1"/>
                        </w14:solidFill>
                      </w14:textFill>
                    </w:rPr>
                    <w:t>年平均风速（m/s）</w:t>
                  </w:r>
                </w:p>
              </w:tc>
              <w:tc>
                <w:tcPr>
                  <w:tcW w:w="3286" w:type="pct"/>
                  <w:gridSpan w:val="9"/>
                  <w:tcBorders>
                    <w:tl2br w:val="nil"/>
                    <w:tr2bl w:val="nil"/>
                  </w:tcBorders>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卫生防护距离L</w:t>
                  </w:r>
                  <w:r>
                    <w:rPr>
                      <w:rFonts w:hint="eastAsia" w:ascii="Times New Roman" w:hAnsi="Times New Roman"/>
                      <w:b/>
                      <w:bCs/>
                      <w:color w:val="000000" w:themeColor="text1"/>
                      <w:sz w:val="21"/>
                      <w:szCs w:val="21"/>
                      <w14:textFill>
                        <w14:solidFill>
                          <w14:schemeClr w14:val="tx1"/>
                        </w14:solidFill>
                      </w14:textFill>
                    </w:rPr>
                    <w:t>/</w:t>
                  </w:r>
                  <w:r>
                    <w:rPr>
                      <w:rFonts w:ascii="Times New Roman" w:hAnsi="Times New Roman"/>
                      <w:b/>
                      <w:bCs/>
                      <w:color w:val="000000" w:themeColor="text1"/>
                      <w:sz w:val="21"/>
                      <w:szCs w:val="21"/>
                      <w14:textFill>
                        <w14:solidFill>
                          <w14:schemeClr w14:val="tx1"/>
                        </w14:solidFill>
                      </w14:textFill>
                    </w:rPr>
                    <w:t>m</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continue"/>
                  <w:tcBorders>
                    <w:tl2br w:val="nil"/>
                    <w:tr2bl w:val="nil"/>
                  </w:tcBorders>
                  <w:vAlign w:val="center"/>
                </w:tcPr>
                <w:p>
                  <w:pPr>
                    <w:widowControl/>
                    <w:jc w:val="center"/>
                    <w:rPr>
                      <w:color w:val="000000" w:themeColor="text1"/>
                      <w:kern w:val="0"/>
                      <w:szCs w:val="21"/>
                      <w14:textFill>
                        <w14:solidFill>
                          <w14:schemeClr w14:val="tx1"/>
                        </w14:solidFill>
                      </w14:textFill>
                    </w:rPr>
                  </w:pPr>
                </w:p>
              </w:tc>
              <w:tc>
                <w:tcPr>
                  <w:tcW w:w="1093" w:type="pct"/>
                  <w:vMerge w:val="continue"/>
                  <w:tcBorders>
                    <w:tl2br w:val="nil"/>
                    <w:tr2bl w:val="nil"/>
                  </w:tcBorders>
                  <w:vAlign w:val="center"/>
                </w:tcPr>
                <w:p>
                  <w:pPr>
                    <w:widowControl/>
                    <w:jc w:val="center"/>
                    <w:rPr>
                      <w:color w:val="000000" w:themeColor="text1"/>
                      <w:kern w:val="0"/>
                      <w:szCs w:val="21"/>
                      <w14:textFill>
                        <w14:solidFill>
                          <w14:schemeClr w14:val="tx1"/>
                        </w14:solidFill>
                      </w14:textFill>
                    </w:rPr>
                  </w:pPr>
                </w:p>
              </w:tc>
              <w:tc>
                <w:tcPr>
                  <w:tcW w:w="1093"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L≤1000</w:t>
                  </w:r>
                </w:p>
              </w:tc>
              <w:tc>
                <w:tcPr>
                  <w:tcW w:w="1094"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1000&lt;L≤2000</w:t>
                  </w:r>
                </w:p>
              </w:tc>
              <w:tc>
                <w:tcPr>
                  <w:tcW w:w="1099"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L&gt;2000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continue"/>
                  <w:tcBorders>
                    <w:tl2br w:val="nil"/>
                    <w:tr2bl w:val="nil"/>
                  </w:tcBorders>
                  <w:vAlign w:val="center"/>
                </w:tcPr>
                <w:p>
                  <w:pPr>
                    <w:widowControl/>
                    <w:jc w:val="center"/>
                    <w:rPr>
                      <w:color w:val="000000" w:themeColor="text1"/>
                      <w:kern w:val="0"/>
                      <w:szCs w:val="21"/>
                      <w14:textFill>
                        <w14:solidFill>
                          <w14:schemeClr w14:val="tx1"/>
                        </w14:solidFill>
                      </w14:textFill>
                    </w:rPr>
                  </w:pPr>
                </w:p>
              </w:tc>
              <w:tc>
                <w:tcPr>
                  <w:tcW w:w="1093" w:type="pct"/>
                  <w:vMerge w:val="continue"/>
                  <w:tcBorders>
                    <w:tl2br w:val="nil"/>
                    <w:tr2bl w:val="nil"/>
                  </w:tcBorders>
                  <w:vAlign w:val="center"/>
                </w:tcPr>
                <w:p>
                  <w:pPr>
                    <w:widowControl/>
                    <w:jc w:val="center"/>
                    <w:rPr>
                      <w:color w:val="000000" w:themeColor="text1"/>
                      <w:kern w:val="0"/>
                      <w:szCs w:val="21"/>
                      <w14:textFill>
                        <w14:solidFill>
                          <w14:schemeClr w14:val="tx1"/>
                        </w14:solidFill>
                      </w14:textFill>
                    </w:rPr>
                  </w:pPr>
                </w:p>
              </w:tc>
              <w:tc>
                <w:tcPr>
                  <w:tcW w:w="3286" w:type="pct"/>
                  <w:gridSpan w:val="9"/>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工业企业</w:t>
                  </w:r>
                  <w:r>
                    <w:rPr>
                      <w:rFonts w:ascii="Times New Roman" w:hAnsi="Times New Roman"/>
                      <w:color w:val="000000" w:themeColor="text1"/>
                      <w:sz w:val="21"/>
                      <w:szCs w:val="21"/>
                      <w14:textFill>
                        <w14:solidFill>
                          <w14:schemeClr w14:val="tx1"/>
                        </w14:solidFill>
                      </w14:textFill>
                    </w:rPr>
                    <w:t>大气污染源构成类型</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continue"/>
                  <w:tcBorders>
                    <w:tl2br w:val="nil"/>
                    <w:tr2bl w:val="nil"/>
                  </w:tcBorders>
                  <w:vAlign w:val="center"/>
                </w:tcPr>
                <w:p>
                  <w:pPr>
                    <w:widowControl/>
                    <w:jc w:val="center"/>
                    <w:rPr>
                      <w:color w:val="000000" w:themeColor="text1"/>
                      <w:kern w:val="0"/>
                      <w:szCs w:val="21"/>
                      <w14:textFill>
                        <w14:solidFill>
                          <w14:schemeClr w14:val="tx1"/>
                        </w14:solidFill>
                      </w14:textFill>
                    </w:rPr>
                  </w:pPr>
                </w:p>
              </w:tc>
              <w:tc>
                <w:tcPr>
                  <w:tcW w:w="1093" w:type="pct"/>
                  <w:vMerge w:val="continue"/>
                  <w:tcBorders>
                    <w:tl2br w:val="nil"/>
                    <w:tr2bl w:val="nil"/>
                  </w:tcBorders>
                  <w:vAlign w:val="center"/>
                </w:tcPr>
                <w:p>
                  <w:pPr>
                    <w:widowControl/>
                    <w:jc w:val="center"/>
                    <w:rPr>
                      <w:color w:val="000000" w:themeColor="text1"/>
                      <w:kern w:val="0"/>
                      <w:szCs w:val="21"/>
                      <w14:textFill>
                        <w14:solidFill>
                          <w14:schemeClr w14:val="tx1"/>
                        </w14:solidFill>
                      </w14:textFill>
                    </w:rPr>
                  </w:pP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w:t>
                  </w:r>
                </w:p>
              </w:tc>
              <w:tc>
                <w:tcPr>
                  <w:tcW w:w="367"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III</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III</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w:t>
                  </w:r>
                </w:p>
              </w:tc>
              <w:tc>
                <w:tcPr>
                  <w:tcW w:w="377"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III</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restar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A</w:t>
                  </w:r>
                </w:p>
              </w:tc>
              <w:tc>
                <w:tcPr>
                  <w:tcW w:w="109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&lt;2</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7"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80</w:t>
                  </w:r>
                </w:p>
              </w:tc>
              <w:tc>
                <w:tcPr>
                  <w:tcW w:w="377"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80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continue"/>
                  <w:tcBorders>
                    <w:tl2br w:val="nil"/>
                    <w:tr2bl w:val="nil"/>
                  </w:tcBorders>
                  <w:vAlign w:val="center"/>
                </w:tcPr>
                <w:p>
                  <w:pPr>
                    <w:widowControl/>
                    <w:jc w:val="center"/>
                    <w:rPr>
                      <w:color w:val="000000" w:themeColor="text1"/>
                      <w:kern w:val="0"/>
                      <w:szCs w:val="21"/>
                      <w14:textFill>
                        <w14:solidFill>
                          <w14:schemeClr w14:val="tx1"/>
                        </w14:solidFill>
                      </w14:textFill>
                    </w:rPr>
                  </w:pPr>
                </w:p>
              </w:tc>
              <w:tc>
                <w:tcPr>
                  <w:tcW w:w="109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2-4</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700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470</w:t>
                  </w:r>
                </w:p>
              </w:tc>
              <w:tc>
                <w:tcPr>
                  <w:tcW w:w="367"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350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700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470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350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380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250</w:t>
                  </w:r>
                </w:p>
              </w:tc>
              <w:tc>
                <w:tcPr>
                  <w:tcW w:w="377"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190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continue"/>
                  <w:tcBorders>
                    <w:tl2br w:val="nil"/>
                    <w:tr2bl w:val="nil"/>
                  </w:tcBorders>
                  <w:vAlign w:val="center"/>
                </w:tcPr>
                <w:p>
                  <w:pPr>
                    <w:widowControl/>
                    <w:jc w:val="center"/>
                    <w:rPr>
                      <w:color w:val="000000" w:themeColor="text1"/>
                      <w:kern w:val="0"/>
                      <w:szCs w:val="21"/>
                      <w14:textFill>
                        <w14:solidFill>
                          <w14:schemeClr w14:val="tx1"/>
                        </w14:solidFill>
                      </w14:textFill>
                    </w:rPr>
                  </w:pPr>
                </w:p>
              </w:tc>
              <w:tc>
                <w:tcPr>
                  <w:tcW w:w="109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&gt;4</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530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350</w:t>
                  </w:r>
                </w:p>
              </w:tc>
              <w:tc>
                <w:tcPr>
                  <w:tcW w:w="367"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260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530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350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260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290</w:t>
                  </w:r>
                </w:p>
              </w:tc>
              <w:tc>
                <w:tcPr>
                  <w:tcW w:w="36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190</w:t>
                  </w:r>
                </w:p>
              </w:tc>
              <w:tc>
                <w:tcPr>
                  <w:tcW w:w="377"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110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restar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B</w:t>
                  </w:r>
                </w:p>
              </w:tc>
              <w:tc>
                <w:tcPr>
                  <w:tcW w:w="109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&lt;2</w:t>
                  </w:r>
                </w:p>
              </w:tc>
              <w:tc>
                <w:tcPr>
                  <w:tcW w:w="1093"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0.01</w:t>
                  </w:r>
                </w:p>
              </w:tc>
              <w:tc>
                <w:tcPr>
                  <w:tcW w:w="1094"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0.015</w:t>
                  </w:r>
                </w:p>
              </w:tc>
              <w:tc>
                <w:tcPr>
                  <w:tcW w:w="1099"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0.015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continue"/>
                  <w:tcBorders>
                    <w:tl2br w:val="nil"/>
                    <w:tr2bl w:val="nil"/>
                  </w:tcBorders>
                  <w:vAlign w:val="center"/>
                </w:tcPr>
                <w:p>
                  <w:pPr>
                    <w:widowControl/>
                    <w:jc w:val="center"/>
                    <w:rPr>
                      <w:color w:val="000000" w:themeColor="text1"/>
                      <w:kern w:val="0"/>
                      <w:szCs w:val="21"/>
                      <w14:textFill>
                        <w14:solidFill>
                          <w14:schemeClr w14:val="tx1"/>
                        </w14:solidFill>
                      </w14:textFill>
                    </w:rPr>
                  </w:pPr>
                </w:p>
              </w:tc>
              <w:tc>
                <w:tcPr>
                  <w:tcW w:w="109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&gt;2</w:t>
                  </w:r>
                </w:p>
              </w:tc>
              <w:tc>
                <w:tcPr>
                  <w:tcW w:w="1093"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0.021</w:t>
                  </w:r>
                </w:p>
              </w:tc>
              <w:tc>
                <w:tcPr>
                  <w:tcW w:w="1094"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0.036</w:t>
                  </w:r>
                </w:p>
              </w:tc>
              <w:tc>
                <w:tcPr>
                  <w:tcW w:w="1099"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0.036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restar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C</w:t>
                  </w:r>
                </w:p>
              </w:tc>
              <w:tc>
                <w:tcPr>
                  <w:tcW w:w="109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&lt;2</w:t>
                  </w:r>
                </w:p>
              </w:tc>
              <w:tc>
                <w:tcPr>
                  <w:tcW w:w="1093"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1.85</w:t>
                  </w:r>
                </w:p>
              </w:tc>
              <w:tc>
                <w:tcPr>
                  <w:tcW w:w="1094"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1.79</w:t>
                  </w:r>
                </w:p>
              </w:tc>
              <w:tc>
                <w:tcPr>
                  <w:tcW w:w="1099"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continue"/>
                  <w:tcBorders>
                    <w:tl2br w:val="nil"/>
                    <w:tr2bl w:val="nil"/>
                  </w:tcBorders>
                  <w:vAlign w:val="center"/>
                </w:tcPr>
                <w:p>
                  <w:pPr>
                    <w:widowControl/>
                    <w:jc w:val="center"/>
                    <w:rPr>
                      <w:color w:val="000000" w:themeColor="text1"/>
                      <w:kern w:val="0"/>
                      <w:szCs w:val="21"/>
                      <w14:textFill>
                        <w14:solidFill>
                          <w14:schemeClr w14:val="tx1"/>
                        </w14:solidFill>
                      </w14:textFill>
                    </w:rPr>
                  </w:pPr>
                </w:p>
              </w:tc>
              <w:tc>
                <w:tcPr>
                  <w:tcW w:w="109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&gt;2</w:t>
                  </w:r>
                </w:p>
              </w:tc>
              <w:tc>
                <w:tcPr>
                  <w:tcW w:w="1093"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1.85</w:t>
                  </w:r>
                </w:p>
              </w:tc>
              <w:tc>
                <w:tcPr>
                  <w:tcW w:w="1094"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1.77</w:t>
                  </w:r>
                </w:p>
              </w:tc>
              <w:tc>
                <w:tcPr>
                  <w:tcW w:w="1099"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1.77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restar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D</w:t>
                  </w:r>
                </w:p>
              </w:tc>
              <w:tc>
                <w:tcPr>
                  <w:tcW w:w="109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&lt;2</w:t>
                  </w:r>
                </w:p>
              </w:tc>
              <w:tc>
                <w:tcPr>
                  <w:tcW w:w="1093"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0.78</w:t>
                  </w:r>
                </w:p>
              </w:tc>
              <w:tc>
                <w:tcPr>
                  <w:tcW w:w="1094"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0.78</w:t>
                  </w:r>
                </w:p>
              </w:tc>
              <w:tc>
                <w:tcPr>
                  <w:tcW w:w="1099"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0.57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621" w:type="pct"/>
                  <w:vMerge w:val="continue"/>
                  <w:tcBorders>
                    <w:tl2br w:val="nil"/>
                    <w:tr2bl w:val="nil"/>
                  </w:tcBorders>
                  <w:vAlign w:val="center"/>
                </w:tcPr>
                <w:p>
                  <w:pPr>
                    <w:widowControl/>
                    <w:jc w:val="center"/>
                    <w:rPr>
                      <w:color w:val="000000" w:themeColor="text1"/>
                      <w:kern w:val="0"/>
                      <w:szCs w:val="21"/>
                      <w14:textFill>
                        <w14:solidFill>
                          <w14:schemeClr w14:val="tx1"/>
                        </w14:solidFill>
                      </w14:textFill>
                    </w:rPr>
                  </w:pPr>
                </w:p>
              </w:tc>
              <w:tc>
                <w:tcPr>
                  <w:tcW w:w="1093" w:type="pct"/>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&gt;2</w:t>
                  </w:r>
                </w:p>
              </w:tc>
              <w:tc>
                <w:tcPr>
                  <w:tcW w:w="1093"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0.84</w:t>
                  </w:r>
                </w:p>
              </w:tc>
              <w:tc>
                <w:tcPr>
                  <w:tcW w:w="1094"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0.84</w:t>
                  </w:r>
                </w:p>
              </w:tc>
              <w:tc>
                <w:tcPr>
                  <w:tcW w:w="1099" w:type="pct"/>
                  <w:gridSpan w:val="3"/>
                  <w:tcBorders>
                    <w:tl2br w:val="nil"/>
                    <w:tr2bl w:val="nil"/>
                  </w:tcBorders>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0.76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5000" w:type="pct"/>
                  <w:gridSpan w:val="11"/>
                  <w:tcBorders>
                    <w:tl2br w:val="nil"/>
                    <w:tr2bl w:val="nil"/>
                  </w:tcBorders>
                  <w:vAlign w:val="center"/>
                </w:tcPr>
                <w:p>
                  <w:pPr>
                    <w:pStyle w:val="143"/>
                    <w:spacing w:line="240" w:lineRule="auto"/>
                    <w:jc w:val="both"/>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注</w:t>
                  </w:r>
                  <w:r>
                    <w:rPr>
                      <w:rFonts w:ascii="Times New Roman" w:hAnsi="Times New Roman"/>
                      <w:color w:val="000000" w:themeColor="text1"/>
                      <w:sz w:val="21"/>
                      <w:szCs w:val="21"/>
                      <w14:textFill>
                        <w14:solidFill>
                          <w14:schemeClr w14:val="tx1"/>
                        </w14:solidFill>
                      </w14:textFill>
                    </w:rPr>
                    <w:t>：</w:t>
                  </w:r>
                  <w:r>
                    <w:rPr>
                      <w:rFonts w:hint="eastAsia" w:ascii="宋体" w:hAnsi="宋体" w:cs="宋体"/>
                      <w:color w:val="000000" w:themeColor="text1"/>
                      <w:sz w:val="21"/>
                      <w:szCs w:val="21"/>
                      <w14:textFill>
                        <w14:solidFill>
                          <w14:schemeClr w14:val="tx1"/>
                        </w14:solidFill>
                      </w14:textFill>
                    </w:rPr>
                    <w:t>Ⅰ</w:t>
                  </w:r>
                  <w:r>
                    <w:rPr>
                      <w:rFonts w:ascii="Times New Roman" w:hAnsi="Times New Roman"/>
                      <w:color w:val="000000" w:themeColor="text1"/>
                      <w:sz w:val="21"/>
                      <w:szCs w:val="21"/>
                      <w14:textFill>
                        <w14:solidFill>
                          <w14:schemeClr w14:val="tx1"/>
                        </w14:solidFill>
                      </w14:textFill>
                    </w:rPr>
                    <w:t>类：</w:t>
                  </w:r>
                  <w:r>
                    <w:rPr>
                      <w:rFonts w:ascii="Times New Roman" w:hAnsi="Times New Roman"/>
                      <w:color w:val="000000" w:themeColor="text1"/>
                      <w14:textFill>
                        <w14:solidFill>
                          <w14:schemeClr w14:val="tx1"/>
                        </w14:solidFill>
                      </w14:textFill>
                    </w:rPr>
                    <w:t>与无组织排放源共存的排放同种有害气体的排气筒的排放量，大于或等于标准规定的允许排放量的1/3者。</w:t>
                  </w:r>
                </w:p>
                <w:p>
                  <w:pPr>
                    <w:pStyle w:val="143"/>
                    <w:spacing w:line="240" w:lineRule="auto"/>
                    <w:jc w:val="both"/>
                    <w:rPr>
                      <w:rFonts w:ascii="Times New Roman" w:hAnsi="Times New Roman"/>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Ⅱ</w:t>
                  </w:r>
                  <w:r>
                    <w:rPr>
                      <w:rFonts w:ascii="Times New Roman" w:hAnsi="Times New Roman"/>
                      <w:color w:val="000000" w:themeColor="text1"/>
                      <w:sz w:val="21"/>
                      <w:szCs w:val="21"/>
                      <w14:textFill>
                        <w14:solidFill>
                          <w14:schemeClr w14:val="tx1"/>
                        </w14:solidFill>
                      </w14:textFill>
                    </w:rPr>
                    <w:t>类：</w:t>
                  </w:r>
                  <w:r>
                    <w:rPr>
                      <w:rFonts w:ascii="Times New Roman" w:hAnsi="Times New Roman"/>
                      <w:color w:val="000000" w:themeColor="text1"/>
                      <w14:textFill>
                        <w14:solidFill>
                          <w14:schemeClr w14:val="tx1"/>
                        </w14:solidFill>
                      </w14:textFill>
                    </w:rPr>
                    <w:t>与无组织排放源共存的排放同种有害气体的排气筒的排放量，小于标准规定的允许排放量的1/3，或虽无排放同种大气污染物之排气筒共存，但无组织排放的有害物质的容许浓度指标是按急性反应指标确定者。</w:t>
                  </w:r>
                </w:p>
                <w:p>
                  <w:pPr>
                    <w:pStyle w:val="143"/>
                    <w:spacing w:line="240" w:lineRule="auto"/>
                    <w:jc w:val="both"/>
                    <w:rPr>
                      <w:rFonts w:ascii="Times New Roman" w:hAnsi="Times New Roman"/>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Ⅲ</w:t>
                  </w:r>
                  <w:r>
                    <w:rPr>
                      <w:rFonts w:ascii="Times New Roman" w:hAnsi="Times New Roman"/>
                      <w:color w:val="000000" w:themeColor="text1"/>
                      <w:sz w:val="21"/>
                      <w:szCs w:val="21"/>
                      <w14:textFill>
                        <w14:solidFill>
                          <w14:schemeClr w14:val="tx1"/>
                        </w14:solidFill>
                      </w14:textFill>
                    </w:rPr>
                    <w:t>类：</w:t>
                  </w:r>
                  <w:r>
                    <w:rPr>
                      <w:rFonts w:ascii="Times New Roman" w:hAnsi="Times New Roman"/>
                      <w:color w:val="000000" w:themeColor="text1"/>
                      <w14:textFill>
                        <w14:solidFill>
                          <w14:schemeClr w14:val="tx1"/>
                        </w14:solidFill>
                      </w14:textFill>
                    </w:rPr>
                    <w:t>无排放同种有害气体的排气筒与无组织排放源共存，且无组织排放的有害物质的容许浓度是按慢性反应指标确定者。</w:t>
                  </w:r>
                </w:p>
              </w:tc>
            </w:tr>
          </w:tbl>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本项目大气污染源类别为Ⅱ类，惠州市年平均风速为2.2m/s，则A为</w:t>
            </w:r>
            <w:r>
              <w:rPr>
                <w:color w:val="000000" w:themeColor="text1"/>
                <w:sz w:val="24"/>
                <w14:textFill>
                  <w14:solidFill>
                    <w14:schemeClr w14:val="tx1"/>
                  </w14:solidFill>
                </w14:textFill>
              </w:rPr>
              <w:t>47</w:t>
            </w:r>
            <w:r>
              <w:rPr>
                <w:rFonts w:hint="eastAsia"/>
                <w:color w:val="000000" w:themeColor="text1"/>
                <w:sz w:val="24"/>
                <w14:textFill>
                  <w14:solidFill>
                    <w14:schemeClr w14:val="tx1"/>
                  </w14:solidFill>
                </w14:textFill>
              </w:rPr>
              <w:t>0，B为0.021，C为1.85，D为0.84，根据《大气有害物质无组织排放卫生防护距离推导技术导则 GB/T 39499-2020》中等标排放量的计算（厂房内颗粒物等标排放量为</w:t>
            </w:r>
            <w:r>
              <w:rPr>
                <w:color w:val="000000" w:themeColor="text1"/>
                <w:sz w:val="24"/>
                <w14:textFill>
                  <w14:solidFill>
                    <w14:schemeClr w14:val="tx1"/>
                  </w14:solidFill>
                </w14:textFill>
              </w:rPr>
              <w:t>272708.09</w:t>
            </w:r>
            <w:r>
              <w:rPr>
                <w:rFonts w:hint="eastAsia"/>
                <w:color w:val="000000" w:themeColor="text1"/>
                <w:sz w:val="24"/>
                <w14:textFill>
                  <w14:solidFill>
                    <w14:schemeClr w14:val="tx1"/>
                  </w14:solidFill>
                </w14:textFill>
              </w:rPr>
              <w:t>，总VOCs等标排放量为</w:t>
            </w:r>
            <w:r>
              <w:rPr>
                <w:color w:val="000000" w:themeColor="text1"/>
                <w:sz w:val="24"/>
                <w14:textFill>
                  <w14:solidFill>
                    <w14:schemeClr w14:val="tx1"/>
                  </w14:solidFill>
                </w14:textFill>
              </w:rPr>
              <w:t>44953.80</w:t>
            </w:r>
            <w:r>
              <w:rPr>
                <w:rFonts w:hint="eastAsia"/>
                <w:color w:val="000000" w:themeColor="text1"/>
                <w:sz w:val="24"/>
                <w14:textFill>
                  <w14:solidFill>
                    <w14:schemeClr w14:val="tx1"/>
                  </w14:solidFill>
                </w14:textFill>
              </w:rPr>
              <w:t>），本项目等标排</w:t>
            </w:r>
            <w:r>
              <w:rPr>
                <w:color w:val="000000" w:themeColor="text1"/>
                <w:sz w:val="24"/>
                <w14:textFill>
                  <w14:solidFill>
                    <w14:schemeClr w14:val="tx1"/>
                  </w14:solidFill>
                </w14:textFill>
              </w:rPr>
              <w:t>放量相差大于10%，所以本项目优先选择排放量较大的污染物（</w:t>
            </w:r>
            <w:r>
              <w:rPr>
                <w:rFonts w:hint="eastAsia"/>
                <w:color w:val="000000" w:themeColor="text1"/>
                <w:sz w:val="24"/>
                <w14:textFill>
                  <w14:solidFill>
                    <w14:schemeClr w14:val="tx1"/>
                  </w14:solidFill>
                </w14:textFill>
              </w:rPr>
              <w:t>颗粒物</w:t>
            </w:r>
            <w:r>
              <w:rPr>
                <w:color w:val="000000" w:themeColor="text1"/>
                <w:sz w:val="24"/>
                <w14:textFill>
                  <w14:solidFill>
                    <w14:schemeClr w14:val="tx1"/>
                  </w14:solidFill>
                </w14:textFill>
              </w:rPr>
              <w:t>）进行卫生防护距离计算。</w:t>
            </w:r>
            <w:r>
              <w:rPr>
                <w:rFonts w:hint="eastAsia"/>
                <w:color w:val="000000" w:themeColor="text1"/>
                <w:sz w:val="24"/>
                <w14:textFill>
                  <w14:solidFill>
                    <w14:schemeClr w14:val="tx1"/>
                  </w14:solidFill>
                </w14:textFill>
              </w:rPr>
              <w:t>生产车间与居住区之间卫生防护距离的计算源强如下所示。</w:t>
            </w:r>
          </w:p>
          <w:p>
            <w:pPr>
              <w:pStyle w:val="6"/>
              <w:spacing w:before="0" w:after="0" w:line="360" w:lineRule="auto"/>
              <w:jc w:val="center"/>
              <w:rPr>
                <w:rFonts w:ascii="Times New Roman" w:hAnsi="Times New Roman" w:eastAsia="宋体"/>
                <w:color w:val="000000" w:themeColor="text1"/>
                <w:sz w:val="21"/>
                <w:szCs w:val="21"/>
                <w14:textFill>
                  <w14:solidFill>
                    <w14:schemeClr w14:val="tx1"/>
                  </w14:solidFill>
                </w14:textFill>
              </w:rPr>
            </w:pPr>
            <w:r>
              <w:rPr>
                <w:rFonts w:hint="eastAsia" w:ascii="Times New Roman" w:hAnsi="Times New Roman" w:eastAsia="宋体"/>
                <w:color w:val="000000" w:themeColor="text1"/>
                <w:sz w:val="21"/>
                <w:szCs w:val="21"/>
                <w14:textFill>
                  <w14:solidFill>
                    <w14:schemeClr w14:val="tx1"/>
                  </w14:solidFill>
                </w14:textFill>
              </w:rPr>
              <w:t>表4-</w:t>
            </w:r>
            <w:r>
              <w:rPr>
                <w:rFonts w:ascii="Times New Roman" w:hAnsi="Times New Roman" w:eastAsia="宋体"/>
                <w:color w:val="000000" w:themeColor="text1"/>
                <w:sz w:val="21"/>
                <w:szCs w:val="21"/>
                <w14:textFill>
                  <w14:solidFill>
                    <w14:schemeClr w14:val="tx1"/>
                  </w14:solidFill>
                </w14:textFill>
              </w:rPr>
              <w:t xml:space="preserve">8  </w:t>
            </w:r>
            <w:r>
              <w:rPr>
                <w:rFonts w:hint="eastAsia" w:ascii="Times New Roman" w:hAnsi="Times New Roman" w:eastAsia="宋体"/>
                <w:color w:val="000000" w:themeColor="text1"/>
                <w:sz w:val="21"/>
                <w:szCs w:val="21"/>
                <w14:textFill>
                  <w14:solidFill>
                    <w14:schemeClr w14:val="tx1"/>
                  </w14:solidFill>
                </w14:textFill>
              </w:rPr>
              <w:t>生产车间与居住区之间卫生防护距离的计算源强</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53"/>
              <w:gridCol w:w="3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2"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面源</w:t>
                  </w:r>
                </w:p>
              </w:tc>
              <w:tc>
                <w:tcPr>
                  <w:tcW w:w="1968" w:type="pct"/>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生产区域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参数选取</w:t>
                  </w:r>
                </w:p>
              </w:tc>
              <w:tc>
                <w:tcPr>
                  <w:tcW w:w="1968"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Q</w:t>
                  </w:r>
                  <w:r>
                    <w:rPr>
                      <w:color w:val="000000" w:themeColor="text1"/>
                      <w:szCs w:val="21"/>
                      <w:vertAlign w:val="subscript"/>
                      <w14:textFill>
                        <w14:solidFill>
                          <w14:schemeClr w14:val="tx1"/>
                        </w14:solidFill>
                      </w14:textFill>
                    </w:rPr>
                    <w:t>c</w:t>
                  </w:r>
                  <w:r>
                    <w:rPr>
                      <w:color w:val="000000" w:themeColor="text1"/>
                      <w:szCs w:val="21"/>
                      <w14:textFill>
                        <w14:solidFill>
                          <w14:schemeClr w14:val="tx1"/>
                        </w14:solidFill>
                      </w14:textFill>
                    </w:rPr>
                    <w:t>（kg/h）</w:t>
                  </w:r>
                </w:p>
              </w:tc>
              <w:tc>
                <w:tcPr>
                  <w:tcW w:w="1968"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0.248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w:t>
                  </w:r>
                  <w:r>
                    <w:rPr>
                      <w:color w:val="000000" w:themeColor="text1"/>
                      <w:szCs w:val="21"/>
                      <w:vertAlign w:val="subscript"/>
                      <w14:textFill>
                        <w14:solidFill>
                          <w14:schemeClr w14:val="tx1"/>
                        </w14:solidFill>
                      </w14:textFill>
                    </w:rPr>
                    <w:t>m</w:t>
                  </w:r>
                  <w:r>
                    <w:rPr>
                      <w:color w:val="000000" w:themeColor="text1"/>
                      <w:szCs w:val="21"/>
                      <w14:textFill>
                        <w14:solidFill>
                          <w14:schemeClr w14:val="tx1"/>
                        </w14:solidFill>
                      </w14:textFill>
                    </w:rPr>
                    <w:t>（mg/m</w:t>
                  </w:r>
                  <w:r>
                    <w:rPr>
                      <w:color w:val="000000" w:themeColor="text1"/>
                      <w:szCs w:val="21"/>
                      <w:vertAlign w:val="superscript"/>
                      <w14:textFill>
                        <w14:solidFill>
                          <w14:schemeClr w14:val="tx1"/>
                        </w14:solidFill>
                      </w14:textFill>
                    </w:rPr>
                    <w:t>3</w:t>
                  </w:r>
                  <w:r>
                    <w:rPr>
                      <w:color w:val="000000" w:themeColor="text1"/>
                      <w:szCs w:val="21"/>
                      <w14:textFill>
                        <w14:solidFill>
                          <w14:schemeClr w14:val="tx1"/>
                        </w14:solidFill>
                      </w14:textFill>
                    </w:rPr>
                    <w:t>）</w:t>
                  </w:r>
                </w:p>
              </w:tc>
              <w:tc>
                <w:tcPr>
                  <w:tcW w:w="1968"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S（m</w:t>
                  </w:r>
                  <w:r>
                    <w:rPr>
                      <w:color w:val="000000" w:themeColor="text1"/>
                      <w:szCs w:val="21"/>
                      <w:vertAlign w:val="superscript"/>
                      <w14:textFill>
                        <w14:solidFill>
                          <w14:schemeClr w14:val="tx1"/>
                        </w14:solidFill>
                      </w14:textFill>
                    </w:rPr>
                    <w:t>2</w:t>
                  </w:r>
                  <w:r>
                    <w:rPr>
                      <w:color w:val="000000" w:themeColor="text1"/>
                      <w:szCs w:val="21"/>
                      <w14:textFill>
                        <w14:solidFill>
                          <w14:schemeClr w14:val="tx1"/>
                        </w14:solidFill>
                      </w14:textFill>
                    </w:rPr>
                    <w:t>）</w:t>
                  </w:r>
                </w:p>
              </w:tc>
              <w:tc>
                <w:tcPr>
                  <w:tcW w:w="19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2" w:type="pct"/>
                  <w:vAlign w:val="center"/>
                </w:tcPr>
                <w:p>
                  <w:pPr>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A</w:t>
                  </w:r>
                </w:p>
              </w:tc>
              <w:tc>
                <w:tcPr>
                  <w:tcW w:w="1968" w:type="pct"/>
                  <w:vAlign w:val="center"/>
                </w:tcPr>
                <w:p>
                  <w:pPr>
                    <w:adjustRightInd w:val="0"/>
                    <w:snapToGrid w:val="0"/>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2" w:type="pct"/>
                  <w:vAlign w:val="center"/>
                </w:tcPr>
                <w:p>
                  <w:pPr>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B</w:t>
                  </w:r>
                </w:p>
              </w:tc>
              <w:tc>
                <w:tcPr>
                  <w:tcW w:w="1968" w:type="pct"/>
                  <w:vAlign w:val="center"/>
                </w:tcPr>
                <w:p>
                  <w:pPr>
                    <w:adjustRightInd w:val="0"/>
                    <w:snapToGrid w:val="0"/>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0.021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2" w:type="pct"/>
                  <w:vAlign w:val="center"/>
                </w:tcPr>
                <w:p>
                  <w:pPr>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C</w:t>
                  </w:r>
                </w:p>
              </w:tc>
              <w:tc>
                <w:tcPr>
                  <w:tcW w:w="1968" w:type="pct"/>
                  <w:vAlign w:val="center"/>
                </w:tcPr>
                <w:p>
                  <w:pPr>
                    <w:adjustRightInd w:val="0"/>
                    <w:snapToGrid w:val="0"/>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2" w:type="pct"/>
                  <w:vAlign w:val="center"/>
                </w:tcPr>
                <w:p>
                  <w:pPr>
                    <w:jc w:val="center"/>
                    <w:rPr>
                      <w:color w:val="000000" w:themeColor="text1"/>
                      <w:spacing w:val="-4"/>
                      <w:kern w:val="0"/>
                      <w:szCs w:val="21"/>
                      <w14:textFill>
                        <w14:solidFill>
                          <w14:schemeClr w14:val="tx1"/>
                        </w14:solidFill>
                      </w14:textFill>
                    </w:rPr>
                  </w:pPr>
                  <w:r>
                    <w:rPr>
                      <w:color w:val="000000" w:themeColor="text1"/>
                      <w:spacing w:val="-4"/>
                      <w:kern w:val="0"/>
                      <w:szCs w:val="21"/>
                      <w14:textFill>
                        <w14:solidFill>
                          <w14:schemeClr w14:val="tx1"/>
                        </w14:solidFill>
                      </w14:textFill>
                    </w:rPr>
                    <w:t>D</w:t>
                  </w:r>
                </w:p>
              </w:tc>
              <w:tc>
                <w:tcPr>
                  <w:tcW w:w="1968"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卫生防护距离</w:t>
                  </w:r>
                  <w:r>
                    <w:rPr>
                      <w:rFonts w:hint="eastAsia"/>
                      <w:color w:val="000000" w:themeColor="text1"/>
                      <w:szCs w:val="21"/>
                      <w14:textFill>
                        <w14:solidFill>
                          <w14:schemeClr w14:val="tx1"/>
                        </w14:solidFill>
                      </w14:textFill>
                    </w:rPr>
                    <w:t>初值</w:t>
                  </w:r>
                  <w:r>
                    <w:rPr>
                      <w:color w:val="000000" w:themeColor="text1"/>
                      <w:szCs w:val="21"/>
                      <w14:textFill>
                        <w14:solidFill>
                          <w14:schemeClr w14:val="tx1"/>
                        </w14:solidFill>
                      </w14:textFill>
                    </w:rPr>
                    <w:t>(m)</w:t>
                  </w:r>
                </w:p>
              </w:tc>
              <w:tc>
                <w:tcPr>
                  <w:tcW w:w="1968" w:type="pc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032"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需要设置的环境防护距离（m）</w:t>
                  </w:r>
                </w:p>
              </w:tc>
              <w:tc>
                <w:tcPr>
                  <w:tcW w:w="1968"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w:t>
                  </w:r>
                </w:p>
              </w:tc>
            </w:tr>
          </w:tbl>
          <w:p>
            <w:pPr>
              <w:spacing w:line="360" w:lineRule="auto"/>
              <w:ind w:firstLine="470" w:firstLineChars="196"/>
              <w:rPr>
                <w:color w:val="000000" w:themeColor="text1"/>
                <w:sz w:val="24"/>
                <w14:textFill>
                  <w14:solidFill>
                    <w14:schemeClr w14:val="tx1"/>
                  </w14:solidFill>
                </w14:textFill>
              </w:rPr>
            </w:pPr>
            <w:r>
              <w:rPr>
                <w:color w:val="000000" w:themeColor="text1"/>
                <w:sz w:val="24"/>
                <w14:textFill>
                  <w14:solidFill>
                    <w14:schemeClr w14:val="tx1"/>
                  </w14:solidFill>
                </w14:textFill>
              </w:rPr>
              <w:t>由上表可知，本项目卫生防护距离设置为50m。根据现状调查，本项目产污车间外50m范围内无大气敏感点，最近环境敏感点为本项目产污车间</w:t>
            </w:r>
            <w:r>
              <w:rPr>
                <w:rFonts w:hint="eastAsia"/>
                <w:color w:val="000000" w:themeColor="text1"/>
                <w:sz w:val="24"/>
                <w14:textFill>
                  <w14:solidFill>
                    <w14:schemeClr w14:val="tx1"/>
                  </w14:solidFill>
                </w14:textFill>
              </w:rPr>
              <w:t>东</w:t>
            </w:r>
            <w:r>
              <w:rPr>
                <w:color w:val="000000" w:themeColor="text1"/>
                <w:sz w:val="24"/>
                <w14:textFill>
                  <w14:solidFill>
                    <w14:schemeClr w14:val="tx1"/>
                  </w14:solidFill>
                </w14:textFill>
              </w:rPr>
              <w:t>面180m的</w:t>
            </w:r>
            <w:r>
              <w:rPr>
                <w:rFonts w:hint="eastAsia"/>
                <w:color w:val="000000" w:themeColor="text1"/>
                <w:sz w:val="24"/>
                <w14:textFill>
                  <w14:solidFill>
                    <w14:schemeClr w14:val="tx1"/>
                  </w14:solidFill>
                </w14:textFill>
              </w:rPr>
              <w:t>新屋仔村</w:t>
            </w:r>
            <w:r>
              <w:rPr>
                <w:color w:val="000000" w:themeColor="text1"/>
                <w:sz w:val="24"/>
                <w14:textFill>
                  <w14:solidFill>
                    <w14:schemeClr w14:val="tx1"/>
                  </w14:solidFill>
                </w14:textFill>
              </w:rPr>
              <w:t>民居楼。</w:t>
            </w:r>
          </w:p>
          <w:p>
            <w:pPr>
              <w:spacing w:line="360" w:lineRule="auto"/>
              <w:ind w:firstLine="472" w:firstLineChars="196"/>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二</w:t>
            </w:r>
            <w:r>
              <w:rPr>
                <w:b/>
                <w:color w:val="000000" w:themeColor="text1"/>
                <w:sz w:val="24"/>
                <w14:textFill>
                  <w14:solidFill>
                    <w14:schemeClr w14:val="tx1"/>
                  </w14:solidFill>
                </w14:textFill>
              </w:rPr>
              <w:t>、废水</w:t>
            </w:r>
            <w:r>
              <w:rPr>
                <w:rFonts w:hint="eastAsia"/>
                <w:b/>
                <w:color w:val="000000" w:themeColor="text1"/>
                <w:sz w:val="24"/>
                <w14:textFill>
                  <w14:solidFill>
                    <w14:schemeClr w14:val="tx1"/>
                  </w14:solidFill>
                </w14:textFill>
              </w:rPr>
              <w:t>环境</w:t>
            </w:r>
            <w:r>
              <w:rPr>
                <w:b/>
                <w:color w:val="000000" w:themeColor="text1"/>
                <w:sz w:val="24"/>
                <w14:textFill>
                  <w14:solidFill>
                    <w14:schemeClr w14:val="tx1"/>
                  </w14:solidFill>
                </w14:textFill>
              </w:rPr>
              <w:t>影响分析</w:t>
            </w:r>
          </w:p>
          <w:p>
            <w:pPr>
              <w:spacing w:line="360" w:lineRule="auto"/>
              <w:ind w:firstLine="472" w:firstLineChars="196"/>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w:t>
            </w:r>
            <w:r>
              <w:rPr>
                <w:b/>
                <w:color w:val="000000" w:themeColor="text1"/>
                <w:sz w:val="24"/>
                <w14:textFill>
                  <w14:solidFill>
                    <w14:schemeClr w14:val="tx1"/>
                  </w14:solidFill>
                </w14:textFill>
              </w:rPr>
              <w:t>废水污染物产排情况</w:t>
            </w:r>
          </w:p>
          <w:p>
            <w:pPr>
              <w:spacing w:line="360" w:lineRule="auto"/>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表</w:t>
            </w:r>
            <w:r>
              <w:rPr>
                <w:b/>
                <w:color w:val="000000" w:themeColor="text1"/>
                <w:szCs w:val="21"/>
                <w14:textFill>
                  <w14:solidFill>
                    <w14:schemeClr w14:val="tx1"/>
                  </w14:solidFill>
                </w14:textFill>
              </w:rPr>
              <w:t xml:space="preserve">4-9 </w:t>
            </w:r>
            <w:r>
              <w:rPr>
                <w:rFonts w:hint="eastAsia"/>
                <w:b/>
                <w:color w:val="000000" w:themeColor="text1"/>
                <w:szCs w:val="21"/>
                <w14:textFill>
                  <w14:solidFill>
                    <w14:schemeClr w14:val="tx1"/>
                  </w14:solidFill>
                </w14:textFill>
              </w:rPr>
              <w:t>本项目</w:t>
            </w:r>
            <w:r>
              <w:rPr>
                <w:b/>
                <w:color w:val="000000" w:themeColor="text1"/>
                <w:szCs w:val="21"/>
                <w14:textFill>
                  <w14:solidFill>
                    <w14:schemeClr w14:val="tx1"/>
                  </w14:solidFill>
                </w14:textFill>
              </w:rPr>
              <w:t>水污染源源强核算结果及相关参数一览表</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670"/>
              <w:gridCol w:w="597"/>
              <w:gridCol w:w="551"/>
              <w:gridCol w:w="1049"/>
              <w:gridCol w:w="709"/>
              <w:gridCol w:w="872"/>
              <w:gridCol w:w="502"/>
              <w:gridCol w:w="597"/>
              <w:gridCol w:w="551"/>
              <w:gridCol w:w="328"/>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0" w:type="auto"/>
                  <w:vMerge w:val="restart"/>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排污环节</w:t>
                  </w:r>
                </w:p>
              </w:tc>
              <w:tc>
                <w:tcPr>
                  <w:tcW w:w="0" w:type="auto"/>
                  <w:vMerge w:val="restart"/>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污染物种类</w:t>
                  </w:r>
                </w:p>
              </w:tc>
              <w:tc>
                <w:tcPr>
                  <w:tcW w:w="0" w:type="auto"/>
                  <w:gridSpan w:val="2"/>
                  <w:tcBorders>
                    <w:bottom w:val="single" w:color="000000" w:sz="8" w:space="0"/>
                  </w:tcBorders>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污染物产生情况</w:t>
                  </w:r>
                </w:p>
              </w:tc>
              <w:tc>
                <w:tcPr>
                  <w:tcW w:w="0" w:type="auto"/>
                  <w:gridSpan w:val="3"/>
                  <w:tcBorders>
                    <w:bottom w:val="single" w:color="000000" w:sz="8" w:space="0"/>
                  </w:tcBorders>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治理措施</w:t>
                  </w:r>
                </w:p>
              </w:tc>
              <w:tc>
                <w:tcPr>
                  <w:tcW w:w="0" w:type="auto"/>
                  <w:vMerge w:val="restart"/>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废水排放</w:t>
                  </w:r>
                </w:p>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量t/a</w:t>
                  </w:r>
                </w:p>
              </w:tc>
              <w:tc>
                <w:tcPr>
                  <w:tcW w:w="0" w:type="auto"/>
                  <w:gridSpan w:val="2"/>
                  <w:tcBorders>
                    <w:bottom w:val="single" w:color="000000" w:sz="8" w:space="0"/>
                  </w:tcBorders>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污染物排放情况</w:t>
                  </w:r>
                </w:p>
              </w:tc>
              <w:tc>
                <w:tcPr>
                  <w:tcW w:w="0" w:type="auto"/>
                  <w:vMerge w:val="restart"/>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排放方式</w:t>
                  </w:r>
                </w:p>
              </w:tc>
              <w:tc>
                <w:tcPr>
                  <w:tcW w:w="0" w:type="auto"/>
                  <w:vMerge w:val="restart"/>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0" w:type="auto"/>
                  <w:vMerge w:val="continue"/>
                  <w:tcMar>
                    <w:top w:w="0" w:type="dxa"/>
                    <w:left w:w="0" w:type="dxa"/>
                    <w:bottom w:w="0" w:type="dxa"/>
                    <w:right w:w="0" w:type="dxa"/>
                  </w:tcMar>
                  <w:vAlign w:val="center"/>
                </w:tcPr>
                <w:p>
                  <w:pPr>
                    <w:pStyle w:val="47"/>
                    <w:rPr>
                      <w:rFonts w:ascii="Times New Roman"/>
                      <w:b/>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p>
              </w:tc>
              <w:tc>
                <w:tcPr>
                  <w:tcW w:w="0" w:type="auto"/>
                  <w:tcBorders>
                    <w:top w:val="single" w:color="000000" w:sz="8" w:space="0"/>
                  </w:tcBorders>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产生量</w:t>
                  </w:r>
                </w:p>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t/a</w:t>
                  </w:r>
                </w:p>
              </w:tc>
              <w:tc>
                <w:tcPr>
                  <w:tcW w:w="0" w:type="auto"/>
                  <w:tcBorders>
                    <w:top w:val="single" w:color="000000" w:sz="8" w:space="0"/>
                  </w:tcBorders>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产生浓度</w:t>
                  </w:r>
                </w:p>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mg/L</w:t>
                  </w:r>
                </w:p>
              </w:tc>
              <w:tc>
                <w:tcPr>
                  <w:tcW w:w="1049" w:type="dxa"/>
                  <w:tcBorders>
                    <w:top w:val="single" w:color="000000" w:sz="8" w:space="0"/>
                  </w:tcBorders>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工艺</w:t>
                  </w:r>
                </w:p>
              </w:tc>
              <w:tc>
                <w:tcPr>
                  <w:tcW w:w="709" w:type="dxa"/>
                  <w:tcBorders>
                    <w:top w:val="single" w:color="000000" w:sz="8" w:space="0"/>
                  </w:tcBorders>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治理效率%</w:t>
                  </w:r>
                </w:p>
              </w:tc>
              <w:tc>
                <w:tcPr>
                  <w:tcW w:w="872" w:type="dxa"/>
                  <w:tcBorders>
                    <w:top w:val="single" w:color="000000" w:sz="8" w:space="0"/>
                  </w:tcBorders>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是否为可行技术</w:t>
                  </w:r>
                </w:p>
              </w:tc>
              <w:tc>
                <w:tcPr>
                  <w:tcW w:w="0" w:type="auto"/>
                  <w:vMerge w:val="continue"/>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p>
              </w:tc>
              <w:tc>
                <w:tcPr>
                  <w:tcW w:w="0" w:type="auto"/>
                  <w:tcBorders>
                    <w:top w:val="single" w:color="000000" w:sz="8" w:space="0"/>
                  </w:tcBorders>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排放量</w:t>
                  </w:r>
                </w:p>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t/a</w:t>
                  </w:r>
                </w:p>
              </w:tc>
              <w:tc>
                <w:tcPr>
                  <w:tcW w:w="0" w:type="auto"/>
                  <w:tcBorders>
                    <w:top w:val="single" w:color="000000" w:sz="8" w:space="0"/>
                  </w:tcBorders>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排放浓度</w:t>
                  </w:r>
                </w:p>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mg/L</w:t>
                  </w:r>
                </w:p>
              </w:tc>
              <w:tc>
                <w:tcPr>
                  <w:tcW w:w="0" w:type="auto"/>
                  <w:vMerge w:val="continue"/>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0" w:type="auto"/>
                  <w:vMerge w:val="restart"/>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r>
                    <w:rPr>
                      <w:rFonts w:ascii="Times New Roman"/>
                      <w:b/>
                      <w:color w:val="000000" w:themeColor="text1"/>
                      <w:sz w:val="21"/>
                      <w:szCs w:val="21"/>
                      <w14:textFill>
                        <w14:solidFill>
                          <w14:schemeClr w14:val="tx1"/>
                        </w14:solidFill>
                      </w14:textFill>
                    </w:rPr>
                    <w:t>生活污水</w:t>
                  </w:r>
                  <w:r>
                    <w:rPr>
                      <w:rFonts w:ascii="Times New Roman"/>
                      <w:bCs/>
                      <w:color w:val="000000" w:themeColor="text1"/>
                      <w:sz w:val="21"/>
                      <w:szCs w:val="21"/>
                      <w14:textFill>
                        <w14:solidFill>
                          <w14:schemeClr w14:val="tx1"/>
                        </w14:solidFill>
                      </w14:textFill>
                    </w:rPr>
                    <w:t>（1728t/a）</w:t>
                  </w:r>
                </w:p>
              </w:tc>
              <w:tc>
                <w:tcPr>
                  <w:tcW w:w="0" w:type="auto"/>
                  <w:tcMar>
                    <w:top w:w="0" w:type="dxa"/>
                    <w:left w:w="0" w:type="dxa"/>
                    <w:bottom w:w="0" w:type="dxa"/>
                    <w:right w:w="0" w:type="dxa"/>
                  </w:tcMar>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r>
                    <w:rPr>
                      <w:color w:val="000000" w:themeColor="text1"/>
                      <w:szCs w:val="21"/>
                      <w:vertAlign w:val="subscript"/>
                      <w14:textFill>
                        <w14:solidFill>
                          <w14:schemeClr w14:val="tx1"/>
                        </w14:solidFill>
                      </w14:textFill>
                    </w:rPr>
                    <w:t>Cr</w:t>
                  </w:r>
                </w:p>
              </w:tc>
              <w:tc>
                <w:tcPr>
                  <w:tcW w:w="0" w:type="auto"/>
                  <w:tcMar>
                    <w:top w:w="0" w:type="dxa"/>
                    <w:left w:w="0" w:type="dxa"/>
                    <w:bottom w:w="0" w:type="dxa"/>
                    <w:right w:w="0" w:type="dxa"/>
                  </w:tcMar>
                  <w:vAlign w:val="center"/>
                </w:tcPr>
                <w:p>
                  <w:pPr>
                    <w:widowControl/>
                    <w:jc w:val="center"/>
                    <w:textAlignment w:val="center"/>
                    <w:rPr>
                      <w:color w:val="000000" w:themeColor="text1"/>
                      <w:szCs w:val="21"/>
                      <w14:textFill>
                        <w14:solidFill>
                          <w14:schemeClr w14:val="tx1"/>
                        </w14:solidFill>
                      </w14:textFill>
                    </w:rPr>
                  </w:pPr>
                  <w:r>
                    <w:rPr>
                      <w:rFonts w:eastAsia="等线"/>
                      <w:color w:val="000000"/>
                      <w:szCs w:val="21"/>
                    </w:rPr>
                    <w:t>0.4320</w:t>
                  </w:r>
                </w:p>
              </w:tc>
              <w:tc>
                <w:tcPr>
                  <w:tcW w:w="0" w:type="auto"/>
                  <w:tcMar>
                    <w:top w:w="0" w:type="dxa"/>
                    <w:left w:w="0" w:type="dxa"/>
                    <w:bottom w:w="0" w:type="dxa"/>
                    <w:right w:w="0"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250</w:t>
                  </w:r>
                </w:p>
              </w:tc>
              <w:tc>
                <w:tcPr>
                  <w:tcW w:w="1049" w:type="dxa"/>
                  <w:vMerge w:val="restart"/>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隔油隔渣、</w:t>
                  </w:r>
                  <w:r>
                    <w:rPr>
                      <w:rFonts w:ascii="Times New Roman"/>
                      <w:color w:val="000000" w:themeColor="text1"/>
                      <w:sz w:val="21"/>
                      <w:szCs w:val="21"/>
                      <w14:textFill>
                        <w14:solidFill>
                          <w14:schemeClr w14:val="tx1"/>
                        </w14:solidFill>
                      </w14:textFill>
                    </w:rPr>
                    <w:t>三级化粪池</w:t>
                  </w:r>
                  <w:r>
                    <w:rPr>
                      <w:rFonts w:hint="eastAsia" w:ascii="Times New Roman"/>
                      <w:color w:val="000000" w:themeColor="text1"/>
                      <w:sz w:val="21"/>
                      <w:szCs w:val="21"/>
                      <w14:textFill>
                        <w14:solidFill>
                          <w14:schemeClr w14:val="tx1"/>
                        </w14:solidFill>
                      </w14:textFill>
                    </w:rPr>
                    <w:t>+博罗县福田镇生活污水处理厂</w:t>
                  </w:r>
                </w:p>
              </w:tc>
              <w:tc>
                <w:tcPr>
                  <w:tcW w:w="709" w:type="dxa"/>
                  <w:vMerge w:val="restart"/>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w:t>
                  </w:r>
                </w:p>
              </w:tc>
              <w:tc>
                <w:tcPr>
                  <w:tcW w:w="872" w:type="dxa"/>
                  <w:vMerge w:val="restart"/>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是</w:t>
                  </w:r>
                </w:p>
              </w:tc>
              <w:tc>
                <w:tcPr>
                  <w:tcW w:w="0" w:type="auto"/>
                  <w:vMerge w:val="restart"/>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1728</w:t>
                  </w:r>
                </w:p>
              </w:tc>
              <w:tc>
                <w:tcPr>
                  <w:tcW w:w="0" w:type="auto"/>
                  <w:tcMar>
                    <w:top w:w="0" w:type="dxa"/>
                    <w:left w:w="0" w:type="dxa"/>
                    <w:bottom w:w="0" w:type="dxa"/>
                    <w:right w:w="0" w:type="dxa"/>
                  </w:tcMar>
                  <w:vAlign w:val="center"/>
                </w:tcPr>
                <w:p>
                  <w:pPr>
                    <w:widowControl/>
                    <w:jc w:val="center"/>
                    <w:textAlignment w:val="center"/>
                    <w:rPr>
                      <w:color w:val="000000" w:themeColor="text1"/>
                      <w:szCs w:val="21"/>
                      <w14:textFill>
                        <w14:solidFill>
                          <w14:schemeClr w14:val="tx1"/>
                        </w14:solidFill>
                      </w14:textFill>
                    </w:rPr>
                  </w:pPr>
                  <w:r>
                    <w:rPr>
                      <w:rFonts w:eastAsia="等线"/>
                      <w:color w:val="000000"/>
                      <w:szCs w:val="21"/>
                    </w:rPr>
                    <w:t>0.0691</w:t>
                  </w:r>
                </w:p>
              </w:tc>
              <w:tc>
                <w:tcPr>
                  <w:tcW w:w="0" w:type="auto"/>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40</w:t>
                  </w:r>
                </w:p>
              </w:tc>
              <w:tc>
                <w:tcPr>
                  <w:tcW w:w="0" w:type="auto"/>
                  <w:vMerge w:val="restart"/>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间接排放</w:t>
                  </w:r>
                </w:p>
              </w:tc>
              <w:tc>
                <w:tcPr>
                  <w:tcW w:w="0" w:type="auto"/>
                  <w:vMerge w:val="restart"/>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福田镇生活污水处理厂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0" w:type="auto"/>
                  <w:vMerge w:val="continue"/>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p>
              </w:tc>
              <w:tc>
                <w:tcPr>
                  <w:tcW w:w="0" w:type="auto"/>
                  <w:tcMar>
                    <w:top w:w="0" w:type="dxa"/>
                    <w:left w:w="0" w:type="dxa"/>
                    <w:bottom w:w="0" w:type="dxa"/>
                    <w:right w:w="0" w:type="dxa"/>
                  </w:tcMar>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0" w:type="auto"/>
                  <w:tcMar>
                    <w:top w:w="0" w:type="dxa"/>
                    <w:left w:w="0" w:type="dxa"/>
                    <w:bottom w:w="0" w:type="dxa"/>
                    <w:right w:w="0" w:type="dxa"/>
                  </w:tcMar>
                  <w:vAlign w:val="center"/>
                </w:tcPr>
                <w:p>
                  <w:pPr>
                    <w:widowControl/>
                    <w:jc w:val="center"/>
                    <w:textAlignment w:val="center"/>
                    <w:rPr>
                      <w:color w:val="000000" w:themeColor="text1"/>
                      <w:szCs w:val="21"/>
                      <w14:textFill>
                        <w14:solidFill>
                          <w14:schemeClr w14:val="tx1"/>
                        </w14:solidFill>
                      </w14:textFill>
                    </w:rPr>
                  </w:pPr>
                  <w:r>
                    <w:rPr>
                      <w:rFonts w:eastAsia="等线"/>
                      <w:color w:val="000000"/>
                      <w:szCs w:val="21"/>
                    </w:rPr>
                    <w:t>0.2592</w:t>
                  </w:r>
                </w:p>
              </w:tc>
              <w:tc>
                <w:tcPr>
                  <w:tcW w:w="0" w:type="auto"/>
                  <w:tcMar>
                    <w:top w:w="0" w:type="dxa"/>
                    <w:left w:w="0" w:type="dxa"/>
                    <w:bottom w:w="0" w:type="dxa"/>
                    <w:right w:w="0"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0</w:t>
                  </w:r>
                </w:p>
              </w:tc>
              <w:tc>
                <w:tcPr>
                  <w:tcW w:w="1049"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709"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872"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0" w:type="auto"/>
                  <w:tcMar>
                    <w:top w:w="0" w:type="dxa"/>
                    <w:left w:w="0" w:type="dxa"/>
                    <w:bottom w:w="0" w:type="dxa"/>
                    <w:right w:w="0" w:type="dxa"/>
                  </w:tcMar>
                  <w:vAlign w:val="center"/>
                </w:tcPr>
                <w:p>
                  <w:pPr>
                    <w:widowControl/>
                    <w:jc w:val="center"/>
                    <w:textAlignment w:val="center"/>
                    <w:rPr>
                      <w:color w:val="000000" w:themeColor="text1"/>
                      <w:szCs w:val="21"/>
                      <w14:textFill>
                        <w14:solidFill>
                          <w14:schemeClr w14:val="tx1"/>
                        </w14:solidFill>
                      </w14:textFill>
                    </w:rPr>
                  </w:pPr>
                  <w:r>
                    <w:rPr>
                      <w:rFonts w:eastAsia="等线"/>
                      <w:color w:val="000000"/>
                      <w:szCs w:val="21"/>
                    </w:rPr>
                    <w:t>0.0173</w:t>
                  </w:r>
                </w:p>
              </w:tc>
              <w:tc>
                <w:tcPr>
                  <w:tcW w:w="0" w:type="auto"/>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10</w:t>
                  </w:r>
                </w:p>
              </w:tc>
              <w:tc>
                <w:tcPr>
                  <w:tcW w:w="0" w:type="auto"/>
                  <w:vMerge w:val="continue"/>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0" w:type="auto"/>
                  <w:vMerge w:val="continue"/>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p>
              </w:tc>
              <w:tc>
                <w:tcPr>
                  <w:tcW w:w="0" w:type="auto"/>
                  <w:tcMar>
                    <w:top w:w="0" w:type="dxa"/>
                    <w:left w:w="0" w:type="dxa"/>
                    <w:bottom w:w="0" w:type="dxa"/>
                    <w:right w:w="0" w:type="dxa"/>
                  </w:tcMar>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0" w:type="auto"/>
                  <w:tcMar>
                    <w:top w:w="0" w:type="dxa"/>
                    <w:left w:w="0" w:type="dxa"/>
                    <w:bottom w:w="0" w:type="dxa"/>
                    <w:right w:w="0" w:type="dxa"/>
                  </w:tcMar>
                  <w:vAlign w:val="center"/>
                </w:tcPr>
                <w:p>
                  <w:pPr>
                    <w:widowControl/>
                    <w:jc w:val="center"/>
                    <w:textAlignment w:val="center"/>
                    <w:rPr>
                      <w:color w:val="000000" w:themeColor="text1"/>
                      <w:szCs w:val="21"/>
                      <w14:textFill>
                        <w14:solidFill>
                          <w14:schemeClr w14:val="tx1"/>
                        </w14:solidFill>
                      </w14:textFill>
                    </w:rPr>
                  </w:pPr>
                  <w:r>
                    <w:rPr>
                      <w:rFonts w:eastAsia="等线"/>
                      <w:color w:val="000000"/>
                      <w:szCs w:val="21"/>
                    </w:rPr>
                    <w:t>0.2592</w:t>
                  </w:r>
                </w:p>
              </w:tc>
              <w:tc>
                <w:tcPr>
                  <w:tcW w:w="0" w:type="auto"/>
                  <w:tcMar>
                    <w:top w:w="0" w:type="dxa"/>
                    <w:left w:w="0" w:type="dxa"/>
                    <w:bottom w:w="0" w:type="dxa"/>
                    <w:right w:w="0"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r>
                    <w:rPr>
                      <w:rFonts w:hint="eastAsia"/>
                      <w:color w:val="000000" w:themeColor="text1"/>
                      <w:szCs w:val="21"/>
                      <w14:textFill>
                        <w14:solidFill>
                          <w14:schemeClr w14:val="tx1"/>
                        </w14:solidFill>
                      </w14:textFill>
                    </w:rPr>
                    <w:t>5</w:t>
                  </w:r>
                  <w:r>
                    <w:rPr>
                      <w:color w:val="000000" w:themeColor="text1"/>
                      <w:szCs w:val="21"/>
                      <w14:textFill>
                        <w14:solidFill>
                          <w14:schemeClr w14:val="tx1"/>
                        </w14:solidFill>
                      </w14:textFill>
                    </w:rPr>
                    <w:t>0</w:t>
                  </w:r>
                </w:p>
              </w:tc>
              <w:tc>
                <w:tcPr>
                  <w:tcW w:w="1049"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709"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872"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0" w:type="auto"/>
                  <w:tcMar>
                    <w:top w:w="0" w:type="dxa"/>
                    <w:left w:w="0" w:type="dxa"/>
                    <w:bottom w:w="0" w:type="dxa"/>
                    <w:right w:w="0" w:type="dxa"/>
                  </w:tcMar>
                  <w:vAlign w:val="center"/>
                </w:tcPr>
                <w:p>
                  <w:pPr>
                    <w:widowControl/>
                    <w:jc w:val="center"/>
                    <w:textAlignment w:val="center"/>
                    <w:rPr>
                      <w:color w:val="000000" w:themeColor="text1"/>
                      <w:szCs w:val="21"/>
                      <w14:textFill>
                        <w14:solidFill>
                          <w14:schemeClr w14:val="tx1"/>
                        </w14:solidFill>
                      </w14:textFill>
                    </w:rPr>
                  </w:pPr>
                  <w:r>
                    <w:rPr>
                      <w:rFonts w:eastAsia="等线"/>
                      <w:color w:val="000000"/>
                      <w:szCs w:val="21"/>
                    </w:rPr>
                    <w:t>0.0173</w:t>
                  </w:r>
                </w:p>
              </w:tc>
              <w:tc>
                <w:tcPr>
                  <w:tcW w:w="0" w:type="auto"/>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ascii="Times New Roman"/>
                      <w:color w:val="000000" w:themeColor="text1"/>
                      <w:sz w:val="21"/>
                      <w:szCs w:val="21"/>
                      <w14:textFill>
                        <w14:solidFill>
                          <w14:schemeClr w14:val="tx1"/>
                        </w14:solidFill>
                      </w14:textFill>
                    </w:rPr>
                    <w:t>10</w:t>
                  </w:r>
                </w:p>
              </w:tc>
              <w:tc>
                <w:tcPr>
                  <w:tcW w:w="0" w:type="auto"/>
                  <w:vMerge w:val="continue"/>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0" w:type="auto"/>
                  <w:vMerge w:val="continue"/>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p>
              </w:tc>
              <w:tc>
                <w:tcPr>
                  <w:tcW w:w="0" w:type="auto"/>
                  <w:tcMar>
                    <w:top w:w="0" w:type="dxa"/>
                    <w:left w:w="0" w:type="dxa"/>
                    <w:bottom w:w="0" w:type="dxa"/>
                    <w:right w:w="0" w:type="dxa"/>
                  </w:tcMar>
                  <w:vAlign w:val="center"/>
                </w:tcPr>
                <w:p>
                  <w:pPr>
                    <w:widowControl/>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氨氮</w:t>
                  </w:r>
                </w:p>
              </w:tc>
              <w:tc>
                <w:tcPr>
                  <w:tcW w:w="0" w:type="auto"/>
                  <w:tcMar>
                    <w:top w:w="0" w:type="dxa"/>
                    <w:left w:w="0" w:type="dxa"/>
                    <w:bottom w:w="0" w:type="dxa"/>
                    <w:right w:w="0" w:type="dxa"/>
                  </w:tcMar>
                  <w:vAlign w:val="center"/>
                </w:tcPr>
                <w:p>
                  <w:pPr>
                    <w:widowControl/>
                    <w:jc w:val="center"/>
                    <w:textAlignment w:val="center"/>
                    <w:rPr>
                      <w:color w:val="000000" w:themeColor="text1"/>
                      <w:szCs w:val="21"/>
                      <w14:textFill>
                        <w14:solidFill>
                          <w14:schemeClr w14:val="tx1"/>
                        </w14:solidFill>
                      </w14:textFill>
                    </w:rPr>
                  </w:pPr>
                  <w:r>
                    <w:rPr>
                      <w:rFonts w:eastAsia="等线"/>
                      <w:color w:val="000000"/>
                      <w:szCs w:val="21"/>
                    </w:rPr>
                    <w:t>0.0518</w:t>
                  </w:r>
                </w:p>
              </w:tc>
              <w:tc>
                <w:tcPr>
                  <w:tcW w:w="0" w:type="auto"/>
                  <w:tcMar>
                    <w:top w:w="0" w:type="dxa"/>
                    <w:left w:w="0" w:type="dxa"/>
                    <w:bottom w:w="0" w:type="dxa"/>
                    <w:right w:w="0" w:type="dxa"/>
                  </w:tcMar>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1049"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709"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872"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0" w:type="auto"/>
                  <w:tcMar>
                    <w:top w:w="0" w:type="dxa"/>
                    <w:left w:w="0" w:type="dxa"/>
                    <w:bottom w:w="0" w:type="dxa"/>
                    <w:right w:w="0" w:type="dxa"/>
                  </w:tcMar>
                  <w:vAlign w:val="center"/>
                </w:tcPr>
                <w:p>
                  <w:pPr>
                    <w:widowControl/>
                    <w:jc w:val="center"/>
                    <w:textAlignment w:val="center"/>
                    <w:rPr>
                      <w:color w:val="000000" w:themeColor="text1"/>
                      <w:szCs w:val="21"/>
                      <w14:textFill>
                        <w14:solidFill>
                          <w14:schemeClr w14:val="tx1"/>
                        </w14:solidFill>
                      </w14:textFill>
                    </w:rPr>
                  </w:pPr>
                  <w:r>
                    <w:rPr>
                      <w:rFonts w:eastAsia="等线"/>
                      <w:color w:val="000000"/>
                      <w:szCs w:val="21"/>
                    </w:rPr>
                    <w:t>0.0035</w:t>
                  </w:r>
                </w:p>
              </w:tc>
              <w:tc>
                <w:tcPr>
                  <w:tcW w:w="0" w:type="auto"/>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2</w:t>
                  </w:r>
                </w:p>
              </w:tc>
              <w:tc>
                <w:tcPr>
                  <w:tcW w:w="0" w:type="auto"/>
                  <w:vMerge w:val="continue"/>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0" w:type="auto"/>
                  <w:vMerge w:val="continue"/>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p>
              </w:tc>
              <w:tc>
                <w:tcPr>
                  <w:tcW w:w="0" w:type="auto"/>
                  <w:tcMar>
                    <w:top w:w="0" w:type="dxa"/>
                    <w:left w:w="0" w:type="dxa"/>
                    <w:bottom w:w="0" w:type="dxa"/>
                    <w:right w:w="0" w:type="dxa"/>
                  </w:tcMar>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总磷</w:t>
                  </w:r>
                </w:p>
              </w:tc>
              <w:tc>
                <w:tcPr>
                  <w:tcW w:w="0" w:type="auto"/>
                  <w:tcMar>
                    <w:top w:w="0" w:type="dxa"/>
                    <w:left w:w="0" w:type="dxa"/>
                    <w:bottom w:w="0" w:type="dxa"/>
                    <w:right w:w="0" w:type="dxa"/>
                  </w:tcMar>
                  <w:vAlign w:val="center"/>
                </w:tcPr>
                <w:p>
                  <w:pPr>
                    <w:widowControl/>
                    <w:jc w:val="center"/>
                    <w:textAlignment w:val="center"/>
                    <w:rPr>
                      <w:color w:val="000000" w:themeColor="text1"/>
                      <w:szCs w:val="21"/>
                      <w14:textFill>
                        <w14:solidFill>
                          <w14:schemeClr w14:val="tx1"/>
                        </w14:solidFill>
                      </w14:textFill>
                    </w:rPr>
                  </w:pPr>
                  <w:r>
                    <w:rPr>
                      <w:rFonts w:eastAsia="等线"/>
                      <w:color w:val="000000"/>
                      <w:szCs w:val="21"/>
                    </w:rPr>
                    <w:t>0.0086</w:t>
                  </w:r>
                </w:p>
              </w:tc>
              <w:tc>
                <w:tcPr>
                  <w:tcW w:w="0" w:type="auto"/>
                  <w:tcMar>
                    <w:top w:w="0" w:type="dxa"/>
                    <w:left w:w="0" w:type="dxa"/>
                    <w:bottom w:w="0" w:type="dxa"/>
                    <w:right w:w="0"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1049"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709"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872"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0" w:type="auto"/>
                  <w:tcMar>
                    <w:top w:w="0" w:type="dxa"/>
                    <w:left w:w="0" w:type="dxa"/>
                    <w:bottom w:w="0" w:type="dxa"/>
                    <w:right w:w="0" w:type="dxa"/>
                  </w:tcMar>
                  <w:vAlign w:val="center"/>
                </w:tcPr>
                <w:p>
                  <w:pPr>
                    <w:widowControl/>
                    <w:jc w:val="center"/>
                    <w:textAlignment w:val="center"/>
                    <w:rPr>
                      <w:color w:val="000000" w:themeColor="text1"/>
                      <w:szCs w:val="21"/>
                      <w14:textFill>
                        <w14:solidFill>
                          <w14:schemeClr w14:val="tx1"/>
                        </w14:solidFill>
                      </w14:textFill>
                    </w:rPr>
                  </w:pPr>
                  <w:r>
                    <w:rPr>
                      <w:rFonts w:eastAsia="等线"/>
                      <w:color w:val="000000"/>
                      <w:szCs w:val="21"/>
                    </w:rPr>
                    <w:t>0.0007</w:t>
                  </w:r>
                </w:p>
              </w:tc>
              <w:tc>
                <w:tcPr>
                  <w:tcW w:w="0" w:type="auto"/>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0.4</w:t>
                  </w:r>
                </w:p>
              </w:tc>
              <w:tc>
                <w:tcPr>
                  <w:tcW w:w="0" w:type="auto"/>
                  <w:vMerge w:val="continue"/>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0" w:type="auto"/>
                  <w:vMerge w:val="continue"/>
                  <w:tcMar>
                    <w:top w:w="0" w:type="dxa"/>
                    <w:left w:w="0" w:type="dxa"/>
                    <w:bottom w:w="0" w:type="dxa"/>
                    <w:right w:w="0" w:type="dxa"/>
                  </w:tcMar>
                  <w:vAlign w:val="center"/>
                </w:tcPr>
                <w:p>
                  <w:pPr>
                    <w:pStyle w:val="47"/>
                    <w:jc w:val="center"/>
                    <w:rPr>
                      <w:rFonts w:ascii="Times New Roman"/>
                      <w:b/>
                      <w:color w:val="000000" w:themeColor="text1"/>
                      <w:sz w:val="21"/>
                      <w:szCs w:val="21"/>
                      <w14:textFill>
                        <w14:solidFill>
                          <w14:schemeClr w14:val="tx1"/>
                        </w14:solidFill>
                      </w14:textFill>
                    </w:rPr>
                  </w:pPr>
                </w:p>
              </w:tc>
              <w:tc>
                <w:tcPr>
                  <w:tcW w:w="0" w:type="auto"/>
                  <w:tcMar>
                    <w:top w:w="0" w:type="dxa"/>
                    <w:left w:w="0" w:type="dxa"/>
                    <w:bottom w:w="0" w:type="dxa"/>
                    <w:right w:w="0" w:type="dxa"/>
                  </w:tcMar>
                  <w:vAlign w:val="center"/>
                </w:tcPr>
                <w:p>
                  <w:pPr>
                    <w:widowControl/>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动植物油</w:t>
                  </w:r>
                </w:p>
              </w:tc>
              <w:tc>
                <w:tcPr>
                  <w:tcW w:w="0" w:type="auto"/>
                  <w:tcMar>
                    <w:top w:w="0" w:type="dxa"/>
                    <w:left w:w="0" w:type="dxa"/>
                    <w:bottom w:w="0" w:type="dxa"/>
                    <w:right w:w="0" w:type="dxa"/>
                  </w:tcMar>
                  <w:vAlign w:val="center"/>
                </w:tcPr>
                <w:p>
                  <w:pPr>
                    <w:widowControl/>
                    <w:jc w:val="center"/>
                    <w:textAlignment w:val="center"/>
                    <w:rPr>
                      <w:rFonts w:eastAsia="等线"/>
                      <w:color w:val="000000"/>
                      <w:szCs w:val="21"/>
                    </w:rPr>
                  </w:pPr>
                  <w:r>
                    <w:rPr>
                      <w:rFonts w:eastAsia="等线"/>
                      <w:color w:val="000000"/>
                      <w:szCs w:val="21"/>
                    </w:rPr>
                    <w:t>0.0346</w:t>
                  </w:r>
                </w:p>
              </w:tc>
              <w:tc>
                <w:tcPr>
                  <w:tcW w:w="0" w:type="auto"/>
                  <w:tcMar>
                    <w:top w:w="0" w:type="dxa"/>
                    <w:left w:w="0" w:type="dxa"/>
                    <w:bottom w:w="0" w:type="dxa"/>
                    <w:right w:w="0" w:type="dxa"/>
                  </w:tcMar>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0</w:t>
                  </w:r>
                </w:p>
              </w:tc>
              <w:tc>
                <w:tcPr>
                  <w:tcW w:w="1049"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709"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872" w:type="dxa"/>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rPr>
                      <w:rFonts w:ascii="Times New Roman"/>
                      <w:color w:val="000000" w:themeColor="text1"/>
                      <w:sz w:val="21"/>
                      <w:szCs w:val="21"/>
                      <w14:textFill>
                        <w14:solidFill>
                          <w14:schemeClr w14:val="tx1"/>
                        </w14:solidFill>
                      </w14:textFill>
                    </w:rPr>
                  </w:pPr>
                </w:p>
              </w:tc>
              <w:tc>
                <w:tcPr>
                  <w:tcW w:w="0" w:type="auto"/>
                  <w:tcMar>
                    <w:top w:w="0" w:type="dxa"/>
                    <w:left w:w="0" w:type="dxa"/>
                    <w:bottom w:w="0" w:type="dxa"/>
                    <w:right w:w="0" w:type="dxa"/>
                  </w:tcMar>
                  <w:vAlign w:val="center"/>
                </w:tcPr>
                <w:p>
                  <w:pPr>
                    <w:widowControl/>
                    <w:jc w:val="center"/>
                    <w:textAlignment w:val="center"/>
                    <w:rPr>
                      <w:rFonts w:eastAsia="等线"/>
                      <w:color w:val="000000"/>
                      <w:szCs w:val="21"/>
                    </w:rPr>
                  </w:pPr>
                  <w:r>
                    <w:rPr>
                      <w:rFonts w:eastAsia="等线"/>
                      <w:color w:val="000000"/>
                      <w:szCs w:val="21"/>
                    </w:rPr>
                    <w:t>0.0086</w:t>
                  </w:r>
                </w:p>
              </w:tc>
              <w:tc>
                <w:tcPr>
                  <w:tcW w:w="0" w:type="auto"/>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r>
                    <w:rPr>
                      <w:rFonts w:hint="eastAsia" w:ascii="Times New Roman"/>
                      <w:color w:val="000000" w:themeColor="text1"/>
                      <w:sz w:val="21"/>
                      <w:szCs w:val="21"/>
                      <w14:textFill>
                        <w14:solidFill>
                          <w14:schemeClr w14:val="tx1"/>
                        </w14:solidFill>
                      </w14:textFill>
                    </w:rPr>
                    <w:t>5</w:t>
                  </w:r>
                  <w:r>
                    <w:rPr>
                      <w:rFonts w:ascii="Times New Roman"/>
                      <w:color w:val="000000" w:themeColor="text1"/>
                      <w:sz w:val="21"/>
                      <w:szCs w:val="21"/>
                      <w14:textFill>
                        <w14:solidFill>
                          <w14:schemeClr w14:val="tx1"/>
                        </w14:solidFill>
                      </w14:textFill>
                    </w:rPr>
                    <w:t>.0</w:t>
                  </w:r>
                </w:p>
              </w:tc>
              <w:tc>
                <w:tcPr>
                  <w:tcW w:w="0" w:type="auto"/>
                  <w:vMerge w:val="continue"/>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p>
              </w:tc>
              <w:tc>
                <w:tcPr>
                  <w:tcW w:w="0" w:type="auto"/>
                  <w:vMerge w:val="continue"/>
                  <w:tcMar>
                    <w:top w:w="0" w:type="dxa"/>
                    <w:left w:w="0" w:type="dxa"/>
                    <w:bottom w:w="0" w:type="dxa"/>
                    <w:right w:w="0" w:type="dxa"/>
                  </w:tcMar>
                  <w:vAlign w:val="center"/>
                </w:tcPr>
                <w:p>
                  <w:pPr>
                    <w:pStyle w:val="47"/>
                    <w:jc w:val="center"/>
                    <w:rPr>
                      <w:rFonts w:ascii="Times New Roman"/>
                      <w:color w:val="000000" w:themeColor="text1"/>
                      <w:sz w:val="21"/>
                      <w:szCs w:val="21"/>
                      <w14:textFill>
                        <w14:solidFill>
                          <w14:schemeClr w14:val="tx1"/>
                        </w14:solidFill>
                      </w14:textFill>
                    </w:rPr>
                  </w:pPr>
                </w:p>
              </w:tc>
            </w:tr>
          </w:tbl>
          <w:p>
            <w:pPr>
              <w:spacing w:before="156" w:beforeLines="50" w:line="360" w:lineRule="auto"/>
              <w:ind w:firstLine="472" w:firstLineChars="196"/>
              <w:rPr>
                <w:b/>
                <w:color w:val="000000" w:themeColor="text1"/>
                <w:sz w:val="24"/>
                <w14:textFill>
                  <w14:solidFill>
                    <w14:schemeClr w14:val="tx1"/>
                  </w14:solidFill>
                </w14:textFill>
              </w:rPr>
            </w:pPr>
            <w:r>
              <w:rPr>
                <w:b/>
                <w:color w:val="000000" w:themeColor="text1"/>
                <w:sz w:val="24"/>
                <w14:textFill>
                  <w14:solidFill>
                    <w14:schemeClr w14:val="tx1"/>
                  </w14:solidFill>
                </w14:textFill>
              </w:rPr>
              <w:t>2、污染</w:t>
            </w:r>
            <w:r>
              <w:rPr>
                <w:rFonts w:hint="eastAsia"/>
                <w:b/>
                <w:color w:val="000000" w:themeColor="text1"/>
                <w:sz w:val="24"/>
                <w14:textFill>
                  <w14:solidFill>
                    <w14:schemeClr w14:val="tx1"/>
                  </w14:solidFill>
                </w14:textFill>
              </w:rPr>
              <w:t>物源强</w:t>
            </w:r>
            <w:r>
              <w:rPr>
                <w:b/>
                <w:color w:val="000000" w:themeColor="text1"/>
                <w:sz w:val="24"/>
                <w14:textFill>
                  <w14:solidFill>
                    <w14:schemeClr w14:val="tx1"/>
                  </w14:solidFill>
                </w14:textFill>
              </w:rPr>
              <w:t>核算</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本项目的废水主要包括喷淋塔废水</w:t>
            </w:r>
            <w:r>
              <w:rPr>
                <w:rFonts w:hint="eastAsia"/>
                <w:color w:val="000000" w:themeColor="text1"/>
                <w:sz w:val="24"/>
                <w14:textFill>
                  <w14:solidFill>
                    <w14:schemeClr w14:val="tx1"/>
                  </w14:solidFill>
                </w14:textFill>
              </w:rPr>
              <w:t>、水帘柜废水、</w:t>
            </w:r>
            <w:r>
              <w:rPr>
                <w:color w:val="000000" w:themeColor="text1"/>
                <w:sz w:val="24"/>
                <w14:textFill>
                  <w14:solidFill>
                    <w14:schemeClr w14:val="tx1"/>
                  </w14:solidFill>
                </w14:textFill>
              </w:rPr>
              <w:t>喷枪清洗废水以及员工生活污水。</w:t>
            </w:r>
          </w:p>
          <w:p>
            <w:pPr>
              <w:spacing w:line="360" w:lineRule="auto"/>
              <w:ind w:firstLine="482" w:firstLineChars="200"/>
              <w:rPr>
                <w:color w:val="000000" w:themeColor="text1"/>
                <w:sz w:val="24"/>
                <w14:textFill>
                  <w14:solidFill>
                    <w14:schemeClr w14:val="tx1"/>
                  </w14:solidFill>
                </w14:textFill>
              </w:rPr>
            </w:pPr>
            <w:r>
              <w:rPr>
                <w:b/>
                <w:bCs/>
                <w:color w:val="000000" w:themeColor="text1"/>
                <w:sz w:val="24"/>
                <w14:textFill>
                  <w14:solidFill>
                    <w14:schemeClr w14:val="tx1"/>
                  </w14:solidFill>
                </w14:textFill>
              </w:rPr>
              <w:t>1</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生产废水</w:t>
            </w:r>
          </w:p>
          <w:p>
            <w:pPr>
              <w:adjustRightInd w:val="0"/>
              <w:snapToGrid w:val="0"/>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①</w:t>
            </w:r>
            <w:r>
              <w:rPr>
                <w:rFonts w:hint="eastAsia"/>
                <w:b/>
                <w:bCs/>
                <w:color w:val="000000" w:themeColor="text1"/>
                <w:sz w:val="24"/>
                <w14:textFill>
                  <w14:solidFill>
                    <w14:schemeClr w14:val="tx1"/>
                  </w14:solidFill>
                </w14:textFill>
              </w:rPr>
              <w:t>调漆、喷漆、晾干废气处理装置</w:t>
            </w:r>
            <w:r>
              <w:rPr>
                <w:b/>
                <w:bCs/>
                <w:color w:val="000000" w:themeColor="text1"/>
                <w:sz w:val="24"/>
                <w14:textFill>
                  <w14:solidFill>
                    <w14:schemeClr w14:val="tx1"/>
                  </w14:solidFill>
                </w14:textFill>
              </w:rPr>
              <w:t>喷淋塔</w:t>
            </w:r>
            <w:r>
              <w:rPr>
                <w:rFonts w:hint="eastAsia"/>
                <w:b/>
                <w:bCs/>
                <w:color w:val="000000" w:themeColor="text1"/>
                <w:sz w:val="24"/>
                <w14:textFill>
                  <w14:solidFill>
                    <w14:schemeClr w14:val="tx1"/>
                  </w14:solidFill>
                </w14:textFill>
              </w:rPr>
              <w:t>废水</w:t>
            </w:r>
          </w:p>
          <w:p>
            <w:pPr>
              <w:wordWrap w:val="0"/>
              <w:adjustRightInd w:val="0"/>
              <w:snapToGrid w:val="0"/>
              <w:spacing w:line="360" w:lineRule="auto"/>
              <w:ind w:firstLine="480" w:firstLineChars="200"/>
              <w:jc w:val="left"/>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喷漆</w:t>
            </w:r>
            <w:r>
              <w:rPr>
                <w:bCs/>
                <w:color w:val="000000" w:themeColor="text1"/>
                <w:sz w:val="24"/>
                <w14:textFill>
                  <w14:solidFill>
                    <w14:schemeClr w14:val="tx1"/>
                  </w14:solidFill>
                </w14:textFill>
              </w:rPr>
              <w:t>工序喷淋塔喷淋水循环使用一定时间后会浓度饱和，影响喷淋效果，因此喷淋塔配套水箱中的水需要定期更换，以确保处理效率。本项目</w:t>
            </w:r>
            <w:r>
              <w:rPr>
                <w:rFonts w:hint="eastAsia"/>
                <w:bCs/>
                <w:color w:val="000000" w:themeColor="text1"/>
                <w:sz w:val="24"/>
                <w14:textFill>
                  <w14:solidFill>
                    <w14:schemeClr w14:val="tx1"/>
                  </w14:solidFill>
                </w14:textFill>
              </w:rPr>
              <w:t>调漆、</w:t>
            </w:r>
            <w:r>
              <w:rPr>
                <w:rFonts w:hint="eastAsia"/>
                <w:color w:val="000000" w:themeColor="text1"/>
                <w:sz w:val="24"/>
                <w14:textFill>
                  <w14:solidFill>
                    <w14:schemeClr w14:val="tx1"/>
                  </w14:solidFill>
                </w14:textFill>
              </w:rPr>
              <w:t>喷漆、晾干废气处理装置</w:t>
            </w:r>
            <w:r>
              <w:rPr>
                <w:bCs/>
                <w:color w:val="000000" w:themeColor="text1"/>
                <w:sz w:val="24"/>
                <w14:textFill>
                  <w14:solidFill>
                    <w14:schemeClr w14:val="tx1"/>
                  </w14:solidFill>
                </w14:textFill>
              </w:rPr>
              <w:t>设置1个喷淋塔，喷淋塔尺寸为W1500×L2000×H2200mm，喷淋塔自带水箱，水箱有效容积为</w:t>
            </w:r>
            <w:r>
              <w:rPr>
                <w:rFonts w:hint="eastAsia"/>
                <w:bCs/>
                <w:color w:val="000000" w:themeColor="text1"/>
                <w:sz w:val="24"/>
                <w14:textFill>
                  <w14:solidFill>
                    <w14:schemeClr w14:val="tx1"/>
                  </w14:solidFill>
                </w14:textFill>
              </w:rPr>
              <w:t>3.4</w:t>
            </w:r>
            <w:r>
              <w:rPr>
                <w:bCs/>
                <w:color w:val="000000" w:themeColor="text1"/>
                <w:sz w:val="24"/>
                <w14:textFill>
                  <w14:solidFill>
                    <w14:schemeClr w14:val="tx1"/>
                  </w14:solidFill>
                </w14:textFill>
              </w:rPr>
              <w:t>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，喷淋塔水箱中储水量均为1.67m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，水在循环使用过程中会有少部分水蒸发等损耗，</w:t>
            </w:r>
            <w:r>
              <w:rPr>
                <w:rFonts w:hint="eastAsia"/>
                <w:bCs/>
                <w:color w:val="000000" w:themeColor="text1"/>
                <w:sz w:val="24"/>
                <w14:textFill>
                  <w14:solidFill>
                    <w14:schemeClr w14:val="tx1"/>
                  </w14:solidFill>
                </w14:textFill>
              </w:rPr>
              <w:t>参考《建设给水排水设计规范》（GB50015-2019）中对于补充水量，一般按循环水量的1%~2%确定，本项目喷淋塔损耗量约占循环水量的2%，即</w:t>
            </w:r>
            <w:r>
              <w:rPr>
                <w:bCs/>
                <w:color w:val="000000" w:themeColor="text1"/>
                <w:sz w:val="24"/>
                <w14:textFill>
                  <w14:solidFill>
                    <w14:schemeClr w14:val="tx1"/>
                  </w14:solidFill>
                </w14:textFill>
              </w:rPr>
              <w:t>每天的损耗量约为1.60</w:t>
            </w:r>
            <w:r>
              <w:rPr>
                <w:rFonts w:hint="eastAsia"/>
                <w:bCs/>
                <w:color w:val="000000" w:themeColor="text1"/>
                <w:sz w:val="24"/>
                <w14:textFill>
                  <w14:solidFill>
                    <w14:schemeClr w14:val="tx1"/>
                  </w14:solidFill>
                </w14:textFill>
              </w:rPr>
              <w:t>t/d</w:t>
            </w:r>
            <w:r>
              <w:rPr>
                <w:bCs/>
                <w:color w:val="000000" w:themeColor="text1"/>
                <w:sz w:val="24"/>
                <w14:textFill>
                  <w14:solidFill>
                    <w14:schemeClr w14:val="tx1"/>
                  </w14:solidFill>
                </w14:textFill>
              </w:rPr>
              <w:t>，该部分损耗需定期补充新鲜用水，则需补充用水量约480</w:t>
            </w:r>
            <w:r>
              <w:rPr>
                <w:rFonts w:hint="eastAsia"/>
                <w:bCs/>
                <w:color w:val="000000" w:themeColor="text1"/>
                <w:sz w:val="24"/>
                <w14:textFill>
                  <w14:solidFill>
                    <w14:schemeClr w14:val="tx1"/>
                  </w14:solidFill>
                </w14:textFill>
              </w:rPr>
              <w:t>t</w:t>
            </w:r>
            <w:r>
              <w:rPr>
                <w:bCs/>
                <w:color w:val="000000" w:themeColor="text1"/>
                <w:sz w:val="24"/>
                <w14:textFill>
                  <w14:solidFill>
                    <w14:schemeClr w14:val="tx1"/>
                  </w14:solidFill>
                </w14:textFill>
              </w:rPr>
              <w:t>/a。</w:t>
            </w:r>
          </w:p>
          <w:p>
            <w:pPr>
              <w:adjustRightInd w:val="0"/>
              <w:snapToGrid w:val="0"/>
              <w:spacing w:line="360" w:lineRule="auto"/>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循环水箱中的水平均一年更换</w:t>
            </w:r>
            <w:r>
              <w:rPr>
                <w:rFonts w:hint="eastAsia"/>
                <w:bCs/>
                <w:color w:val="000000" w:themeColor="text1"/>
                <w:sz w:val="24"/>
                <w14:textFill>
                  <w14:solidFill>
                    <w14:schemeClr w14:val="tx1"/>
                  </w14:solidFill>
                </w14:textFill>
              </w:rPr>
              <w:t>4</w:t>
            </w:r>
            <w:r>
              <w:rPr>
                <w:bCs/>
                <w:color w:val="000000" w:themeColor="text1"/>
                <w:sz w:val="24"/>
                <w14:textFill>
                  <w14:solidFill>
                    <w14:schemeClr w14:val="tx1"/>
                  </w14:solidFill>
                </w14:textFill>
              </w:rPr>
              <w:t>次，产生的喷淋废水1.67</w:t>
            </w:r>
            <w:r>
              <w:rPr>
                <w:rFonts w:hint="eastAsia"/>
                <w:bCs/>
                <w:color w:val="000000" w:themeColor="text1"/>
                <w:sz w:val="24"/>
                <w14:textFill>
                  <w14:solidFill>
                    <w14:schemeClr w14:val="tx1"/>
                  </w14:solidFill>
                </w14:textFill>
              </w:rPr>
              <w:t>t</w:t>
            </w:r>
            <w:r>
              <w:rPr>
                <w:bCs/>
                <w:color w:val="000000" w:themeColor="text1"/>
                <w:sz w:val="24"/>
                <w14:textFill>
                  <w14:solidFill>
                    <w14:schemeClr w14:val="tx1"/>
                  </w14:solidFill>
                </w14:textFill>
              </w:rPr>
              <w:t>/a，更换后水箱需要补充新鲜用水量为6.68</w:t>
            </w:r>
            <w:r>
              <w:rPr>
                <w:rFonts w:hint="eastAsia"/>
                <w:bCs/>
                <w:color w:val="000000" w:themeColor="text1"/>
                <w:sz w:val="24"/>
                <w14:textFill>
                  <w14:solidFill>
                    <w14:schemeClr w14:val="tx1"/>
                  </w14:solidFill>
                </w14:textFill>
              </w:rPr>
              <w:t>t</w:t>
            </w:r>
            <w:r>
              <w:rPr>
                <w:bCs/>
                <w:color w:val="000000" w:themeColor="text1"/>
                <w:sz w:val="24"/>
                <w14:textFill>
                  <w14:solidFill>
                    <w14:schemeClr w14:val="tx1"/>
                  </w14:solidFill>
                </w14:textFill>
              </w:rPr>
              <w:t>/a。更换的喷淋废水属于</w:t>
            </w:r>
            <w:r>
              <w:rPr>
                <w:rFonts w:hint="eastAsia"/>
                <w:bCs/>
                <w:color w:val="000000" w:themeColor="text1"/>
                <w:sz w:val="24"/>
                <w14:textFill>
                  <w14:solidFill>
                    <w14:schemeClr w14:val="tx1"/>
                  </w14:solidFill>
                </w14:textFill>
              </w:rPr>
              <w:t>《国家危险废物名录（2021年）》</w:t>
            </w:r>
            <w:r>
              <w:rPr>
                <w:bCs/>
                <w:color w:val="000000" w:themeColor="text1"/>
                <w:sz w:val="24"/>
                <w14:textFill>
                  <w14:solidFill>
                    <w14:schemeClr w14:val="tx1"/>
                  </w14:solidFill>
                </w14:textFill>
              </w:rPr>
              <w:t>中编号为HW12危险废物，委托有资质单位处理。</w:t>
            </w:r>
          </w:p>
          <w:p>
            <w:pPr>
              <w:pStyle w:val="2"/>
              <w:spacing w:line="360" w:lineRule="auto"/>
              <w:ind w:firstLine="482" w:firstLineChars="200"/>
              <w:rPr>
                <w:rFonts w:eastAsia="宋体"/>
                <w:b/>
                <w:bCs/>
                <w:color w:val="000000" w:themeColor="text1"/>
                <w:sz w:val="24"/>
                <w:szCs w:val="24"/>
                <w14:textFill>
                  <w14:solidFill>
                    <w14:schemeClr w14:val="tx1"/>
                  </w14:solidFill>
                </w14:textFill>
              </w:rPr>
            </w:pPr>
            <w:r>
              <w:rPr>
                <w:rFonts w:hint="eastAsia" w:eastAsia="宋体"/>
                <w:b/>
                <w:bCs/>
                <w:color w:val="000000" w:themeColor="text1"/>
                <w:sz w:val="24"/>
                <w:szCs w:val="24"/>
                <w14:textFill>
                  <w14:solidFill>
                    <w14:schemeClr w14:val="tx1"/>
                  </w14:solidFill>
                </w14:textFill>
              </w:rPr>
              <w:t>②水帘柜废水</w:t>
            </w:r>
          </w:p>
          <w:p>
            <w:pPr>
              <w:adjustRightInd w:val="0"/>
              <w:snapToGrid w:val="0"/>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项目水帘柜用水循环使用，项目，每个水帘柜大小为水4</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1.6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w:t>
            </w:r>
            <w:r>
              <w:rPr>
                <w:rFonts w:hint="eastAsia"/>
                <w:color w:val="000000" w:themeColor="text1"/>
                <w:sz w:val="24"/>
                <w14:textFill>
                  <w14:solidFill>
                    <w14:schemeClr w14:val="tx1"/>
                  </w14:solidFill>
                </w14:textFill>
              </w:rPr>
              <w:t>m（长×宽×高）（有效水深</w:t>
            </w:r>
            <w:r>
              <w:rPr>
                <w:color w:val="000000" w:themeColor="text1"/>
                <w:sz w:val="24"/>
                <w14:textFill>
                  <w14:solidFill>
                    <w14:schemeClr w14:val="tx1"/>
                  </w14:solidFill>
                </w14:textFill>
              </w:rPr>
              <w:t>0.3</w:t>
            </w:r>
            <w:r>
              <w:rPr>
                <w:rFonts w:hint="eastAsia"/>
                <w:color w:val="000000" w:themeColor="text1"/>
                <w:sz w:val="24"/>
                <w14:textFill>
                  <w14:solidFill>
                    <w14:schemeClr w14:val="tx1"/>
                  </w14:solidFill>
                </w14:textFill>
              </w:rPr>
              <w:t>m），有效容积合计约</w:t>
            </w:r>
            <w:r>
              <w:rPr>
                <w:color w:val="000000" w:themeColor="text1"/>
                <w:sz w:val="24"/>
                <w14:textFill>
                  <w14:solidFill>
                    <w14:schemeClr w14:val="tx1"/>
                  </w14:solidFill>
                </w14:textFill>
              </w:rPr>
              <w:t>3.84</w:t>
            </w:r>
            <w:r>
              <w:rPr>
                <w:rFonts w:hint="eastAsia"/>
                <w:color w:val="000000" w:themeColor="text1"/>
                <w:sz w:val="24"/>
                <w14:textFill>
                  <w14:solidFill>
                    <w14:schemeClr w14:val="tx1"/>
                  </w14:solidFill>
                </w14:textFill>
              </w:rPr>
              <w:t>m</w:t>
            </w:r>
            <w:r>
              <w:rPr>
                <w:rFonts w:hint="eastAsia"/>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。水帘柜内用水循环使用，根据企业提供的资料，项目设置两个水帘柜，更换周期为每3个月一次，则水帘柜废水的产生量为</w:t>
            </w:r>
            <w:r>
              <w:rPr>
                <w:color w:val="000000" w:themeColor="text1"/>
                <w:sz w:val="24"/>
                <w14:textFill>
                  <w14:solidFill>
                    <w14:schemeClr w14:val="tx1"/>
                  </w14:solidFill>
                </w14:textFill>
              </w:rPr>
              <w:t>15.36</w:t>
            </w:r>
            <w:r>
              <w:rPr>
                <w:rFonts w:hint="eastAsia"/>
                <w:color w:val="000000" w:themeColor="text1"/>
                <w:sz w:val="24"/>
                <w14:textFill>
                  <w14:solidFill>
                    <w14:schemeClr w14:val="tx1"/>
                  </w14:solidFill>
                </w14:textFill>
              </w:rPr>
              <w:t>t/a（</w:t>
            </w:r>
            <w:r>
              <w:rPr>
                <w:color w:val="000000" w:themeColor="text1"/>
                <w:sz w:val="24"/>
                <w14:textFill>
                  <w14:solidFill>
                    <w14:schemeClr w14:val="tx1"/>
                  </w14:solidFill>
                </w14:textFill>
              </w:rPr>
              <w:t>0.51</w:t>
            </w:r>
            <w:r>
              <w:rPr>
                <w:rFonts w:hint="eastAsia"/>
                <w:color w:val="000000" w:themeColor="text1"/>
                <w:sz w:val="24"/>
                <w14:textFill>
                  <w14:solidFill>
                    <w14:schemeClr w14:val="tx1"/>
                  </w14:solidFill>
                </w14:textFill>
              </w:rPr>
              <w:t>t/d），水帘柜</w:t>
            </w:r>
            <w:r>
              <w:rPr>
                <w:color w:val="000000" w:themeColor="text1"/>
                <w:sz w:val="24"/>
                <w14:textFill>
                  <w14:solidFill>
                    <w14:schemeClr w14:val="tx1"/>
                  </w14:solidFill>
                </w14:textFill>
              </w:rPr>
              <w:t>废水属于</w:t>
            </w:r>
            <w:r>
              <w:rPr>
                <w:rFonts w:hint="eastAsia"/>
                <w:color w:val="000000" w:themeColor="text1"/>
                <w:sz w:val="24"/>
                <w14:textFill>
                  <w14:solidFill>
                    <w14:schemeClr w14:val="tx1"/>
                  </w14:solidFill>
                </w14:textFill>
              </w:rPr>
              <w:t>《国家危险废物名录（2021年）》</w:t>
            </w:r>
            <w:r>
              <w:rPr>
                <w:color w:val="000000" w:themeColor="text1"/>
                <w:sz w:val="24"/>
                <w14:textFill>
                  <w14:solidFill>
                    <w14:schemeClr w14:val="tx1"/>
                  </w14:solidFill>
                </w14:textFill>
              </w:rPr>
              <w:t>中编号为HW12危险废物，委托有资质单位处理</w:t>
            </w:r>
            <w:r>
              <w:rPr>
                <w:rFonts w:hint="eastAsia"/>
                <w:color w:val="000000" w:themeColor="text1"/>
                <w:sz w:val="24"/>
                <w14:textFill>
                  <w14:solidFill>
                    <w14:schemeClr w14:val="tx1"/>
                  </w14:solidFill>
                </w14:textFill>
              </w:rPr>
              <w:t>。</w:t>
            </w:r>
          </w:p>
          <w:p>
            <w:pPr>
              <w:adjustRightInd w:val="0"/>
              <w:snapToGrid w:val="0"/>
              <w:spacing w:line="360" w:lineRule="auto"/>
              <w:ind w:firstLine="482"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③ 喷</w:t>
            </w:r>
            <w:r>
              <w:rPr>
                <w:b/>
                <w:color w:val="000000" w:themeColor="text1"/>
                <w:sz w:val="24"/>
                <w14:textFill>
                  <w14:solidFill>
                    <w14:schemeClr w14:val="tx1"/>
                  </w14:solidFill>
                </w14:textFill>
              </w:rPr>
              <w:t>枪清洗废水</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本项目使用</w:t>
            </w:r>
            <w:r>
              <w:rPr>
                <w:rFonts w:hint="eastAsia"/>
                <w:color w:val="000000" w:themeColor="text1"/>
                <w:sz w:val="24"/>
                <w14:textFill>
                  <w14:solidFill>
                    <w14:schemeClr w14:val="tx1"/>
                  </w14:solidFill>
                </w14:textFill>
              </w:rPr>
              <w:t>水性涂料</w:t>
            </w:r>
            <w:r>
              <w:rPr>
                <w:color w:val="000000" w:themeColor="text1"/>
                <w:sz w:val="24"/>
                <w14:textFill>
                  <w14:solidFill>
                    <w14:schemeClr w14:val="tx1"/>
                  </w14:solidFill>
                </w14:textFill>
              </w:rPr>
              <w:t>的喷枪在使用后，需要用清水清洗，喷枪每</w:t>
            </w:r>
            <w:r>
              <w:rPr>
                <w:rFonts w:hint="eastAsia"/>
                <w:color w:val="000000" w:themeColor="text1"/>
                <w:sz w:val="24"/>
                <w14:textFill>
                  <w14:solidFill>
                    <w14:schemeClr w14:val="tx1"/>
                  </w14:solidFill>
                </w14:textFill>
              </w:rPr>
              <w:t>天</w:t>
            </w:r>
            <w:r>
              <w:rPr>
                <w:color w:val="000000" w:themeColor="text1"/>
                <w:sz w:val="24"/>
                <w14:textFill>
                  <w14:solidFill>
                    <w14:schemeClr w14:val="tx1"/>
                  </w14:solidFill>
                </w14:textFill>
              </w:rPr>
              <w:t>清漆，每次清洗用水量约为</w:t>
            </w:r>
            <w:r>
              <w:rPr>
                <w:rFonts w:hint="eastAsia"/>
                <w:color w:val="000000" w:themeColor="text1"/>
                <w:sz w:val="24"/>
                <w14:textFill>
                  <w14:solidFill>
                    <w14:schemeClr w14:val="tx1"/>
                  </w14:solidFill>
                </w14:textFill>
              </w:rPr>
              <w:t>0.</w:t>
            </w:r>
            <w:r>
              <w:rPr>
                <w:color w:val="000000" w:themeColor="text1"/>
                <w:sz w:val="24"/>
                <w14:textFill>
                  <w14:solidFill>
                    <w14:schemeClr w14:val="tx1"/>
                  </w14:solidFill>
                </w14:textFill>
              </w:rPr>
              <w:t>45kg，则喷枪清洗</w:t>
            </w:r>
            <w:r>
              <w:rPr>
                <w:rFonts w:hint="eastAsia"/>
                <w:color w:val="000000" w:themeColor="text1"/>
                <w:sz w:val="24"/>
                <w14:textFill>
                  <w14:solidFill>
                    <w14:schemeClr w14:val="tx1"/>
                  </w14:solidFill>
                </w14:textFill>
              </w:rPr>
              <w:t>用水</w:t>
            </w:r>
            <w:r>
              <w:rPr>
                <w:color w:val="000000" w:themeColor="text1"/>
                <w:sz w:val="24"/>
                <w14:textFill>
                  <w14:solidFill>
                    <w14:schemeClr w14:val="tx1"/>
                  </w14:solidFill>
                </w14:textFill>
              </w:rPr>
              <w:t>量为1.35</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项目废水排污系数为0.9，则喷枪清洗废水产生量约为</w:t>
            </w:r>
            <w:r>
              <w:rPr>
                <w:color w:val="000000" w:themeColor="text1"/>
                <w:sz w:val="24"/>
                <w14:textFill>
                  <w14:solidFill>
                    <w14:schemeClr w14:val="tx1"/>
                  </w14:solidFill>
                </w14:textFill>
              </w:rPr>
              <w:t>4.05</w:t>
            </w:r>
            <w:r>
              <w:rPr>
                <w:rFonts w:hint="eastAsia"/>
                <w:color w:val="000000" w:themeColor="text1"/>
                <w:sz w:val="24"/>
                <w14:textFill>
                  <w14:solidFill>
                    <w14:schemeClr w14:val="tx1"/>
                  </w14:solidFill>
                </w14:textFill>
              </w:rPr>
              <w:t>L/d（</w:t>
            </w:r>
            <w:r>
              <w:rPr>
                <w:color w:val="000000" w:themeColor="text1"/>
                <w:sz w:val="24"/>
                <w14:textFill>
                  <w14:solidFill>
                    <w14:schemeClr w14:val="tx1"/>
                  </w14:solidFill>
                </w14:textFill>
              </w:rPr>
              <w:t>1.22m</w:t>
            </w:r>
            <w:r>
              <w:rPr>
                <w:color w:val="000000" w:themeColor="text1"/>
                <w:sz w:val="24"/>
                <w:vertAlign w:val="superscript"/>
                <w14:textFill>
                  <w14:solidFill>
                    <w14:schemeClr w14:val="tx1"/>
                  </w14:solidFill>
                </w14:textFill>
              </w:rPr>
              <w:t>3</w:t>
            </w:r>
            <w:r>
              <w:rPr>
                <w:rFonts w:hint="eastAsia"/>
                <w:color w:val="000000" w:themeColor="text1"/>
                <w:sz w:val="24"/>
                <w14:textFill>
                  <w14:solidFill>
                    <w14:schemeClr w14:val="tx1"/>
                  </w14:solidFill>
                </w14:textFill>
              </w:rPr>
              <w:t>/a），</w:t>
            </w:r>
            <w:r>
              <w:rPr>
                <w:color w:val="000000" w:themeColor="text1"/>
                <w:sz w:val="24"/>
                <w14:textFill>
                  <w14:solidFill>
                    <w14:schemeClr w14:val="tx1"/>
                  </w14:solidFill>
                </w14:textFill>
              </w:rPr>
              <w:t>喷枪清洗废水属于</w:t>
            </w:r>
            <w:r>
              <w:rPr>
                <w:rFonts w:hint="eastAsia"/>
                <w:color w:val="000000" w:themeColor="text1"/>
                <w:sz w:val="24"/>
                <w14:textFill>
                  <w14:solidFill>
                    <w14:schemeClr w14:val="tx1"/>
                  </w14:solidFill>
                </w14:textFill>
              </w:rPr>
              <w:t>《国家危险废物名录（2021年）》</w:t>
            </w:r>
            <w:r>
              <w:rPr>
                <w:color w:val="000000" w:themeColor="text1"/>
                <w:sz w:val="24"/>
                <w14:textFill>
                  <w14:solidFill>
                    <w14:schemeClr w14:val="tx1"/>
                  </w14:solidFill>
                </w14:textFill>
              </w:rPr>
              <w:t>中编号为HW12危险废物，委托有资质单位处理</w:t>
            </w:r>
            <w:r>
              <w:rPr>
                <w:rFonts w:hint="eastAsia"/>
                <w:color w:val="000000" w:themeColor="text1"/>
                <w:sz w:val="24"/>
                <w14:textFill>
                  <w14:solidFill>
                    <w14:schemeClr w14:val="tx1"/>
                  </w14:solidFill>
                </w14:textFill>
              </w:rPr>
              <w:t>。</w:t>
            </w:r>
          </w:p>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2）生活污水</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项目员工40人，均在厂内住宿就餐，生活用水参照广东省地方标准《用水定额 第3部分：生活》（DB44/T1461.3-2021）</w:t>
            </w:r>
            <w:r>
              <w:rPr>
                <w:color w:val="000000"/>
                <w:sz w:val="24"/>
              </w:rPr>
              <w:t>住宿按 160L/（人</w:t>
            </w:r>
            <w:r>
              <w:rPr>
                <w:rFonts w:hint="eastAsia"/>
                <w:color w:val="000000"/>
                <w:sz w:val="24"/>
              </w:rPr>
              <w:t>·</w:t>
            </w:r>
            <w:r>
              <w:rPr>
                <w:color w:val="000000"/>
                <w:sz w:val="24"/>
              </w:rPr>
              <w:t>d）</w:t>
            </w:r>
            <w:r>
              <w:rPr>
                <w:color w:val="000000" w:themeColor="text1"/>
                <w:sz w:val="24"/>
                <w14:textFill>
                  <w14:solidFill>
                    <w14:schemeClr w14:val="tx1"/>
                  </w14:solidFill>
                </w14:textFill>
              </w:rPr>
              <w:t>，则生活用水量约6.40t/d（1920t/a），排放系数取0.</w:t>
            </w:r>
            <w:r>
              <w:rPr>
                <w:rFonts w:hint="eastAsia"/>
                <w:color w:val="000000" w:themeColor="text1"/>
                <w:sz w:val="24"/>
                <w14:textFill>
                  <w14:solidFill>
                    <w14:schemeClr w14:val="tx1"/>
                  </w14:solidFill>
                </w14:textFill>
              </w:rPr>
              <w:t>9</w:t>
            </w:r>
            <w:r>
              <w:rPr>
                <w:color w:val="000000" w:themeColor="text1"/>
                <w:sz w:val="24"/>
                <w14:textFill>
                  <w14:solidFill>
                    <w14:schemeClr w14:val="tx1"/>
                  </w14:solidFill>
                </w14:textFill>
              </w:rPr>
              <w:t>，则项目员工生活污水排放量</w:t>
            </w:r>
            <w:r>
              <w:rPr>
                <w:rFonts w:hint="eastAsia"/>
                <w:color w:val="000000" w:themeColor="text1"/>
                <w:sz w:val="24"/>
                <w14:textFill>
                  <w14:solidFill>
                    <w14:schemeClr w14:val="tx1"/>
                  </w14:solidFill>
                </w14:textFill>
              </w:rPr>
              <w:t>约</w:t>
            </w:r>
            <w:r>
              <w:rPr>
                <w:color w:val="000000" w:themeColor="text1"/>
                <w:sz w:val="24"/>
                <w14:textFill>
                  <w14:solidFill>
                    <w14:schemeClr w14:val="tx1"/>
                  </w14:solidFill>
                </w14:textFill>
              </w:rPr>
              <w:t>为5.76t/d，即1728t/a。该类污水的主要污染物为COD</w:t>
            </w:r>
            <w:r>
              <w:rPr>
                <w:color w:val="000000" w:themeColor="text1"/>
                <w:sz w:val="24"/>
                <w:vertAlign w:val="subscript"/>
                <w14:textFill>
                  <w14:solidFill>
                    <w14:schemeClr w14:val="tx1"/>
                  </w14:solidFill>
                </w14:textFill>
              </w:rPr>
              <w:t>Cr</w:t>
            </w:r>
            <w:r>
              <w:rPr>
                <w:color w:val="000000" w:themeColor="text1"/>
                <w:sz w:val="24"/>
                <w14:textFill>
                  <w14:solidFill>
                    <w14:schemeClr w14:val="tx1"/>
                  </w14:solidFill>
                </w14:textFill>
              </w:rPr>
              <w:t>（250mg/l）、BOD</w:t>
            </w:r>
            <w:r>
              <w:rPr>
                <w:color w:val="000000" w:themeColor="text1"/>
                <w:sz w:val="24"/>
                <w:vertAlign w:val="subscript"/>
                <w14:textFill>
                  <w14:solidFill>
                    <w14:schemeClr w14:val="tx1"/>
                  </w14:solidFill>
                </w14:textFill>
              </w:rPr>
              <w:t>5</w:t>
            </w:r>
            <w:r>
              <w:rPr>
                <w:color w:val="000000" w:themeColor="text1"/>
                <w:sz w:val="24"/>
                <w14:textFill>
                  <w14:solidFill>
                    <w14:schemeClr w14:val="tx1"/>
                  </w14:solidFill>
                </w14:textFill>
              </w:rPr>
              <w:t>（150mg/l）、SS（150mg/l）、NH</w:t>
            </w:r>
            <w:r>
              <w:rPr>
                <w:color w:val="000000" w:themeColor="text1"/>
                <w:sz w:val="24"/>
                <w:vertAlign w:val="subscript"/>
                <w14:textFill>
                  <w14:solidFill>
                    <w14:schemeClr w14:val="tx1"/>
                  </w14:solidFill>
                </w14:textFill>
              </w:rPr>
              <w:t>3</w:t>
            </w:r>
            <w:r>
              <w:rPr>
                <w:color w:val="000000" w:themeColor="text1"/>
                <w:sz w:val="24"/>
                <w14:textFill>
                  <w14:solidFill>
                    <w14:schemeClr w14:val="tx1"/>
                  </w14:solidFill>
                </w14:textFill>
              </w:rPr>
              <w:t>-N（30mg/l）</w:t>
            </w:r>
            <w:r>
              <w:rPr>
                <w:rFonts w:hint="eastAsia"/>
                <w:color w:val="000000" w:themeColor="text1"/>
                <w:sz w:val="24"/>
                <w14:textFill>
                  <w14:solidFill>
                    <w14:schemeClr w14:val="tx1"/>
                  </w14:solidFill>
                </w14:textFill>
              </w:rPr>
              <w:t>、总磷（5mg</w:t>
            </w:r>
            <w:r>
              <w:rPr>
                <w:color w:val="000000" w:themeColor="text1"/>
                <w:sz w:val="24"/>
                <w14:textFill>
                  <w14:solidFill>
                    <w14:schemeClr w14:val="tx1"/>
                  </w14:solidFill>
                </w14:textFill>
              </w:rPr>
              <w:t>/L</w:t>
            </w:r>
            <w:r>
              <w:rPr>
                <w:rFonts w:hint="eastAsia"/>
                <w:color w:val="000000" w:themeColor="text1"/>
                <w:sz w:val="24"/>
                <w14:textFill>
                  <w14:solidFill>
                    <w14:schemeClr w14:val="tx1"/>
                  </w14:solidFill>
                </w14:textFill>
              </w:rPr>
              <w:t>）、动植物油（2</w:t>
            </w:r>
            <w:r>
              <w:rPr>
                <w:color w:val="000000" w:themeColor="text1"/>
                <w:sz w:val="24"/>
                <w14:textFill>
                  <w14:solidFill>
                    <w14:schemeClr w14:val="tx1"/>
                  </w14:solidFill>
                </w14:textFill>
              </w:rPr>
              <w:t>0 mg/l</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w:t>
            </w:r>
          </w:p>
          <w:p>
            <w:pPr>
              <w:spacing w:line="360" w:lineRule="auto"/>
              <w:ind w:firstLine="480" w:firstLineChars="200"/>
              <w:rPr>
                <w:b/>
                <w:color w:val="000000" w:themeColor="text1"/>
                <w:szCs w:val="21"/>
                <w14:textFill>
                  <w14:solidFill>
                    <w14:schemeClr w14:val="tx1"/>
                  </w14:solidFill>
                </w14:textFill>
              </w:rPr>
            </w:pPr>
            <w:r>
              <w:rPr>
                <w:color w:val="000000" w:themeColor="text1"/>
                <w:sz w:val="24"/>
                <w14:textFill>
                  <w14:solidFill>
                    <w14:schemeClr w14:val="tx1"/>
                  </w14:solidFill>
                </w14:textFill>
              </w:rPr>
              <w:t>经过</w:t>
            </w:r>
            <w:r>
              <w:rPr>
                <w:rFonts w:hint="eastAsia"/>
                <w:color w:val="000000" w:themeColor="text1"/>
                <w:sz w:val="24"/>
                <w14:textFill>
                  <w14:solidFill>
                    <w14:schemeClr w14:val="tx1"/>
                  </w14:solidFill>
                </w14:textFill>
              </w:rPr>
              <w:t>隔油隔渣、</w:t>
            </w:r>
            <w:r>
              <w:rPr>
                <w:color w:val="000000" w:themeColor="text1"/>
                <w:sz w:val="24"/>
                <w14:textFill>
                  <w14:solidFill>
                    <w14:schemeClr w14:val="tx1"/>
                  </w14:solidFill>
                </w14:textFill>
              </w:rPr>
              <w:t>三级化粪池预处理达广东省《水污染排放限值》（DB44/26-2001）第二时段三级标准和福田镇生活污水处理厂接管标准的较严者后排入福田镇生活污水处理厂集中处理。</w:t>
            </w:r>
          </w:p>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2、达标排放情况</w:t>
            </w:r>
          </w:p>
          <w:p>
            <w:pPr>
              <w:spacing w:line="460" w:lineRule="exact"/>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项目喷淋水循环使用，不外排。项目生产废水主要为</w:t>
            </w:r>
            <w:r>
              <w:rPr>
                <w:rFonts w:hint="eastAsia"/>
                <w:bCs/>
                <w:color w:val="000000" w:themeColor="text1"/>
                <w:sz w:val="24"/>
                <w14:textFill>
                  <w14:solidFill>
                    <w14:schemeClr w14:val="tx1"/>
                  </w14:solidFill>
                </w14:textFill>
              </w:rPr>
              <w:t>水帘柜、</w:t>
            </w:r>
            <w:r>
              <w:rPr>
                <w:bCs/>
                <w:color w:val="000000" w:themeColor="text1"/>
                <w:sz w:val="24"/>
                <w14:textFill>
                  <w14:solidFill>
                    <w14:schemeClr w14:val="tx1"/>
                  </w14:solidFill>
                </w14:textFill>
              </w:rPr>
              <w:t>喷淋塔定期更换废水</w:t>
            </w:r>
            <w:r>
              <w:rPr>
                <w:rFonts w:hint="eastAsia"/>
                <w:bCs/>
                <w:color w:val="000000" w:themeColor="text1"/>
                <w:sz w:val="24"/>
                <w14:textFill>
                  <w14:solidFill>
                    <w14:schemeClr w14:val="tx1"/>
                  </w14:solidFill>
                </w14:textFill>
              </w:rPr>
              <w:t>和</w:t>
            </w:r>
            <w:r>
              <w:rPr>
                <w:bCs/>
                <w:color w:val="000000" w:themeColor="text1"/>
                <w:sz w:val="24"/>
                <w14:textFill>
                  <w14:solidFill>
                    <w14:schemeClr w14:val="tx1"/>
                  </w14:solidFill>
                </w14:textFill>
              </w:rPr>
              <w:t>喷枪清洗废</w:t>
            </w:r>
            <w:r>
              <w:rPr>
                <w:rFonts w:hint="eastAsia"/>
                <w:bCs/>
                <w:color w:val="000000" w:themeColor="text1"/>
                <w:sz w:val="24"/>
                <w14:textFill>
                  <w14:solidFill>
                    <w14:schemeClr w14:val="tx1"/>
                  </w14:solidFill>
                </w14:textFill>
              </w:rPr>
              <w:t>水</w:t>
            </w:r>
            <w:r>
              <w:rPr>
                <w:bCs/>
                <w:color w:val="000000" w:themeColor="text1"/>
                <w:sz w:val="24"/>
                <w14:textFill>
                  <w14:solidFill>
                    <w14:schemeClr w14:val="tx1"/>
                  </w14:solidFill>
                </w14:textFill>
              </w:rPr>
              <w:t>，产生量约为23.26t/a。喷枪清洗废水和</w:t>
            </w:r>
            <w:r>
              <w:rPr>
                <w:rFonts w:hint="eastAsia"/>
                <w:bCs/>
                <w:color w:val="000000" w:themeColor="text1"/>
                <w:sz w:val="24"/>
                <w14:textFill>
                  <w14:solidFill>
                    <w14:schemeClr w14:val="tx1"/>
                  </w14:solidFill>
                </w14:textFill>
              </w:rPr>
              <w:t>喷漆、烘烤、补土废气处理装置</w:t>
            </w:r>
            <w:r>
              <w:rPr>
                <w:bCs/>
                <w:color w:val="000000" w:themeColor="text1"/>
                <w:sz w:val="24"/>
                <w14:textFill>
                  <w14:solidFill>
                    <w14:schemeClr w14:val="tx1"/>
                  </w14:solidFill>
                </w14:textFill>
              </w:rPr>
              <w:t>喷淋塔废水作为危险废物，交由有资质的单位回收处理，</w:t>
            </w:r>
            <w:r>
              <w:rPr>
                <w:rFonts w:hint="eastAsia"/>
                <w:bCs/>
                <w:color w:val="000000" w:themeColor="text1"/>
                <w:sz w:val="24"/>
                <w14:textFill>
                  <w14:solidFill>
                    <w14:schemeClr w14:val="tx1"/>
                  </w14:solidFill>
                </w14:textFill>
              </w:rPr>
              <w:t>打磨、抛光废气处理装置喷淋塔废水交由资源回收单位处理，均</w:t>
            </w:r>
            <w:r>
              <w:rPr>
                <w:bCs/>
                <w:color w:val="000000" w:themeColor="text1"/>
                <w:sz w:val="24"/>
                <w14:textFill>
                  <w14:solidFill>
                    <w14:schemeClr w14:val="tx1"/>
                  </w14:solidFill>
                </w14:textFill>
              </w:rPr>
              <w:t>不外排。</w:t>
            </w:r>
          </w:p>
          <w:p>
            <w:pPr>
              <w:spacing w:line="460" w:lineRule="exact"/>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项目外排废水主要为生活污水。项目生活污水排放量为1728t/a，达到达到广东省《水污染排放限值》（DB44/26-2001）第二时段三级标准，进入福田镇生活污水处理厂。</w:t>
            </w:r>
          </w:p>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3、排放口基本情况</w:t>
            </w:r>
          </w:p>
          <w:p>
            <w:pPr>
              <w:pStyle w:val="6"/>
              <w:spacing w:before="0" w:after="0" w:line="24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表4-10  废水间接排放口基本情况表</w:t>
            </w:r>
          </w:p>
          <w:tbl>
            <w:tblPr>
              <w:tblStyle w:val="39"/>
              <w:tblW w:w="4998" w:type="pct"/>
              <w:tblInd w:w="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51" w:type="dxa"/>
                <w:bottom w:w="0" w:type="dxa"/>
                <w:right w:w="51" w:type="dxa"/>
              </w:tblCellMar>
            </w:tblPr>
            <w:tblGrid>
              <w:gridCol w:w="767"/>
              <w:gridCol w:w="1310"/>
              <w:gridCol w:w="1212"/>
              <w:gridCol w:w="684"/>
              <w:gridCol w:w="457"/>
              <w:gridCol w:w="754"/>
              <w:gridCol w:w="896"/>
              <w:gridCol w:w="709"/>
              <w:gridCol w:w="137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trPr>
              <w:tc>
                <w:tcPr>
                  <w:tcW w:w="470" w:type="pct"/>
                  <w:vMerge w:val="restar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排放口编号</w:t>
                  </w:r>
                </w:p>
              </w:tc>
              <w:tc>
                <w:tcPr>
                  <w:tcW w:w="1546" w:type="pct"/>
                  <w:gridSpan w:val="2"/>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排放口地理坐标</w:t>
                  </w:r>
                </w:p>
              </w:tc>
              <w:tc>
                <w:tcPr>
                  <w:tcW w:w="419" w:type="pct"/>
                  <w:vMerge w:val="restar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废水排放量/（万t/a）</w:t>
                  </w:r>
                </w:p>
              </w:tc>
              <w:tc>
                <w:tcPr>
                  <w:tcW w:w="280" w:type="pct"/>
                  <w:vMerge w:val="restar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排放去向</w:t>
                  </w:r>
                </w:p>
              </w:tc>
              <w:tc>
                <w:tcPr>
                  <w:tcW w:w="462" w:type="pct"/>
                  <w:vMerge w:val="restar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排放规律</w:t>
                  </w:r>
                </w:p>
              </w:tc>
              <w:tc>
                <w:tcPr>
                  <w:tcW w:w="1823" w:type="pct"/>
                  <w:gridSpan w:val="3"/>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受纳污水处理厂信息</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trPr>
              <w:tc>
                <w:tcPr>
                  <w:tcW w:w="470" w:type="pct"/>
                  <w:vMerge w:val="continue"/>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p>
              </w:tc>
              <w:tc>
                <w:tcPr>
                  <w:tcW w:w="803" w:type="pc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经度</w:t>
                  </w:r>
                </w:p>
              </w:tc>
              <w:tc>
                <w:tcPr>
                  <w:tcW w:w="743" w:type="pc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纬度</w:t>
                  </w:r>
                </w:p>
              </w:tc>
              <w:tc>
                <w:tcPr>
                  <w:tcW w:w="419" w:type="pct"/>
                  <w:vMerge w:val="continue"/>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p>
              </w:tc>
              <w:tc>
                <w:tcPr>
                  <w:tcW w:w="280" w:type="pct"/>
                  <w:vMerge w:val="continue"/>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p>
              </w:tc>
              <w:tc>
                <w:tcPr>
                  <w:tcW w:w="462" w:type="pct"/>
                  <w:vMerge w:val="continue"/>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p>
              </w:tc>
              <w:tc>
                <w:tcPr>
                  <w:tcW w:w="549" w:type="pc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名称</w:t>
                  </w:r>
                </w:p>
              </w:tc>
              <w:tc>
                <w:tcPr>
                  <w:tcW w:w="434" w:type="pc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污染物种类</w:t>
                  </w:r>
                </w:p>
              </w:tc>
              <w:tc>
                <w:tcPr>
                  <w:tcW w:w="840" w:type="pct"/>
                  <w:vAlign w:val="center"/>
                </w:tcPr>
                <w:p>
                  <w:pPr>
                    <w:pStyle w:val="143"/>
                    <w:spacing w:line="240" w:lineRule="auto"/>
                    <w:jc w:val="center"/>
                    <w:rPr>
                      <w:rFonts w:ascii="Times New Roman" w:hAnsi="Times New Roman"/>
                      <w:b/>
                      <w:bCs/>
                      <w:color w:val="000000" w:themeColor="text1"/>
                      <w:sz w:val="21"/>
                      <w:szCs w:val="21"/>
                      <w14:textFill>
                        <w14:solidFill>
                          <w14:schemeClr w14:val="tx1"/>
                        </w14:solidFill>
                      </w14:textFill>
                    </w:rPr>
                  </w:pPr>
                  <w:r>
                    <w:rPr>
                      <w:rFonts w:ascii="Times New Roman" w:hAnsi="Times New Roman"/>
                      <w:b/>
                      <w:bCs/>
                      <w:color w:val="000000" w:themeColor="text1"/>
                      <w:sz w:val="21"/>
                      <w:szCs w:val="21"/>
                      <w14:textFill>
                        <w14:solidFill>
                          <w14:schemeClr w14:val="tx1"/>
                        </w14:solidFill>
                      </w14:textFill>
                    </w:rPr>
                    <w:t>国家或地方污染物排放标准浓度限值/（mg/L）</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trPr>
              <w:tc>
                <w:tcPr>
                  <w:tcW w:w="470" w:type="pct"/>
                  <w:vMerge w:val="restar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DW001</w:t>
                  </w:r>
                </w:p>
              </w:tc>
              <w:tc>
                <w:tcPr>
                  <w:tcW w:w="803"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113°57′38.22″</w:t>
                  </w:r>
                </w:p>
              </w:tc>
              <w:tc>
                <w:tcPr>
                  <w:tcW w:w="743"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23°12′47.55″</w:t>
                  </w:r>
                </w:p>
              </w:tc>
              <w:tc>
                <w:tcPr>
                  <w:tcW w:w="419" w:type="pct"/>
                  <w:vMerge w:val="restar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0.1728</w:t>
                  </w:r>
                </w:p>
              </w:tc>
              <w:tc>
                <w:tcPr>
                  <w:tcW w:w="280" w:type="pct"/>
                  <w:vMerge w:val="restar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进入城市污水处理厂</w:t>
                  </w:r>
                </w:p>
              </w:tc>
              <w:tc>
                <w:tcPr>
                  <w:tcW w:w="462" w:type="pct"/>
                  <w:vMerge w:val="restar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间断排放，流量不稳定且无规律，但不属于冲击型排放</w:t>
                  </w:r>
                </w:p>
              </w:tc>
              <w:tc>
                <w:tcPr>
                  <w:tcW w:w="549" w:type="pct"/>
                  <w:vMerge w:val="restar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福田镇生活污水处理厂</w:t>
                  </w:r>
                </w:p>
              </w:tc>
              <w:tc>
                <w:tcPr>
                  <w:tcW w:w="434"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CODcr</w:t>
                  </w:r>
                </w:p>
              </w:tc>
              <w:tc>
                <w:tcPr>
                  <w:tcW w:w="840"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trPr>
              <w:tc>
                <w:tcPr>
                  <w:tcW w:w="470"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803"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743"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19"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280"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62"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549"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34"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BOD</w:t>
                  </w:r>
                  <w:r>
                    <w:rPr>
                      <w:rFonts w:ascii="Times New Roman" w:hAnsi="Times New Roman"/>
                      <w:color w:val="000000" w:themeColor="text1"/>
                      <w:kern w:val="2"/>
                      <w:sz w:val="21"/>
                      <w:szCs w:val="21"/>
                      <w:vertAlign w:val="subscript"/>
                      <w14:textFill>
                        <w14:solidFill>
                          <w14:schemeClr w14:val="tx1"/>
                        </w14:solidFill>
                      </w14:textFill>
                    </w:rPr>
                    <w:t>5</w:t>
                  </w:r>
                </w:p>
              </w:tc>
              <w:tc>
                <w:tcPr>
                  <w:tcW w:w="840"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trPr>
              <w:tc>
                <w:tcPr>
                  <w:tcW w:w="470"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803"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743"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19"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280"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62"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549"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34"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SS</w:t>
                  </w:r>
                </w:p>
              </w:tc>
              <w:tc>
                <w:tcPr>
                  <w:tcW w:w="840"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1"/>
                      <w:szCs w:val="21"/>
                      <w14:textFill>
                        <w14:solidFill>
                          <w14:schemeClr w14:val="tx1"/>
                        </w14:solidFill>
                      </w14:textFill>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trPr>
              <w:tc>
                <w:tcPr>
                  <w:tcW w:w="470"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803"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743"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19"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280"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62"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549"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34"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kern w:val="2"/>
                      <w:sz w:val="21"/>
                      <w:szCs w:val="21"/>
                      <w14:textFill>
                        <w14:solidFill>
                          <w14:schemeClr w14:val="tx1"/>
                        </w14:solidFill>
                      </w14:textFill>
                    </w:rPr>
                    <w:t>NH</w:t>
                  </w:r>
                  <w:r>
                    <w:rPr>
                      <w:rFonts w:ascii="Times New Roman" w:hAnsi="Times New Roman"/>
                      <w:color w:val="000000" w:themeColor="text1"/>
                      <w:kern w:val="2"/>
                      <w:sz w:val="21"/>
                      <w:szCs w:val="21"/>
                      <w:vertAlign w:val="subscript"/>
                      <w14:textFill>
                        <w14:solidFill>
                          <w14:schemeClr w14:val="tx1"/>
                        </w14:solidFill>
                      </w14:textFill>
                    </w:rPr>
                    <w:t>3</w:t>
                  </w:r>
                  <w:r>
                    <w:rPr>
                      <w:rFonts w:ascii="Times New Roman" w:hAnsi="Times New Roman"/>
                      <w:color w:val="000000" w:themeColor="text1"/>
                      <w:kern w:val="2"/>
                      <w:sz w:val="21"/>
                      <w:szCs w:val="21"/>
                      <w14:textFill>
                        <w14:solidFill>
                          <w14:schemeClr w14:val="tx1"/>
                        </w14:solidFill>
                      </w14:textFill>
                    </w:rPr>
                    <w:t>-N</w:t>
                  </w:r>
                </w:p>
              </w:tc>
              <w:tc>
                <w:tcPr>
                  <w:tcW w:w="840"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1" w:type="dxa"/>
                  <w:bottom w:w="0" w:type="dxa"/>
                  <w:right w:w="51" w:type="dxa"/>
                </w:tblCellMar>
              </w:tblPrEx>
              <w:trPr>
                <w:trHeight w:val="340" w:hRule="atLeast"/>
              </w:trPr>
              <w:tc>
                <w:tcPr>
                  <w:tcW w:w="470"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803"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743"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19"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280"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62"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549" w:type="pct"/>
                  <w:vMerge w:val="continue"/>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p>
              </w:tc>
              <w:tc>
                <w:tcPr>
                  <w:tcW w:w="434" w:type="pct"/>
                  <w:vAlign w:val="center"/>
                </w:tcPr>
                <w:p>
                  <w:pPr>
                    <w:pStyle w:val="143"/>
                    <w:spacing w:line="240" w:lineRule="auto"/>
                    <w:jc w:val="center"/>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总磷</w:t>
                  </w:r>
                </w:p>
              </w:tc>
              <w:tc>
                <w:tcPr>
                  <w:tcW w:w="840" w:type="pct"/>
                  <w:vAlign w:val="center"/>
                </w:tcPr>
                <w:p>
                  <w:pPr>
                    <w:pStyle w:val="143"/>
                    <w:spacing w:line="240" w:lineRule="auto"/>
                    <w:jc w:val="center"/>
                    <w:rPr>
                      <w:rFonts w:ascii="Times New Roman" w:hAnsi="Times New Roman"/>
                      <w:color w:val="000000" w:themeColor="text1"/>
                      <w:sz w:val="21"/>
                      <w:szCs w:val="21"/>
                      <w14:textFill>
                        <w14:solidFill>
                          <w14:schemeClr w14:val="tx1"/>
                        </w14:solidFill>
                      </w14:textFill>
                    </w:rPr>
                  </w:pPr>
                  <w:r>
                    <w:rPr>
                      <w:rFonts w:hint="eastAsia" w:ascii="Times New Roman" w:hAnsi="Times New Roman"/>
                      <w:color w:val="000000" w:themeColor="text1"/>
                      <w:sz w:val="21"/>
                      <w:szCs w:val="21"/>
                      <w14:textFill>
                        <w14:solidFill>
                          <w14:schemeClr w14:val="tx1"/>
                        </w14:solidFill>
                      </w14:textFill>
                    </w:rPr>
                    <w:t>0.4</w:t>
                  </w:r>
                </w:p>
              </w:tc>
            </w:tr>
          </w:tbl>
          <w:p>
            <w:pPr>
              <w:pStyle w:val="6"/>
              <w:spacing w:before="0" w:after="0" w:line="360" w:lineRule="auto"/>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表4-11 废水污染物排放执行标准表</w:t>
            </w:r>
          </w:p>
          <w:tbl>
            <w:tblPr>
              <w:tblStyle w:val="39"/>
              <w:tblW w:w="5000" w:type="pct"/>
              <w:tblInd w:w="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738"/>
              <w:gridCol w:w="1260"/>
              <w:gridCol w:w="1541"/>
              <w:gridCol w:w="2993"/>
              <w:gridCol w:w="163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52" w:type="pct"/>
                  <w:vMerge w:val="restar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序号</w:t>
                  </w:r>
                </w:p>
              </w:tc>
              <w:tc>
                <w:tcPr>
                  <w:tcW w:w="772" w:type="pct"/>
                  <w:vMerge w:val="restar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排放口编号</w:t>
                  </w:r>
                </w:p>
              </w:tc>
              <w:tc>
                <w:tcPr>
                  <w:tcW w:w="944" w:type="pct"/>
                  <w:vMerge w:val="restar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污染物种类</w:t>
                  </w:r>
                </w:p>
              </w:tc>
              <w:tc>
                <w:tcPr>
                  <w:tcW w:w="2832" w:type="pct"/>
                  <w:gridSpan w:val="2"/>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国家或地方污染物排放标准及其他按规定商定的排放协议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52" w:type="pct"/>
                  <w:vMerge w:val="continue"/>
                  <w:vAlign w:val="center"/>
                </w:tcPr>
                <w:p>
                  <w:pPr>
                    <w:jc w:val="center"/>
                    <w:rPr>
                      <w:b/>
                      <w:bCs/>
                      <w:color w:val="000000" w:themeColor="text1"/>
                      <w:szCs w:val="21"/>
                      <w14:textFill>
                        <w14:solidFill>
                          <w14:schemeClr w14:val="tx1"/>
                        </w14:solidFill>
                      </w14:textFill>
                    </w:rPr>
                  </w:pPr>
                </w:p>
              </w:tc>
              <w:tc>
                <w:tcPr>
                  <w:tcW w:w="772" w:type="pct"/>
                  <w:vMerge w:val="continue"/>
                  <w:vAlign w:val="center"/>
                </w:tcPr>
                <w:p>
                  <w:pPr>
                    <w:jc w:val="center"/>
                    <w:rPr>
                      <w:b/>
                      <w:bCs/>
                      <w:color w:val="000000" w:themeColor="text1"/>
                      <w:szCs w:val="21"/>
                      <w14:textFill>
                        <w14:solidFill>
                          <w14:schemeClr w14:val="tx1"/>
                        </w14:solidFill>
                      </w14:textFill>
                    </w:rPr>
                  </w:pPr>
                </w:p>
              </w:tc>
              <w:tc>
                <w:tcPr>
                  <w:tcW w:w="944" w:type="pct"/>
                  <w:vMerge w:val="continue"/>
                  <w:vAlign w:val="center"/>
                </w:tcPr>
                <w:p>
                  <w:pPr>
                    <w:jc w:val="center"/>
                    <w:rPr>
                      <w:b/>
                      <w:bCs/>
                      <w:color w:val="000000" w:themeColor="text1"/>
                      <w:szCs w:val="21"/>
                      <w14:textFill>
                        <w14:solidFill>
                          <w14:schemeClr w14:val="tx1"/>
                        </w14:solidFill>
                      </w14:textFill>
                    </w:rPr>
                  </w:pPr>
                </w:p>
              </w:tc>
              <w:tc>
                <w:tcPr>
                  <w:tcW w:w="1833"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w:t>
                  </w:r>
                </w:p>
              </w:tc>
              <w:tc>
                <w:tcPr>
                  <w:tcW w:w="999" w:type="pct"/>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浓度限值（mg/L）</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52"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772" w:type="pct"/>
                  <w:vMerge w:val="restar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DW001</w:t>
                  </w:r>
                </w:p>
              </w:tc>
              <w:tc>
                <w:tcPr>
                  <w:tcW w:w="94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CODcr</w:t>
                  </w:r>
                </w:p>
              </w:tc>
              <w:tc>
                <w:tcPr>
                  <w:tcW w:w="1833" w:type="pct"/>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广东省《水污染物排放限值》（DB44/26-2001）第二时段三级标准</w:t>
                  </w:r>
                </w:p>
              </w:tc>
              <w:tc>
                <w:tcPr>
                  <w:tcW w:w="9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52" w:type="pct"/>
                  <w:vMerge w:val="continue"/>
                  <w:vAlign w:val="center"/>
                </w:tcPr>
                <w:p>
                  <w:pPr>
                    <w:jc w:val="center"/>
                    <w:rPr>
                      <w:color w:val="000000" w:themeColor="text1"/>
                      <w:szCs w:val="21"/>
                      <w14:textFill>
                        <w14:solidFill>
                          <w14:schemeClr w14:val="tx1"/>
                        </w14:solidFill>
                      </w14:textFill>
                    </w:rPr>
                  </w:pPr>
                </w:p>
              </w:tc>
              <w:tc>
                <w:tcPr>
                  <w:tcW w:w="772" w:type="pct"/>
                  <w:vMerge w:val="continue"/>
                  <w:vAlign w:val="center"/>
                </w:tcPr>
                <w:p>
                  <w:pPr>
                    <w:jc w:val="center"/>
                    <w:rPr>
                      <w:color w:val="000000" w:themeColor="text1"/>
                      <w:szCs w:val="21"/>
                      <w14:textFill>
                        <w14:solidFill>
                          <w14:schemeClr w14:val="tx1"/>
                        </w14:solidFill>
                      </w14:textFill>
                    </w:rPr>
                  </w:pPr>
                </w:p>
              </w:tc>
              <w:tc>
                <w:tcPr>
                  <w:tcW w:w="94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1833" w:type="pct"/>
                  <w:vMerge w:val="continue"/>
                  <w:vAlign w:val="center"/>
                </w:tcPr>
                <w:p>
                  <w:pPr>
                    <w:jc w:val="center"/>
                    <w:rPr>
                      <w:color w:val="000000" w:themeColor="text1"/>
                      <w:szCs w:val="21"/>
                      <w14:textFill>
                        <w14:solidFill>
                          <w14:schemeClr w14:val="tx1"/>
                        </w14:solidFill>
                      </w14:textFill>
                    </w:rPr>
                  </w:pPr>
                </w:p>
              </w:tc>
              <w:tc>
                <w:tcPr>
                  <w:tcW w:w="9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52" w:type="pct"/>
                  <w:vMerge w:val="continue"/>
                  <w:vAlign w:val="center"/>
                </w:tcPr>
                <w:p>
                  <w:pPr>
                    <w:jc w:val="center"/>
                    <w:rPr>
                      <w:color w:val="000000" w:themeColor="text1"/>
                      <w:szCs w:val="21"/>
                      <w14:textFill>
                        <w14:solidFill>
                          <w14:schemeClr w14:val="tx1"/>
                        </w14:solidFill>
                      </w14:textFill>
                    </w:rPr>
                  </w:pPr>
                </w:p>
              </w:tc>
              <w:tc>
                <w:tcPr>
                  <w:tcW w:w="772" w:type="pct"/>
                  <w:vMerge w:val="continue"/>
                  <w:vAlign w:val="center"/>
                </w:tcPr>
                <w:p>
                  <w:pPr>
                    <w:jc w:val="center"/>
                    <w:rPr>
                      <w:color w:val="000000" w:themeColor="text1"/>
                      <w:szCs w:val="21"/>
                      <w14:textFill>
                        <w14:solidFill>
                          <w14:schemeClr w14:val="tx1"/>
                        </w14:solidFill>
                      </w14:textFill>
                    </w:rPr>
                  </w:pPr>
                </w:p>
              </w:tc>
              <w:tc>
                <w:tcPr>
                  <w:tcW w:w="94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1833" w:type="pct"/>
                  <w:vMerge w:val="continue"/>
                  <w:vAlign w:val="center"/>
                </w:tcPr>
                <w:p>
                  <w:pPr>
                    <w:jc w:val="center"/>
                    <w:rPr>
                      <w:color w:val="000000" w:themeColor="text1"/>
                      <w:szCs w:val="21"/>
                      <w14:textFill>
                        <w14:solidFill>
                          <w14:schemeClr w14:val="tx1"/>
                        </w14:solidFill>
                      </w14:textFill>
                    </w:rPr>
                  </w:pPr>
                </w:p>
              </w:tc>
              <w:tc>
                <w:tcPr>
                  <w:tcW w:w="9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52" w:type="pct"/>
                  <w:vMerge w:val="continue"/>
                  <w:vAlign w:val="center"/>
                </w:tcPr>
                <w:p>
                  <w:pPr>
                    <w:jc w:val="center"/>
                    <w:rPr>
                      <w:color w:val="000000" w:themeColor="text1"/>
                      <w:szCs w:val="21"/>
                      <w14:textFill>
                        <w14:solidFill>
                          <w14:schemeClr w14:val="tx1"/>
                        </w14:solidFill>
                      </w14:textFill>
                    </w:rPr>
                  </w:pPr>
                </w:p>
              </w:tc>
              <w:tc>
                <w:tcPr>
                  <w:tcW w:w="772" w:type="pct"/>
                  <w:vMerge w:val="continue"/>
                  <w:vAlign w:val="center"/>
                </w:tcPr>
                <w:p>
                  <w:pPr>
                    <w:jc w:val="center"/>
                    <w:rPr>
                      <w:color w:val="000000" w:themeColor="text1"/>
                      <w:szCs w:val="21"/>
                      <w14:textFill>
                        <w14:solidFill>
                          <w14:schemeClr w14:val="tx1"/>
                        </w14:solidFill>
                      </w14:textFill>
                    </w:rPr>
                  </w:pPr>
                </w:p>
              </w:tc>
              <w:tc>
                <w:tcPr>
                  <w:tcW w:w="944"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1833" w:type="pct"/>
                  <w:vMerge w:val="continue"/>
                  <w:vAlign w:val="center"/>
                </w:tcPr>
                <w:p>
                  <w:pPr>
                    <w:jc w:val="center"/>
                    <w:rPr>
                      <w:color w:val="000000" w:themeColor="text1"/>
                      <w:szCs w:val="21"/>
                      <w14:textFill>
                        <w14:solidFill>
                          <w14:schemeClr w14:val="tx1"/>
                        </w14:solidFill>
                      </w14:textFill>
                    </w:rPr>
                  </w:pPr>
                </w:p>
              </w:tc>
              <w:tc>
                <w:tcPr>
                  <w:tcW w:w="999" w:type="pc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452" w:type="pct"/>
                  <w:vMerge w:val="continue"/>
                  <w:vAlign w:val="center"/>
                </w:tcPr>
                <w:p>
                  <w:pPr>
                    <w:jc w:val="center"/>
                    <w:rPr>
                      <w:color w:val="000000" w:themeColor="text1"/>
                      <w:szCs w:val="21"/>
                      <w14:textFill>
                        <w14:solidFill>
                          <w14:schemeClr w14:val="tx1"/>
                        </w14:solidFill>
                      </w14:textFill>
                    </w:rPr>
                  </w:pPr>
                </w:p>
              </w:tc>
              <w:tc>
                <w:tcPr>
                  <w:tcW w:w="772" w:type="pct"/>
                  <w:vMerge w:val="continue"/>
                  <w:vAlign w:val="center"/>
                </w:tcPr>
                <w:p>
                  <w:pPr>
                    <w:jc w:val="center"/>
                    <w:rPr>
                      <w:color w:val="000000" w:themeColor="text1"/>
                      <w:szCs w:val="21"/>
                      <w14:textFill>
                        <w14:solidFill>
                          <w14:schemeClr w14:val="tx1"/>
                        </w14:solidFill>
                      </w14:textFill>
                    </w:rPr>
                  </w:pPr>
                </w:p>
              </w:tc>
              <w:tc>
                <w:tcPr>
                  <w:tcW w:w="944"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TP</w:t>
                  </w:r>
                </w:p>
              </w:tc>
              <w:tc>
                <w:tcPr>
                  <w:tcW w:w="1833" w:type="pct"/>
                  <w:vMerge w:val="continue"/>
                  <w:vAlign w:val="center"/>
                </w:tcPr>
                <w:p>
                  <w:pPr>
                    <w:jc w:val="center"/>
                    <w:rPr>
                      <w:color w:val="000000" w:themeColor="text1"/>
                      <w:szCs w:val="21"/>
                      <w14:textFill>
                        <w14:solidFill>
                          <w14:schemeClr w14:val="tx1"/>
                        </w14:solidFill>
                      </w14:textFill>
                    </w:rPr>
                  </w:pPr>
                </w:p>
              </w:tc>
              <w:tc>
                <w:tcPr>
                  <w:tcW w:w="999" w:type="pc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bl>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4、监测要求</w:t>
            </w:r>
          </w:p>
          <w:p>
            <w:pPr>
              <w:pStyle w:val="47"/>
              <w:spacing w:line="360" w:lineRule="auto"/>
              <w:ind w:firstLine="480" w:firstLineChars="200"/>
              <w:rPr>
                <w:rFonts w:ascii="Times New Roman"/>
                <w:color w:val="000000" w:themeColor="text1"/>
                <w:sz w:val="21"/>
                <w:szCs w:val="21"/>
                <w14:textFill>
                  <w14:solidFill>
                    <w14:schemeClr w14:val="tx1"/>
                  </w14:solidFill>
                </w14:textFill>
              </w:rPr>
            </w:pPr>
            <w:r>
              <w:rPr>
                <w:rFonts w:ascii="Times New Roman"/>
                <w:color w:val="000000" w:themeColor="text1"/>
                <w14:textFill>
                  <w14:solidFill>
                    <w14:schemeClr w14:val="tx1"/>
                  </w14:solidFill>
                </w14:textFill>
              </w:rPr>
              <w:t>本项目生活污水经</w:t>
            </w:r>
            <w:r>
              <w:rPr>
                <w:rFonts w:hint="eastAsia" w:ascii="Times New Roman"/>
                <w:color w:val="000000" w:themeColor="text1"/>
                <w14:textFill>
                  <w14:solidFill>
                    <w14:schemeClr w14:val="tx1"/>
                  </w14:solidFill>
                </w14:textFill>
              </w:rPr>
              <w:t>隔油隔渣、三级</w:t>
            </w:r>
            <w:r>
              <w:rPr>
                <w:rFonts w:ascii="Times New Roman"/>
                <w:color w:val="000000" w:themeColor="text1"/>
                <w14:textFill>
                  <w14:solidFill>
                    <w14:schemeClr w14:val="tx1"/>
                  </w14:solidFill>
                </w14:textFill>
              </w:rPr>
              <w:t>化粪池预处理后达到</w:t>
            </w:r>
            <w:r>
              <w:rPr>
                <w:rFonts w:ascii="Times New Roman"/>
                <w:color w:val="000000" w:themeColor="text1"/>
                <w:kern w:val="0"/>
                <w14:textFill>
                  <w14:solidFill>
                    <w14:schemeClr w14:val="tx1"/>
                  </w14:solidFill>
                </w14:textFill>
              </w:rPr>
              <w:t>广东省地方标准《水污染物排放限值》（DB44/26-2001）第二时段三级标准后排入市政污水管网，进入</w:t>
            </w:r>
            <w:r>
              <w:rPr>
                <w:rFonts w:hint="eastAsia" w:ascii="Times New Roman"/>
                <w:color w:val="000000" w:themeColor="text1"/>
                <w:kern w:val="0"/>
                <w14:textFill>
                  <w14:solidFill>
                    <w14:schemeClr w14:val="tx1"/>
                  </w14:solidFill>
                </w14:textFill>
              </w:rPr>
              <w:t>博罗县</w:t>
            </w:r>
            <w:r>
              <w:rPr>
                <w:rFonts w:ascii="Times New Roman"/>
                <w:color w:val="000000" w:themeColor="text1"/>
                <w:szCs w:val="21"/>
                <w14:textFill>
                  <w14:solidFill>
                    <w14:schemeClr w14:val="tx1"/>
                  </w14:solidFill>
                </w14:textFill>
              </w:rPr>
              <w:t>福田镇生活污水处理厂</w:t>
            </w:r>
            <w:r>
              <w:rPr>
                <w:rFonts w:ascii="Times New Roman"/>
                <w:color w:val="000000" w:themeColor="text1"/>
                <w:kern w:val="0"/>
                <w14:textFill>
                  <w14:solidFill>
                    <w14:schemeClr w14:val="tx1"/>
                  </w14:solidFill>
                </w14:textFill>
              </w:rPr>
              <w:t>处理</w:t>
            </w:r>
            <w:r>
              <w:rPr>
                <w:rFonts w:ascii="Times New Roman"/>
                <w:color w:val="000000" w:themeColor="text1"/>
                <w14:textFill>
                  <w14:solidFill>
                    <w14:schemeClr w14:val="tx1"/>
                  </w14:solidFill>
                </w14:textFill>
              </w:rPr>
              <w:t>。本项目涉及</w:t>
            </w:r>
            <w:r>
              <w:rPr>
                <w:rFonts w:hint="eastAsia" w:ascii="Times New Roman"/>
                <w:color w:val="000000" w:themeColor="text1"/>
                <w14:textFill>
                  <w14:solidFill>
                    <w14:schemeClr w14:val="tx1"/>
                  </w14:solidFill>
                </w14:textFill>
              </w:rPr>
              <w:t>喷涂</w:t>
            </w:r>
            <w:r>
              <w:rPr>
                <w:rFonts w:ascii="Times New Roman"/>
                <w:color w:val="000000" w:themeColor="text1"/>
                <w14:textFill>
                  <w14:solidFill>
                    <w14:schemeClr w14:val="tx1"/>
                  </w14:solidFill>
                </w14:textFill>
              </w:rPr>
              <w:t>工序，自行监测计划参考</w:t>
            </w:r>
            <w:r>
              <w:rPr>
                <w:rFonts w:ascii="Times New Roman"/>
                <w:color w:val="000000" w:themeColor="text1"/>
                <w:shd w:val="clear" w:color="auto" w:fill="FFFFFF"/>
                <w14:textFill>
                  <w14:solidFill>
                    <w14:schemeClr w14:val="tx1"/>
                  </w14:solidFill>
                </w14:textFill>
              </w:rPr>
              <w:t>《排污单位自行监测技术指南 涂装》（HJ 1086）执行</w:t>
            </w:r>
            <w:r>
              <w:rPr>
                <w:rFonts w:ascii="Times New Roman"/>
                <w:color w:val="000000" w:themeColor="text1"/>
                <w14:textFill>
                  <w14:solidFill>
                    <w14:schemeClr w14:val="tx1"/>
                  </w14:solidFill>
                </w14:textFill>
              </w:rPr>
              <w:t>，根据</w:t>
            </w:r>
            <w:r>
              <w:rPr>
                <w:rFonts w:ascii="Times New Roman"/>
                <w:color w:val="000000" w:themeColor="text1"/>
                <w:shd w:val="clear" w:color="auto" w:fill="FFFFFF"/>
                <w14:textFill>
                  <w14:solidFill>
                    <w14:schemeClr w14:val="tx1"/>
                  </w14:solidFill>
                </w14:textFill>
              </w:rPr>
              <w:t>《排污单位自行监测技术指南 涂装》（HJ 1086）</w:t>
            </w:r>
            <w:r>
              <w:rPr>
                <w:rFonts w:ascii="Times New Roman"/>
                <w:color w:val="000000" w:themeColor="text1"/>
                <w14:textFill>
                  <w14:solidFill>
                    <w14:schemeClr w14:val="tx1"/>
                  </w14:solidFill>
                </w14:textFill>
              </w:rPr>
              <w:t>中5.1.2生活污水排放口“间接排放不要求开展自行监测。”，因此本项目不需要开展污水监测。</w:t>
            </w:r>
          </w:p>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5、水污染控制和水环境影响减缓措施的有效性评价</w:t>
            </w:r>
          </w:p>
          <w:p>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福田镇污水处理厂于2012年12月投产，总投资约人民币2964.56万元，惠州市博罗县福田镇荔枝墩村第八小组高坣头，其设计规模为1万立方米/日，该污水厂采用“用1组固定繁衍微生物污水减泥净化技术集成系统处理工艺”组合处理工艺处理污水。</w:t>
            </w:r>
          </w:p>
          <w:p>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 xml:space="preserve">进厂污水首先经过粗格栅机去除大块固体杂物和漂浮物后，由潜污泵提升至细格栅及旋流沉砂池，通过细格栅进一步去除大颗粒悬浮物、漂浮物，通过沉砂池去除砂粒；再经过接触氧化池去除污水中的有机污染物和大部分氮、磷等营养盐，然后进入沉淀池进行泥水分离后再进入放流池进行沉淀过滤，去除水中的悬浮物及TP等等，降低出水浊度，滤池出水经反洗水池后经过紫外线消毒后达标排放。污水处理过程中产生的剩余污泥由剩余污泥泵抽升至储泥池后，再泵入污泥浓缩脱水机进行浓缩和脱水，脱水后的泥饼外运。其工艺流程如下图所示： </w:t>
            </w:r>
          </w:p>
          <w:p>
            <w:pPr>
              <w:spacing w:before="156" w:beforeLines="50"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drawing>
                <wp:inline distT="0" distB="0" distL="0" distR="0">
                  <wp:extent cx="4491355" cy="584835"/>
                  <wp:effectExtent l="0" t="0" r="4445" b="5715"/>
                  <wp:docPr id="1091" name="图片 17" descr="wps9"/>
                  <wp:cNvGraphicFramePr/>
                  <a:graphic xmlns:a="http://schemas.openxmlformats.org/drawingml/2006/main">
                    <a:graphicData uri="http://schemas.openxmlformats.org/drawingml/2006/picture">
                      <pic:pic xmlns:pic="http://schemas.openxmlformats.org/drawingml/2006/picture">
                        <pic:nvPicPr>
                          <pic:cNvPr id="1091" name="图片 17" descr="wps9"/>
                          <pic:cNvPicPr/>
                        </pic:nvPicPr>
                        <pic:blipFill>
                          <a:blip r:embed="rId30"/>
                          <a:srcRect/>
                          <a:stretch>
                            <a:fillRect/>
                          </a:stretch>
                        </pic:blipFill>
                        <pic:spPr>
                          <a:xfrm>
                            <a:off x="0" y="0"/>
                            <a:ext cx="4557927" cy="593867"/>
                          </a:xfrm>
                          <a:prstGeom prst="rect">
                            <a:avLst/>
                          </a:prstGeom>
                          <a:ln>
                            <a:noFill/>
                          </a:ln>
                        </pic:spPr>
                      </pic:pic>
                    </a:graphicData>
                  </a:graphic>
                </wp:inline>
              </w:drawing>
            </w:r>
          </w:p>
          <w:p>
            <w:pPr>
              <w:spacing w:line="360" w:lineRule="auto"/>
              <w:ind w:firstLine="422" w:firstLineChars="20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图4-1</w:t>
            </w:r>
            <w:r>
              <w:rPr>
                <w:b/>
                <w:color w:val="000000" w:themeColor="text1"/>
                <w:szCs w:val="21"/>
                <w14:textFill>
                  <w14:solidFill>
                    <w14:schemeClr w14:val="tx1"/>
                  </w14:solidFill>
                </w14:textFill>
              </w:rPr>
              <w:t xml:space="preserve"> </w:t>
            </w:r>
            <w:r>
              <w:rPr>
                <w:rFonts w:hint="eastAsia"/>
                <w:b/>
                <w:color w:val="000000" w:themeColor="text1"/>
                <w:szCs w:val="21"/>
                <w14:textFill>
                  <w14:solidFill>
                    <w14:schemeClr w14:val="tx1"/>
                  </w14:solidFill>
                </w14:textFill>
              </w:rPr>
              <w:t xml:space="preserve"> 污水处理工艺流程图</w:t>
            </w:r>
          </w:p>
          <w:p>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项目生活污水经隔油隔渣、三级化粪池处理后，进入福田镇生活污水处理厂处理，污水处理厂尾水达到《城镇污水处理厂污染物排放标准》（GB18918-2002）一级A标准、广东省地方标准《水污染物排放限值》（DB44/26-2001）的第二时段一级标准较严者，尾水排入福田河。其中氨氮和总磷执行《地表水环境质量标准》（GB3838-2002）的Ⅴ类标准。项目产生的生活污水经处理后水污染物得到一定量削减，减轻了污水排放对纳污水体的污染负荷，有利于水环境保护。</w:t>
            </w:r>
          </w:p>
          <w:p>
            <w:pPr>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项目区域属于福田镇生活污水处理厂纳污范围，项目所在区域已接通市政污水管网。本项目废水的排放量为</w:t>
            </w:r>
            <w:r>
              <w:rPr>
                <w:bCs/>
                <w:color w:val="000000" w:themeColor="text1"/>
                <w:sz w:val="24"/>
                <w14:textFill>
                  <w14:solidFill>
                    <w14:schemeClr w14:val="tx1"/>
                  </w14:solidFill>
                </w14:textFill>
              </w:rPr>
              <w:t>5.760</w:t>
            </w:r>
            <w:r>
              <w:rPr>
                <w:rFonts w:hint="eastAsia"/>
                <w:bCs/>
                <w:color w:val="000000" w:themeColor="text1"/>
                <w:sz w:val="24"/>
                <w14:textFill>
                  <w14:solidFill>
                    <w14:schemeClr w14:val="tx1"/>
                  </w14:solidFill>
                </w14:textFill>
              </w:rPr>
              <w:t>m</w:t>
            </w:r>
            <w:r>
              <w:rPr>
                <w:rFonts w:hint="eastAsia"/>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/d，福田镇生活污水处理厂的设计处理量为1万m</w:t>
            </w:r>
            <w:r>
              <w:rPr>
                <w:rFonts w:hint="eastAsia"/>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/d，根据其2022年1月-2022年5月在线监控设备数据显示，日排放水量约9672m</w:t>
            </w:r>
            <w:r>
              <w:rPr>
                <w:rFonts w:hint="eastAsia"/>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/d，设计日排放量为10000m</w:t>
            </w:r>
            <w:r>
              <w:rPr>
                <w:rFonts w:hint="eastAsia"/>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/d，还剩余328m</w:t>
            </w:r>
            <w:r>
              <w:rPr>
                <w:rFonts w:hint="eastAsia"/>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/d的处理量，能容纳本项目生活污水排放量</w:t>
            </w:r>
            <w:r>
              <w:rPr>
                <w:bCs/>
                <w:color w:val="000000" w:themeColor="text1"/>
                <w:sz w:val="24"/>
                <w14:textFill>
                  <w14:solidFill>
                    <w14:schemeClr w14:val="tx1"/>
                  </w14:solidFill>
                </w14:textFill>
              </w:rPr>
              <w:t>5.760</w:t>
            </w:r>
            <w:r>
              <w:rPr>
                <w:rFonts w:hint="eastAsia"/>
                <w:bCs/>
                <w:color w:val="000000" w:themeColor="text1"/>
                <w:sz w:val="24"/>
                <w14:textFill>
                  <w14:solidFill>
                    <w14:schemeClr w14:val="tx1"/>
                  </w14:solidFill>
                </w14:textFill>
              </w:rPr>
              <w:t>m</w:t>
            </w:r>
            <w:r>
              <w:rPr>
                <w:rFonts w:hint="eastAsia"/>
                <w:bCs/>
                <w:color w:val="000000" w:themeColor="text1"/>
                <w:sz w:val="24"/>
                <w:vertAlign w:val="superscript"/>
                <w14:textFill>
                  <w14:solidFill>
                    <w14:schemeClr w14:val="tx1"/>
                  </w14:solidFill>
                </w14:textFill>
              </w:rPr>
              <w:t>3</w:t>
            </w:r>
            <w:r>
              <w:rPr>
                <w:rFonts w:hint="eastAsia"/>
                <w:bCs/>
                <w:color w:val="000000" w:themeColor="text1"/>
                <w:sz w:val="24"/>
                <w14:textFill>
                  <w14:solidFill>
                    <w14:schemeClr w14:val="tx1"/>
                  </w14:solidFill>
                </w14:textFill>
              </w:rPr>
              <w:t>/d，故项目生活污水经化粪池预处理后排入市政污水管网进入福田镇生活污水处理厂进行处理的方案可行。经处理后，项目水质情况及污水处理厂进出水主要水质指标如下表所示：</w:t>
            </w:r>
          </w:p>
          <w:p>
            <w:pPr>
              <w:pStyle w:val="47"/>
              <w:jc w:val="center"/>
              <w:rPr>
                <w:rFonts w:ascii="Times New Roman"/>
                <w:b/>
                <w:bCs/>
                <w:color w:val="000000" w:themeColor="text1"/>
                <w:sz w:val="21"/>
                <w:szCs w:val="21"/>
                <w14:textFill>
                  <w14:solidFill>
                    <w14:schemeClr w14:val="tx1"/>
                  </w14:solidFill>
                </w14:textFill>
              </w:rPr>
            </w:pPr>
            <w:r>
              <w:rPr>
                <w:rFonts w:ascii="Times New Roman"/>
                <w:b/>
                <w:bCs/>
                <w:color w:val="000000" w:themeColor="text1"/>
                <w:sz w:val="21"/>
                <w:szCs w:val="21"/>
                <w14:textFill>
                  <w14:solidFill>
                    <w14:schemeClr w14:val="tx1"/>
                  </w14:solidFill>
                </w14:textFill>
              </w:rPr>
              <w:t>表4-</w:t>
            </w:r>
            <w:r>
              <w:rPr>
                <w:rFonts w:hint="eastAsia" w:ascii="Times New Roman"/>
                <w:b/>
                <w:bCs/>
                <w:color w:val="000000" w:themeColor="text1"/>
                <w:sz w:val="21"/>
                <w:szCs w:val="21"/>
                <w14:textFill>
                  <w14:solidFill>
                    <w14:schemeClr w14:val="tx1"/>
                  </w14:solidFill>
                </w14:textFill>
              </w:rPr>
              <w:t>1</w:t>
            </w:r>
            <w:r>
              <w:rPr>
                <w:rFonts w:ascii="Times New Roman"/>
                <w:b/>
                <w:bCs/>
                <w:color w:val="000000" w:themeColor="text1"/>
                <w:sz w:val="21"/>
                <w:szCs w:val="21"/>
                <w14:textFill>
                  <w14:solidFill>
                    <w14:schemeClr w14:val="tx1"/>
                  </w14:solidFill>
                </w14:textFill>
              </w:rPr>
              <w:t>2  项目水质情况及污水处理场进、出水主要水质指标</w:t>
            </w:r>
          </w:p>
          <w:tbl>
            <w:tblPr>
              <w:tblStyle w:val="39"/>
              <w:tblW w:w="497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8"/>
              <w:gridCol w:w="974"/>
              <w:gridCol w:w="1005"/>
              <w:gridCol w:w="1020"/>
              <w:gridCol w:w="930"/>
              <w:gridCol w:w="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1"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污染物</w:t>
                  </w:r>
                </w:p>
              </w:tc>
              <w:tc>
                <w:tcPr>
                  <w:tcW w:w="599"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CODcr</w:t>
                  </w:r>
                </w:p>
              </w:tc>
              <w:tc>
                <w:tcPr>
                  <w:tcW w:w="618"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BOD</w:t>
                  </w:r>
                  <w:r>
                    <w:rPr>
                      <w:b/>
                      <w:bCs/>
                      <w:color w:val="000000" w:themeColor="text1"/>
                      <w:vertAlign w:val="subscript"/>
                      <w14:textFill>
                        <w14:solidFill>
                          <w14:schemeClr w14:val="tx1"/>
                        </w14:solidFill>
                      </w14:textFill>
                    </w:rPr>
                    <w:t>5</w:t>
                  </w:r>
                </w:p>
              </w:tc>
              <w:tc>
                <w:tcPr>
                  <w:tcW w:w="627"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SS</w:t>
                  </w:r>
                </w:p>
              </w:tc>
              <w:tc>
                <w:tcPr>
                  <w:tcW w:w="572" w:type="pct"/>
                  <w:vAlign w:val="center"/>
                </w:tcPr>
                <w:p>
                  <w:pPr>
                    <w:jc w:val="center"/>
                    <w:rPr>
                      <w:b/>
                      <w:bCs/>
                      <w:color w:val="000000" w:themeColor="text1"/>
                      <w14:textFill>
                        <w14:solidFill>
                          <w14:schemeClr w14:val="tx1"/>
                        </w14:solidFill>
                      </w14:textFill>
                    </w:rPr>
                  </w:pPr>
                  <w:r>
                    <w:rPr>
                      <w:b/>
                      <w:bCs/>
                      <w:color w:val="000000" w:themeColor="text1"/>
                      <w14:textFill>
                        <w14:solidFill>
                          <w14:schemeClr w14:val="tx1"/>
                        </w14:solidFill>
                      </w14:textFill>
                    </w:rPr>
                    <w:t>NH</w:t>
                  </w:r>
                  <w:r>
                    <w:rPr>
                      <w:b/>
                      <w:bCs/>
                      <w:color w:val="000000" w:themeColor="text1"/>
                      <w:vertAlign w:val="subscript"/>
                      <w14:textFill>
                        <w14:solidFill>
                          <w14:schemeClr w14:val="tx1"/>
                        </w14:solidFill>
                      </w14:textFill>
                    </w:rPr>
                    <w:t>3</w:t>
                  </w:r>
                  <w:r>
                    <w:rPr>
                      <w:b/>
                      <w:bCs/>
                      <w:color w:val="000000" w:themeColor="text1"/>
                      <w14:textFill>
                        <w14:solidFill>
                          <w14:schemeClr w14:val="tx1"/>
                        </w14:solidFill>
                      </w14:textFill>
                    </w:rPr>
                    <w:t>-N</w:t>
                  </w:r>
                </w:p>
              </w:tc>
              <w:tc>
                <w:tcPr>
                  <w:tcW w:w="590" w:type="pct"/>
                  <w:vAlign w:val="center"/>
                </w:tcPr>
                <w:p>
                  <w:pPr>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5" w:hRule="atLeast"/>
              </w:trPr>
              <w:tc>
                <w:tcPr>
                  <w:tcW w:w="199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本项目生活污水水质（mg/L）</w:t>
                  </w:r>
                </w:p>
              </w:tc>
              <w:tc>
                <w:tcPr>
                  <w:tcW w:w="59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250</w:t>
                  </w:r>
                </w:p>
              </w:tc>
              <w:tc>
                <w:tcPr>
                  <w:tcW w:w="61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0</w:t>
                  </w:r>
                </w:p>
              </w:tc>
              <w:tc>
                <w:tcPr>
                  <w:tcW w:w="627"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0</w:t>
                  </w:r>
                </w:p>
              </w:tc>
              <w:tc>
                <w:tcPr>
                  <w:tcW w:w="57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30</w:t>
                  </w:r>
                </w:p>
              </w:tc>
              <w:tc>
                <w:tcPr>
                  <w:tcW w:w="590"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预处理后排放水质（mg/L）</w:t>
                  </w:r>
                </w:p>
              </w:tc>
              <w:tc>
                <w:tcPr>
                  <w:tcW w:w="59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200</w:t>
                  </w:r>
                </w:p>
              </w:tc>
              <w:tc>
                <w:tcPr>
                  <w:tcW w:w="61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25</w:t>
                  </w:r>
                </w:p>
              </w:tc>
              <w:tc>
                <w:tcPr>
                  <w:tcW w:w="627"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25</w:t>
                  </w:r>
                </w:p>
              </w:tc>
              <w:tc>
                <w:tcPr>
                  <w:tcW w:w="57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590"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广东省《水污染物排放标准》（DB44/26-20201）第二时段三级标准（mg/L）</w:t>
                  </w:r>
                </w:p>
              </w:tc>
              <w:tc>
                <w:tcPr>
                  <w:tcW w:w="59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500</w:t>
                  </w:r>
                </w:p>
              </w:tc>
              <w:tc>
                <w:tcPr>
                  <w:tcW w:w="61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300</w:t>
                  </w:r>
                </w:p>
              </w:tc>
              <w:tc>
                <w:tcPr>
                  <w:tcW w:w="627"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400</w:t>
                  </w:r>
                </w:p>
              </w:tc>
              <w:tc>
                <w:tcPr>
                  <w:tcW w:w="57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590"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1"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出水执行标准（mg/L）</w:t>
                  </w:r>
                </w:p>
              </w:tc>
              <w:tc>
                <w:tcPr>
                  <w:tcW w:w="599"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≤40</w:t>
                  </w:r>
                </w:p>
              </w:tc>
              <w:tc>
                <w:tcPr>
                  <w:tcW w:w="618"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627"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w:t>
                  </w:r>
                </w:p>
              </w:tc>
              <w:tc>
                <w:tcPr>
                  <w:tcW w:w="572" w:type="pct"/>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2</w:t>
                  </w:r>
                </w:p>
              </w:tc>
              <w:tc>
                <w:tcPr>
                  <w:tcW w:w="590" w:type="pct"/>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0.4</w:t>
                  </w:r>
                </w:p>
              </w:tc>
            </w:tr>
          </w:tbl>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6、</w:t>
            </w:r>
            <w:r>
              <w:rPr>
                <w:b/>
                <w:bCs/>
                <w:color w:val="000000" w:themeColor="text1"/>
                <w:sz w:val="24"/>
                <w14:textFill>
                  <w14:solidFill>
                    <w14:schemeClr w14:val="tx1"/>
                  </w14:solidFill>
                </w14:textFill>
              </w:rPr>
              <w:t>地表水环境影响评价结论</w:t>
            </w:r>
          </w:p>
          <w:p>
            <w:pPr>
              <w:spacing w:line="460" w:lineRule="exact"/>
              <w:ind w:firstLine="480" w:firstLineChars="200"/>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w:t>
            </w:r>
            <w:r>
              <w:rPr>
                <w:rFonts w:hint="eastAsia"/>
                <w:bCs/>
                <w:color w:val="000000" w:themeColor="text1"/>
                <w:sz w:val="24"/>
                <w14:textFill>
                  <w14:solidFill>
                    <w14:schemeClr w14:val="tx1"/>
                  </w14:solidFill>
                </w14:textFill>
              </w:rPr>
              <w:t>生产废水为水帘柜废水、喷淋塔废水和喷枪清洗废水</w:t>
            </w:r>
            <w:r>
              <w:rPr>
                <w:bCs/>
                <w:color w:val="000000" w:themeColor="text1"/>
                <w:sz w:val="24"/>
                <w14:textFill>
                  <w14:solidFill>
                    <w14:schemeClr w14:val="tx1"/>
                  </w14:solidFill>
                </w14:textFill>
              </w:rPr>
              <w:t>。项目</w:t>
            </w:r>
            <w:r>
              <w:rPr>
                <w:rFonts w:hint="eastAsia"/>
                <w:bCs/>
                <w:color w:val="000000" w:themeColor="text1"/>
                <w:sz w:val="24"/>
                <w14:textFill>
                  <w14:solidFill>
                    <w14:schemeClr w14:val="tx1"/>
                  </w14:solidFill>
                </w14:textFill>
              </w:rPr>
              <w:t>水帘柜废水、喷淋塔废水循环环使用，其定期更换废水交由有资质的单位回收处理，不外排；</w:t>
            </w:r>
            <w:r>
              <w:rPr>
                <w:bCs/>
                <w:color w:val="000000" w:themeColor="text1"/>
                <w:sz w:val="24"/>
                <w14:textFill>
                  <w14:solidFill>
                    <w14:schemeClr w14:val="tx1"/>
                  </w14:solidFill>
                </w14:textFill>
              </w:rPr>
              <w:t>喷枪清洗废水</w:t>
            </w:r>
            <w:r>
              <w:rPr>
                <w:rFonts w:hint="eastAsia"/>
                <w:bCs/>
                <w:color w:val="000000" w:themeColor="text1"/>
                <w:sz w:val="24"/>
                <w14:textFill>
                  <w14:solidFill>
                    <w14:schemeClr w14:val="tx1"/>
                  </w14:solidFill>
                </w14:textFill>
              </w:rPr>
              <w:t>均作为</w:t>
            </w:r>
            <w:r>
              <w:rPr>
                <w:bCs/>
                <w:color w:val="000000" w:themeColor="text1"/>
                <w:sz w:val="24"/>
                <w14:textFill>
                  <w14:solidFill>
                    <w14:schemeClr w14:val="tx1"/>
                  </w14:solidFill>
                </w14:textFill>
              </w:rPr>
              <w:t>危险废物，交由有资质的单位回收处理，不外排。</w:t>
            </w:r>
          </w:p>
          <w:p>
            <w:pPr>
              <w:spacing w:line="360" w:lineRule="auto"/>
              <w:ind w:firstLine="480" w:firstLineChars="200"/>
              <w:rPr>
                <w:rFonts w:ascii="宋体" w:hAnsi="宋体"/>
                <w:color w:val="000000" w:themeColor="text1"/>
                <w:sz w:val="24"/>
                <w14:textFill>
                  <w14:solidFill>
                    <w14:schemeClr w14:val="tx1"/>
                  </w14:solidFill>
                </w14:textFill>
              </w:rPr>
            </w:pPr>
            <w:r>
              <w:rPr>
                <w:bCs/>
                <w:color w:val="000000" w:themeColor="text1"/>
                <w:sz w:val="24"/>
                <w14:textFill>
                  <w14:solidFill>
                    <w14:schemeClr w14:val="tx1"/>
                  </w14:solidFill>
                </w14:textFill>
              </w:rPr>
              <w:t>生活污水经</w:t>
            </w:r>
            <w:r>
              <w:rPr>
                <w:rFonts w:hint="eastAsia"/>
                <w:bCs/>
                <w:color w:val="000000" w:themeColor="text1"/>
                <w:sz w:val="24"/>
                <w14:textFill>
                  <w14:solidFill>
                    <w14:schemeClr w14:val="tx1"/>
                  </w14:solidFill>
                </w14:textFill>
              </w:rPr>
              <w:t>隔油隔渣、</w:t>
            </w:r>
            <w:r>
              <w:rPr>
                <w:bCs/>
                <w:color w:val="000000" w:themeColor="text1"/>
                <w:sz w:val="24"/>
                <w14:textFill>
                  <w14:solidFill>
                    <w14:schemeClr w14:val="tx1"/>
                  </w14:solidFill>
                </w14:textFill>
              </w:rPr>
              <w:t>三级化粪池预处理，达到广东省《水污染物排放限值》（DB44/26-2001）第二时段三级标准后排入市政污水管网，进入福田镇生活污水处理厂集中处理，福田镇生活污水处理厂尾水排放执行《城镇污水处理厂污染物排放标准》（GB18918-2002）一级标准的A类标准以及广东省地方标准《水污染物排放限值》（DB44/26-2001）第二时段一级标准中的较严值后排入福田河，其中氨氮和总磷执行《地表水环境质量标准》（GB3838-2002）的Ⅴ类标准</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对福田河水质影响不大</w:t>
            </w:r>
            <w:r>
              <w:rPr>
                <w:color w:val="000000" w:themeColor="text1"/>
                <w:sz w:val="24"/>
                <w14:textFill>
                  <w14:solidFill>
                    <w14:schemeClr w14:val="tx1"/>
                  </w14:solidFill>
                </w14:textFill>
              </w:rPr>
              <w:t>。</w:t>
            </w:r>
          </w:p>
          <w:p>
            <w:pPr>
              <w:spacing w:line="360" w:lineRule="auto"/>
              <w:ind w:firstLine="482" w:firstLineChars="200"/>
              <w:rPr>
                <w:b/>
                <w:color w:val="000000" w:themeColor="text1"/>
                <w:sz w:val="24"/>
                <w:szCs w:val="22"/>
                <w14:textFill>
                  <w14:solidFill>
                    <w14:schemeClr w14:val="tx1"/>
                  </w14:solidFill>
                </w14:textFill>
              </w:rPr>
            </w:pPr>
            <w:r>
              <w:rPr>
                <w:b/>
                <w:color w:val="000000" w:themeColor="text1"/>
                <w:sz w:val="24"/>
                <w:szCs w:val="22"/>
                <w14:textFill>
                  <w14:solidFill>
                    <w14:schemeClr w14:val="tx1"/>
                  </w14:solidFill>
                </w14:textFill>
              </w:rPr>
              <w:t>三、噪声</w:t>
            </w:r>
            <w:r>
              <w:rPr>
                <w:rFonts w:hint="eastAsia"/>
                <w:b/>
                <w:color w:val="000000" w:themeColor="text1"/>
                <w:sz w:val="24"/>
                <w:szCs w:val="22"/>
                <w14:textFill>
                  <w14:solidFill>
                    <w14:schemeClr w14:val="tx1"/>
                  </w14:solidFill>
                </w14:textFill>
              </w:rPr>
              <w:t>环境</w:t>
            </w:r>
            <w:r>
              <w:rPr>
                <w:b/>
                <w:color w:val="000000" w:themeColor="text1"/>
                <w:sz w:val="24"/>
                <w:szCs w:val="22"/>
                <w14:textFill>
                  <w14:solidFill>
                    <w14:schemeClr w14:val="tx1"/>
                  </w14:solidFill>
                </w14:textFill>
              </w:rPr>
              <w:t>影响分析</w:t>
            </w:r>
          </w:p>
          <w:p>
            <w:pPr>
              <w:spacing w:line="360" w:lineRule="auto"/>
              <w:ind w:firstLine="482" w:firstLineChars="200"/>
              <w:rPr>
                <w:b/>
                <w:color w:val="000000" w:themeColor="text1"/>
                <w:sz w:val="24"/>
                <w:szCs w:val="22"/>
                <w14:textFill>
                  <w14:solidFill>
                    <w14:schemeClr w14:val="tx1"/>
                  </w14:solidFill>
                </w14:textFill>
              </w:rPr>
            </w:pPr>
            <w:r>
              <w:rPr>
                <w:b/>
                <w:color w:val="000000" w:themeColor="text1"/>
                <w:sz w:val="24"/>
                <w:szCs w:val="22"/>
                <w14:textFill>
                  <w14:solidFill>
                    <w14:schemeClr w14:val="tx1"/>
                  </w14:solidFill>
                </w14:textFill>
              </w:rPr>
              <w:t>1、主要噪声源强</w:t>
            </w:r>
          </w:p>
          <w:p>
            <w:pPr>
              <w:pStyle w:val="47"/>
              <w:spacing w:line="360" w:lineRule="auto"/>
              <w:ind w:firstLine="480" w:firstLineChars="200"/>
              <w:rPr>
                <w:color w:val="000000" w:themeColor="text1"/>
                <w:lang w:val="zh-CN"/>
                <w14:textFill>
                  <w14:solidFill>
                    <w14:schemeClr w14:val="tx1"/>
                  </w14:solidFill>
                </w14:textFill>
              </w:rPr>
            </w:pPr>
            <w:r>
              <w:rPr>
                <w:color w:val="000000" w:themeColor="text1"/>
                <w14:textFill>
                  <w14:solidFill>
                    <w14:schemeClr w14:val="tx1"/>
                  </w14:solidFill>
                </w14:textFill>
              </w:rPr>
              <w:t>本项目营运期噪声源主要来自</w:t>
            </w:r>
            <w:r>
              <w:rPr>
                <w:rFonts w:hint="eastAsia"/>
                <w:color w:val="000000" w:themeColor="text1"/>
                <w14:textFill>
                  <w14:solidFill>
                    <w14:schemeClr w14:val="tx1"/>
                  </w14:solidFill>
                </w14:textFill>
              </w:rPr>
              <w:t>生产设备</w:t>
            </w:r>
            <w:r>
              <w:rPr>
                <w:color w:val="000000" w:themeColor="text1"/>
                <w14:textFill>
                  <w14:solidFill>
                    <w14:schemeClr w14:val="tx1"/>
                  </w14:solidFill>
                </w14:textFill>
              </w:rPr>
              <w:t>产生的噪声，噪声</w:t>
            </w:r>
            <w:r>
              <w:rPr>
                <w:rFonts w:ascii="Times New Roman"/>
                <w:color w:val="000000" w:themeColor="text1"/>
                <w14:textFill>
                  <w14:solidFill>
                    <w14:schemeClr w14:val="tx1"/>
                  </w14:solidFill>
                </w14:textFill>
              </w:rPr>
              <w:t>级范围在70-90dB(A)之间。项目所有设备均安装在室内，其噪声量由建筑物的墙、门、窗等综合而成，运营期间门窗紧闭，类似形成隔声间；同时对生产设备底座采取减震处理。根据刘惠玲主编《噪声控制技术》（2002年10月第1版），采用隔声间（室）技术措施，降噪效果可达20~40dB（A）；减振降噪处理效果可达5~25dB（A）。本项目墙体隔声降噪效果取20dB（A），减振降噪效果取5dB（A）</w:t>
            </w:r>
            <w:r>
              <w:rPr>
                <w:rFonts w:hint="eastAsia" w:ascii="Times New Roman"/>
                <w:color w:val="000000" w:themeColor="text1"/>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本项目各噪声源源强见表4-1</w:t>
            </w: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w:t>
            </w:r>
          </w:p>
          <w:p>
            <w:pPr>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表4-13 噪声污染源源强核算结果及相关参数一览表</w:t>
            </w:r>
          </w:p>
          <w:tbl>
            <w:tblPr>
              <w:tblStyle w:val="39"/>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864"/>
              <w:gridCol w:w="709"/>
              <w:gridCol w:w="1496"/>
              <w:gridCol w:w="609"/>
              <w:gridCol w:w="1105"/>
              <w:gridCol w:w="875"/>
              <w:gridCol w:w="667"/>
              <w:gridCol w:w="587"/>
              <w:gridCol w:w="12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864" w:type="dxa"/>
                  <w:vMerge w:val="restar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噪声源强</w:t>
                  </w:r>
                </w:p>
              </w:tc>
              <w:tc>
                <w:tcPr>
                  <w:tcW w:w="709" w:type="dxa"/>
                  <w:vMerge w:val="restar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声源类型</w:t>
                  </w:r>
                </w:p>
              </w:tc>
              <w:tc>
                <w:tcPr>
                  <w:tcW w:w="3210" w:type="dxa"/>
                  <w:gridSpan w:val="3"/>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噪声产生情况</w:t>
                  </w:r>
                </w:p>
              </w:tc>
              <w:tc>
                <w:tcPr>
                  <w:tcW w:w="0" w:type="auto"/>
                  <w:gridSpan w:val="2"/>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降噪措施</w:t>
                  </w:r>
                </w:p>
              </w:tc>
              <w:tc>
                <w:tcPr>
                  <w:tcW w:w="0" w:type="auto"/>
                  <w:vMerge w:val="restar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噪声源</w:t>
                  </w:r>
                </w:p>
              </w:tc>
              <w:tc>
                <w:tcPr>
                  <w:tcW w:w="0" w:type="auto"/>
                  <w:vMerge w:val="restart"/>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持续时间（h/d）</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40" w:hRule="atLeast"/>
                <w:jc w:val="center"/>
              </w:trPr>
              <w:tc>
                <w:tcPr>
                  <w:tcW w:w="864" w:type="dxa"/>
                  <w:vMerge w:val="continue"/>
                  <w:tcBorders>
                    <w:tl2br w:val="nil"/>
                    <w:tr2bl w:val="nil"/>
                  </w:tcBorders>
                  <w:vAlign w:val="center"/>
                </w:tcPr>
                <w:p>
                  <w:pPr>
                    <w:jc w:val="center"/>
                    <w:rPr>
                      <w:b/>
                      <w:bCs/>
                      <w:color w:val="000000" w:themeColor="text1"/>
                      <w:szCs w:val="21"/>
                      <w14:textFill>
                        <w14:solidFill>
                          <w14:schemeClr w14:val="tx1"/>
                        </w14:solidFill>
                      </w14:textFill>
                    </w:rPr>
                  </w:pPr>
                </w:p>
              </w:tc>
              <w:tc>
                <w:tcPr>
                  <w:tcW w:w="709" w:type="dxa"/>
                  <w:vMerge w:val="continue"/>
                  <w:tcBorders>
                    <w:tl2br w:val="nil"/>
                    <w:tr2bl w:val="nil"/>
                  </w:tcBorders>
                  <w:vAlign w:val="center"/>
                </w:tcPr>
                <w:p>
                  <w:pPr>
                    <w:jc w:val="center"/>
                    <w:rPr>
                      <w:b/>
                      <w:bCs/>
                      <w:color w:val="000000" w:themeColor="text1"/>
                      <w:szCs w:val="21"/>
                      <w14:textFill>
                        <w14:solidFill>
                          <w14:schemeClr w14:val="tx1"/>
                        </w14:solidFill>
                      </w14:textFill>
                    </w:rPr>
                  </w:pPr>
                </w:p>
              </w:tc>
              <w:tc>
                <w:tcPr>
                  <w:tcW w:w="1496" w:type="dxa"/>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单台设备外1m处等效声级dB(A)</w:t>
                  </w:r>
                </w:p>
              </w:tc>
              <w:tc>
                <w:tcPr>
                  <w:tcW w:w="0" w:type="auto"/>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数量/台</w:t>
                  </w:r>
                </w:p>
              </w:tc>
              <w:tc>
                <w:tcPr>
                  <w:tcW w:w="0" w:type="auto"/>
                  <w:tcBorders>
                    <w:bottom w:val="single" w:color="auto" w:sz="4" w:space="0"/>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叠加源强dB(A)</w:t>
                  </w:r>
                </w:p>
              </w:tc>
              <w:tc>
                <w:tcPr>
                  <w:tcW w:w="0" w:type="auto"/>
                  <w:tcBorders>
                    <w:bottom w:val="single" w:color="auto" w:sz="4" w:space="0"/>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工艺</w:t>
                  </w:r>
                </w:p>
              </w:tc>
              <w:tc>
                <w:tcPr>
                  <w:tcW w:w="0" w:type="auto"/>
                  <w:tcBorders>
                    <w:tl2br w:val="nil"/>
                    <w:tr2bl w:val="nil"/>
                  </w:tcBorders>
                  <w:vAlign w:val="center"/>
                </w:tcPr>
                <w:p>
                  <w:pPr>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降噪效果</w:t>
                  </w:r>
                </w:p>
              </w:tc>
              <w:tc>
                <w:tcPr>
                  <w:tcW w:w="0" w:type="auto"/>
                  <w:vMerge w:val="continue"/>
                  <w:tcBorders>
                    <w:tl2br w:val="nil"/>
                    <w:tr2bl w:val="nil"/>
                  </w:tcBorders>
                  <w:vAlign w:val="center"/>
                </w:tcPr>
                <w:p>
                  <w:pPr>
                    <w:jc w:val="center"/>
                    <w:rPr>
                      <w:b/>
                      <w:bCs/>
                      <w:color w:val="000000" w:themeColor="text1"/>
                      <w:szCs w:val="21"/>
                      <w14:textFill>
                        <w14:solidFill>
                          <w14:schemeClr w14:val="tx1"/>
                        </w14:solidFill>
                      </w14:textFill>
                    </w:rPr>
                  </w:pPr>
                </w:p>
              </w:tc>
              <w:tc>
                <w:tcPr>
                  <w:tcW w:w="0" w:type="auto"/>
                  <w:vMerge w:val="continue"/>
                  <w:tcBorders>
                    <w:tl2br w:val="nil"/>
                    <w:tr2bl w:val="nil"/>
                  </w:tcBorders>
                  <w:vAlign w:val="center"/>
                </w:tcPr>
                <w:p>
                  <w:pPr>
                    <w:jc w:val="center"/>
                    <w:rPr>
                      <w:b/>
                      <w:bCs/>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64"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szCs w:val="21"/>
                    </w:rPr>
                    <w:t>开料机</w:t>
                  </w:r>
                </w:p>
              </w:tc>
              <w:tc>
                <w:tcPr>
                  <w:tcW w:w="709"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频发</w:t>
                  </w:r>
                </w:p>
              </w:tc>
              <w:tc>
                <w:tcPr>
                  <w:tcW w:w="1496"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80</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szCs w:val="21"/>
                    </w:rPr>
                    <w:t>4</w:t>
                  </w:r>
                </w:p>
              </w:tc>
              <w:tc>
                <w:tcPr>
                  <w:tcW w:w="0" w:type="auto"/>
                  <w:tcBorders>
                    <w:top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r>
                    <w:rPr>
                      <w:color w:val="000000" w:themeColor="text1"/>
                      <w:szCs w:val="21"/>
                      <w14:textFill>
                        <w14:solidFill>
                          <w14:schemeClr w14:val="tx1"/>
                        </w14:solidFill>
                      </w14:textFill>
                    </w:rPr>
                    <w:t>6</w:t>
                  </w:r>
                </w:p>
              </w:tc>
              <w:tc>
                <w:tcPr>
                  <w:tcW w:w="0" w:type="auto"/>
                  <w:vMerge w:val="restart"/>
                  <w:tcBorders>
                    <w:top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减震、隔音</w:t>
                  </w:r>
                </w:p>
              </w:tc>
              <w:tc>
                <w:tcPr>
                  <w:tcW w:w="0" w:type="auto"/>
                  <w:tcBorders>
                    <w:bottom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0" w:type="auto"/>
                  <w:tcBorders>
                    <w:bottom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r>
                    <w:rPr>
                      <w:color w:val="000000" w:themeColor="text1"/>
                      <w:szCs w:val="21"/>
                      <w14:textFill>
                        <w14:solidFill>
                          <w14:schemeClr w14:val="tx1"/>
                        </w14:solidFill>
                      </w14:textFill>
                    </w:rPr>
                    <w:t>1</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64" w:type="dxa"/>
                  <w:tcBorders>
                    <w:tl2br w:val="nil"/>
                    <w:tr2bl w:val="nil"/>
                  </w:tcBorders>
                  <w:vAlign w:val="center"/>
                </w:tcPr>
                <w:p>
                  <w:pPr>
                    <w:adjustRightInd w:val="0"/>
                    <w:snapToGrid w:val="0"/>
                    <w:jc w:val="center"/>
                    <w:rPr>
                      <w:color w:val="000000" w:themeColor="text1"/>
                      <w14:textFill>
                        <w14:solidFill>
                          <w14:schemeClr w14:val="tx1"/>
                        </w14:solidFill>
                      </w14:textFill>
                    </w:rPr>
                  </w:pPr>
                  <w:r>
                    <w:rPr>
                      <w:rFonts w:hint="eastAsia"/>
                      <w:szCs w:val="21"/>
                    </w:rPr>
                    <w:t>切割机</w:t>
                  </w:r>
                </w:p>
              </w:tc>
              <w:tc>
                <w:tcPr>
                  <w:tcW w:w="709"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频发</w:t>
                  </w:r>
                </w:p>
              </w:tc>
              <w:tc>
                <w:tcPr>
                  <w:tcW w:w="1496"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80</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szCs w:val="21"/>
                    </w:rPr>
                    <w:t>4</w:t>
                  </w:r>
                </w:p>
              </w:tc>
              <w:tc>
                <w:tcPr>
                  <w:tcW w:w="0" w:type="auto"/>
                  <w:tcBorders>
                    <w:top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r>
                    <w:rPr>
                      <w:color w:val="000000" w:themeColor="text1"/>
                      <w:szCs w:val="21"/>
                      <w14:textFill>
                        <w14:solidFill>
                          <w14:schemeClr w14:val="tx1"/>
                        </w14:solidFill>
                      </w14:textFill>
                    </w:rPr>
                    <w:t>6</w:t>
                  </w:r>
                </w:p>
              </w:tc>
              <w:tc>
                <w:tcPr>
                  <w:tcW w:w="0" w:type="auto"/>
                  <w:vMerge w:val="continue"/>
                  <w:tcBorders>
                    <w:tl2br w:val="nil"/>
                    <w:tr2bl w:val="nil"/>
                  </w:tcBorders>
                  <w:vAlign w:val="center"/>
                </w:tcPr>
                <w:p>
                  <w:pPr>
                    <w:adjustRightInd w:val="0"/>
                    <w:snapToGrid w:val="0"/>
                    <w:jc w:val="center"/>
                    <w:rPr>
                      <w:color w:val="000000" w:themeColor="text1"/>
                      <w:szCs w:val="21"/>
                      <w14:textFill>
                        <w14:solidFill>
                          <w14:schemeClr w14:val="tx1"/>
                        </w14:solidFill>
                      </w14:textFill>
                    </w:rPr>
                  </w:pPr>
                </w:p>
              </w:tc>
              <w:tc>
                <w:tcPr>
                  <w:tcW w:w="0" w:type="auto"/>
                  <w:tcBorders>
                    <w:bottom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0" w:type="auto"/>
                  <w:tcBorders>
                    <w:bottom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61</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64" w:type="dxa"/>
                  <w:tcBorders>
                    <w:tl2br w:val="nil"/>
                    <w:tr2bl w:val="nil"/>
                  </w:tcBorders>
                  <w:vAlign w:val="center"/>
                </w:tcPr>
                <w:p>
                  <w:pPr>
                    <w:adjustRightInd w:val="0"/>
                    <w:snapToGrid w:val="0"/>
                    <w:jc w:val="center"/>
                    <w:rPr>
                      <w:bCs/>
                      <w:color w:val="000000" w:themeColor="text1"/>
                      <w:szCs w:val="21"/>
                      <w14:textFill>
                        <w14:solidFill>
                          <w14:schemeClr w14:val="tx1"/>
                        </w14:solidFill>
                      </w14:textFill>
                    </w:rPr>
                  </w:pPr>
                  <w:r>
                    <w:rPr>
                      <w:rFonts w:hint="eastAsia"/>
                      <w:szCs w:val="21"/>
                    </w:rPr>
                    <w:t>雕刻机</w:t>
                  </w:r>
                </w:p>
              </w:tc>
              <w:tc>
                <w:tcPr>
                  <w:tcW w:w="709"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频发</w:t>
                  </w:r>
                </w:p>
              </w:tc>
              <w:tc>
                <w:tcPr>
                  <w:tcW w:w="1496"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80</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szCs w:val="21"/>
                    </w:rPr>
                    <w:t>2</w:t>
                  </w:r>
                </w:p>
              </w:tc>
              <w:tc>
                <w:tcPr>
                  <w:tcW w:w="0" w:type="auto"/>
                  <w:tcBorders>
                    <w:top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83</w:t>
                  </w:r>
                </w:p>
              </w:tc>
              <w:tc>
                <w:tcPr>
                  <w:tcW w:w="0" w:type="auto"/>
                  <w:vMerge w:val="continue"/>
                  <w:tcBorders>
                    <w:tl2br w:val="nil"/>
                    <w:tr2bl w:val="nil"/>
                  </w:tcBorders>
                  <w:vAlign w:val="center"/>
                </w:tcPr>
                <w:p>
                  <w:pPr>
                    <w:adjustRightInd w:val="0"/>
                    <w:snapToGrid w:val="0"/>
                    <w:jc w:val="center"/>
                    <w:rPr>
                      <w:color w:val="000000" w:themeColor="text1"/>
                      <w:szCs w:val="21"/>
                      <w14:textFill>
                        <w14:solidFill>
                          <w14:schemeClr w14:val="tx1"/>
                        </w14:solidFill>
                      </w14:textFill>
                    </w:rPr>
                  </w:pPr>
                </w:p>
              </w:tc>
              <w:tc>
                <w:tcPr>
                  <w:tcW w:w="0" w:type="auto"/>
                  <w:tcBorders>
                    <w:bottom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0" w:type="auto"/>
                  <w:tcBorders>
                    <w:bottom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58</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64" w:type="dxa"/>
                  <w:tcBorders>
                    <w:tl2br w:val="nil"/>
                    <w:tr2bl w:val="nil"/>
                  </w:tcBorders>
                  <w:vAlign w:val="center"/>
                </w:tcPr>
                <w:p>
                  <w:pPr>
                    <w:adjustRightInd w:val="0"/>
                    <w:snapToGrid w:val="0"/>
                    <w:jc w:val="center"/>
                    <w:rPr>
                      <w:bCs/>
                      <w:color w:val="000000" w:themeColor="text1"/>
                      <w:szCs w:val="21"/>
                      <w14:textFill>
                        <w14:solidFill>
                          <w14:schemeClr w14:val="tx1"/>
                        </w14:solidFill>
                      </w14:textFill>
                    </w:rPr>
                  </w:pPr>
                  <w:r>
                    <w:rPr>
                      <w:rFonts w:hint="eastAsia"/>
                      <w:color w:val="000000" w:themeColor="text1"/>
                      <w14:textFill>
                        <w14:solidFill>
                          <w14:schemeClr w14:val="tx1"/>
                        </w14:solidFill>
                      </w14:textFill>
                    </w:rPr>
                    <w:t>打磨机</w:t>
                  </w:r>
                </w:p>
              </w:tc>
              <w:tc>
                <w:tcPr>
                  <w:tcW w:w="709"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频发</w:t>
                  </w:r>
                </w:p>
              </w:tc>
              <w:tc>
                <w:tcPr>
                  <w:tcW w:w="1496"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80</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szCs w:val="21"/>
                    </w:rPr>
                    <w:t>8</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89</w:t>
                  </w:r>
                </w:p>
              </w:tc>
              <w:tc>
                <w:tcPr>
                  <w:tcW w:w="0" w:type="auto"/>
                  <w:vMerge w:val="continue"/>
                  <w:tcBorders>
                    <w:tl2br w:val="nil"/>
                    <w:tr2bl w:val="nil"/>
                  </w:tcBorders>
                  <w:vAlign w:val="center"/>
                </w:tcPr>
                <w:p>
                  <w:pPr>
                    <w:adjustRightInd w:val="0"/>
                    <w:snapToGrid w:val="0"/>
                    <w:jc w:val="center"/>
                    <w:rPr>
                      <w:color w:val="000000" w:themeColor="text1"/>
                      <w:szCs w:val="21"/>
                      <w14:textFill>
                        <w14:solidFill>
                          <w14:schemeClr w14:val="tx1"/>
                        </w14:solidFill>
                      </w14:textFill>
                    </w:rPr>
                  </w:pPr>
                </w:p>
              </w:tc>
              <w:tc>
                <w:tcPr>
                  <w:tcW w:w="0" w:type="auto"/>
                  <w:tcBorders>
                    <w:top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0" w:type="auto"/>
                  <w:tcBorders>
                    <w:top w:val="single" w:color="auto" w:sz="4" w:space="0"/>
                    <w:bottom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64</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64" w:type="dxa"/>
                  <w:tcBorders>
                    <w:tl2br w:val="nil"/>
                    <w:tr2bl w:val="nil"/>
                  </w:tcBorders>
                  <w:vAlign w:val="center"/>
                </w:tcPr>
                <w:p>
                  <w:pPr>
                    <w:adjustRightInd w:val="0"/>
                    <w:snapToGrid w:val="0"/>
                    <w:jc w:val="center"/>
                    <w:rPr>
                      <w:bCs/>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电焊机</w:t>
                  </w:r>
                </w:p>
              </w:tc>
              <w:tc>
                <w:tcPr>
                  <w:tcW w:w="709"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频发</w:t>
                  </w:r>
                </w:p>
              </w:tc>
              <w:tc>
                <w:tcPr>
                  <w:tcW w:w="1496"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70</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0" w:type="auto"/>
                  <w:tcBorders>
                    <w:tl2br w:val="nil"/>
                    <w:tr2bl w:val="nil"/>
                  </w:tcBorders>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73</w:t>
                  </w:r>
                </w:p>
              </w:tc>
              <w:tc>
                <w:tcPr>
                  <w:tcW w:w="0" w:type="auto"/>
                  <w:vMerge w:val="continue"/>
                  <w:tcBorders>
                    <w:tl2br w:val="nil"/>
                    <w:tr2bl w:val="nil"/>
                  </w:tcBorders>
                  <w:vAlign w:val="center"/>
                </w:tcPr>
                <w:p>
                  <w:pPr>
                    <w:adjustRightInd w:val="0"/>
                    <w:snapToGrid w:val="0"/>
                    <w:jc w:val="center"/>
                    <w:rPr>
                      <w:color w:val="000000" w:themeColor="text1"/>
                      <w:szCs w:val="21"/>
                      <w14:textFill>
                        <w14:solidFill>
                          <w14:schemeClr w14:val="tx1"/>
                        </w14:solidFill>
                      </w14:textFill>
                    </w:rPr>
                  </w:pPr>
                </w:p>
              </w:tc>
              <w:tc>
                <w:tcPr>
                  <w:tcW w:w="0" w:type="auto"/>
                  <w:tcBorders>
                    <w:bottom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0" w:type="auto"/>
                  <w:tcBorders>
                    <w:top w:val="single" w:color="auto" w:sz="4" w:space="0"/>
                    <w:bottom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48</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864"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空压机</w:t>
                  </w:r>
                </w:p>
              </w:tc>
              <w:tc>
                <w:tcPr>
                  <w:tcW w:w="709"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频发</w:t>
                  </w:r>
                </w:p>
              </w:tc>
              <w:tc>
                <w:tcPr>
                  <w:tcW w:w="1496" w:type="dxa"/>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75</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85</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88</w:t>
                  </w:r>
                </w:p>
              </w:tc>
              <w:tc>
                <w:tcPr>
                  <w:tcW w:w="0" w:type="auto"/>
                  <w:vMerge w:val="continue"/>
                  <w:tcBorders>
                    <w:tl2br w:val="nil"/>
                    <w:tr2bl w:val="nil"/>
                  </w:tcBorders>
                  <w:vAlign w:val="center"/>
                </w:tcPr>
                <w:p>
                  <w:pPr>
                    <w:adjustRightInd w:val="0"/>
                    <w:snapToGrid w:val="0"/>
                    <w:jc w:val="center"/>
                    <w:rPr>
                      <w:color w:val="000000" w:themeColor="text1"/>
                      <w:szCs w:val="21"/>
                      <w14:textFill>
                        <w14:solidFill>
                          <w14:schemeClr w14:val="tx1"/>
                        </w14:solidFill>
                      </w14:textFill>
                    </w:rPr>
                  </w:pPr>
                </w:p>
              </w:tc>
              <w:tc>
                <w:tcPr>
                  <w:tcW w:w="0" w:type="auto"/>
                  <w:tcBorders>
                    <w:top w:val="single" w:color="auto" w:sz="4" w:space="0"/>
                    <w:bottom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25</w:t>
                  </w:r>
                </w:p>
              </w:tc>
              <w:tc>
                <w:tcPr>
                  <w:tcW w:w="0" w:type="auto"/>
                  <w:tcBorders>
                    <w:top w:val="single" w:color="auto" w:sz="4" w:space="0"/>
                    <w:bottom w:val="single" w:color="auto" w:sz="4" w:space="0"/>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63</w:t>
                  </w:r>
                </w:p>
              </w:tc>
              <w:tc>
                <w:tcPr>
                  <w:tcW w:w="0" w:type="auto"/>
                  <w:tcBorders>
                    <w:tl2br w:val="nil"/>
                    <w:tr2bl w:val="nil"/>
                  </w:tcBorders>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8</w:t>
                  </w:r>
                </w:p>
              </w:tc>
            </w:tr>
          </w:tbl>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 xml:space="preserve">2、厂界和环境保护目标达标情况分析 </w:t>
            </w:r>
          </w:p>
          <w:p>
            <w:pPr>
              <w:spacing w:line="360" w:lineRule="auto"/>
              <w:ind w:firstLine="480" w:firstLineChars="200"/>
              <w:rPr>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根据《环境影响评价技术导则</w:t>
            </w:r>
            <w:r>
              <w:rPr>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声环境》</w:t>
            </w:r>
            <w:r>
              <w:rPr>
                <w:color w:val="000000" w:themeColor="text1"/>
                <w:sz w:val="24"/>
                <w14:textFill>
                  <w14:solidFill>
                    <w14:schemeClr w14:val="tx1"/>
                  </w14:solidFill>
                </w14:textFill>
              </w:rPr>
              <w:t>(HJ2.4-2009)</w:t>
            </w:r>
            <w:r>
              <w:rPr>
                <w:rFonts w:hAnsi="宋体"/>
                <w:color w:val="000000" w:themeColor="text1"/>
                <w:sz w:val="24"/>
                <w14:textFill>
                  <w14:solidFill>
                    <w14:schemeClr w14:val="tx1"/>
                  </w14:solidFill>
                </w14:textFill>
              </w:rPr>
              <w:t>对室内声源进行预测。声源位于室内，室内声源可采用等效室外声源声功率级法进行计算。</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①</w:t>
            </w:r>
            <w:r>
              <w:rPr>
                <w:rFonts w:hAnsi="宋体"/>
                <w:color w:val="000000" w:themeColor="text1"/>
                <w:sz w:val="24"/>
                <w14:textFill>
                  <w14:solidFill>
                    <w14:schemeClr w14:val="tx1"/>
                  </w14:solidFill>
                </w14:textFill>
              </w:rPr>
              <w:t>计算某一室内声源靠近围护结构处产生的倍频带声压级：</w:t>
            </w:r>
          </w:p>
          <w:p>
            <w:pPr>
              <w:spacing w:line="360" w:lineRule="auto"/>
              <w:ind w:firstLine="480" w:firstLineChars="200"/>
              <w:jc w:val="center"/>
              <w:rPr>
                <w:color w:val="000000" w:themeColor="text1"/>
                <w:sz w:val="24"/>
                <w14:textFill>
                  <w14:solidFill>
                    <w14:schemeClr w14:val="tx1"/>
                  </w14:solidFill>
                </w14:textFill>
              </w:rPr>
            </w:pPr>
            <w:r>
              <w:rPr>
                <w:color w:val="000000" w:themeColor="text1"/>
                <w:position w:val="-24"/>
                <w:sz w:val="24"/>
                <w14:textFill>
                  <w14:solidFill>
                    <w14:schemeClr w14:val="tx1"/>
                  </w14:solidFill>
                </w14:textFill>
              </w:rPr>
              <w:t>4</w:t>
            </w:r>
            <w:r>
              <w:rPr>
                <w:color w:val="000000" w:themeColor="text1"/>
                <w:position w:val="-24"/>
                <w:sz w:val="24"/>
                <w14:textFill>
                  <w14:solidFill>
                    <w14:schemeClr w14:val="tx1"/>
                  </w14:solidFill>
                </w14:textFill>
              </w:rPr>
              <w:object>
                <v:shape id="_x0000_i1026" o:spt="75" type="#_x0000_t75" style="height:30.55pt;width:135.15pt;" o:ole="t" filled="f" o:preferrelative="t" stroked="f" coordsize="21600,21600">
                  <v:path/>
                  <v:fill on="f" focussize="0,0"/>
                  <v:stroke on="f" joinstyle="miter"/>
                  <v:imagedata r:id="rId32" o:title=""/>
                  <o:lock v:ext="edit" aspectratio="t"/>
                  <w10:wrap type="none"/>
                  <w10:anchorlock/>
                </v:shape>
                <o:OLEObject Type="Embed" ProgID="Equation.3" ShapeID="_x0000_i1026" DrawAspect="Content" ObjectID="_1468075727" r:id="rId31">
                  <o:LockedField>false</o:LockedField>
                </o:OLEObject>
              </w:object>
            </w:r>
          </w:p>
          <w:p>
            <w:pPr>
              <w:spacing w:line="360" w:lineRule="auto"/>
              <w:rPr>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式中：</w:t>
            </w:r>
            <w:r>
              <w:rPr>
                <w:color w:val="000000" w:themeColor="text1"/>
                <w:sz w:val="24"/>
                <w14:textFill>
                  <w14:solidFill>
                    <w14:schemeClr w14:val="tx1"/>
                  </w14:solidFill>
                </w14:textFill>
              </w:rPr>
              <w:t>Q——</w:t>
            </w:r>
            <w:r>
              <w:rPr>
                <w:rFonts w:hAnsi="宋体"/>
                <w:color w:val="000000" w:themeColor="text1"/>
                <w:sz w:val="24"/>
                <w14:textFill>
                  <w14:solidFill>
                    <w14:schemeClr w14:val="tx1"/>
                  </w14:solidFill>
                </w14:textFill>
              </w:rPr>
              <w:t>指向性因数：通常对无指向性声源，当声源放在房间中心时，</w:t>
            </w:r>
            <w:r>
              <w:rPr>
                <w:color w:val="000000" w:themeColor="text1"/>
                <w:sz w:val="24"/>
                <w14:textFill>
                  <w14:solidFill>
                    <w14:schemeClr w14:val="tx1"/>
                  </w14:solidFill>
                </w14:textFill>
              </w:rPr>
              <w:t>Q=1</w:t>
            </w:r>
            <w:r>
              <w:rPr>
                <w:rFonts w:hAnsi="宋体"/>
                <w:color w:val="000000" w:themeColor="text1"/>
                <w:sz w:val="24"/>
                <w14:textFill>
                  <w14:solidFill>
                    <w14:schemeClr w14:val="tx1"/>
                  </w14:solidFill>
                </w14:textFill>
              </w:rPr>
              <w:t>；当放在一面墙的中心时，</w:t>
            </w:r>
            <w:r>
              <w:rPr>
                <w:color w:val="000000" w:themeColor="text1"/>
                <w:sz w:val="24"/>
                <w14:textFill>
                  <w14:solidFill>
                    <w14:schemeClr w14:val="tx1"/>
                  </w14:solidFill>
                </w14:textFill>
              </w:rPr>
              <w:t>Q=2</w:t>
            </w:r>
            <w:r>
              <w:rPr>
                <w:rFonts w:hAnsi="宋体"/>
                <w:color w:val="000000" w:themeColor="text1"/>
                <w:sz w:val="24"/>
                <w14:textFill>
                  <w14:solidFill>
                    <w14:schemeClr w14:val="tx1"/>
                  </w14:solidFill>
                </w14:textFill>
              </w:rPr>
              <w:t>；当放在两面墙夹角时，</w:t>
            </w:r>
            <w:r>
              <w:rPr>
                <w:color w:val="000000" w:themeColor="text1"/>
                <w:sz w:val="24"/>
                <w14:textFill>
                  <w14:solidFill>
                    <w14:schemeClr w14:val="tx1"/>
                  </w14:solidFill>
                </w14:textFill>
              </w:rPr>
              <w:t>Q=4</w:t>
            </w:r>
            <w:r>
              <w:rPr>
                <w:rFonts w:hAnsi="宋体"/>
                <w:color w:val="000000" w:themeColor="text1"/>
                <w:sz w:val="24"/>
                <w14:textFill>
                  <w14:solidFill>
                    <w14:schemeClr w14:val="tx1"/>
                  </w14:solidFill>
                </w14:textFill>
              </w:rPr>
              <w:t>；当放在三面墙夹角处时，</w:t>
            </w:r>
            <w:r>
              <w:rPr>
                <w:color w:val="000000" w:themeColor="text1"/>
                <w:sz w:val="24"/>
                <w14:textFill>
                  <w14:solidFill>
                    <w14:schemeClr w14:val="tx1"/>
                  </w14:solidFill>
                </w14:textFill>
              </w:rPr>
              <w:t>Q=8</w:t>
            </w:r>
            <w:r>
              <w:rPr>
                <w:rFonts w:hAnsi="宋体"/>
                <w:color w:val="000000" w:themeColor="text1"/>
                <w:sz w:val="24"/>
                <w14:textFill>
                  <w14:solidFill>
                    <w14:schemeClr w14:val="tx1"/>
                  </w14:solidFill>
                </w14:textFill>
              </w:rPr>
              <w:t>。</w:t>
            </w:r>
          </w:p>
          <w:p>
            <w:pPr>
              <w:spacing w:line="360" w:lineRule="auto"/>
              <w:ind w:firstLine="720" w:firstLineChars="300"/>
              <w:rPr>
                <w:color w:val="000000" w:themeColor="text1"/>
                <w:sz w:val="24"/>
                <w14:textFill>
                  <w14:solidFill>
                    <w14:schemeClr w14:val="tx1"/>
                  </w14:solidFill>
                </w14:textFill>
              </w:rPr>
            </w:pPr>
            <w:r>
              <w:rPr>
                <w:color w:val="000000" w:themeColor="text1"/>
                <w:sz w:val="24"/>
                <w14:textFill>
                  <w14:solidFill>
                    <w14:schemeClr w14:val="tx1"/>
                  </w14:solidFill>
                </w14:textFill>
              </w:rPr>
              <w:t>R——</w:t>
            </w:r>
            <w:r>
              <w:rPr>
                <w:rFonts w:hAnsi="宋体"/>
                <w:color w:val="000000" w:themeColor="text1"/>
                <w:sz w:val="24"/>
                <w14:textFill>
                  <w14:solidFill>
                    <w14:schemeClr w14:val="tx1"/>
                  </w14:solidFill>
                </w14:textFill>
              </w:rPr>
              <w:t>房间常数：</w:t>
            </w:r>
            <w:r>
              <w:rPr>
                <w:color w:val="000000" w:themeColor="text1"/>
                <w:sz w:val="24"/>
                <w14:textFill>
                  <w14:solidFill>
                    <w14:schemeClr w14:val="tx1"/>
                  </w14:solidFill>
                </w14:textFill>
              </w:rPr>
              <w:t>R=Sa/(1-a)</w:t>
            </w:r>
            <w:r>
              <w:rPr>
                <w:rFonts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S</w:t>
            </w:r>
            <w:r>
              <w:rPr>
                <w:rFonts w:hAnsi="宋体"/>
                <w:color w:val="000000" w:themeColor="text1"/>
                <w:sz w:val="24"/>
                <w14:textFill>
                  <w14:solidFill>
                    <w14:schemeClr w14:val="tx1"/>
                  </w14:solidFill>
                </w14:textFill>
              </w:rPr>
              <w:t>为房间内表面面积，</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2</w:t>
            </w:r>
            <w:r>
              <w:rPr>
                <w:rFonts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a</w:t>
            </w:r>
            <w:r>
              <w:rPr>
                <w:rFonts w:hAnsi="宋体"/>
                <w:color w:val="000000" w:themeColor="text1"/>
                <w:sz w:val="24"/>
                <w14:textFill>
                  <w14:solidFill>
                    <w14:schemeClr w14:val="tx1"/>
                  </w14:solidFill>
                </w14:textFill>
              </w:rPr>
              <w:t>为平均吸声系数。</w:t>
            </w:r>
          </w:p>
          <w:p>
            <w:pPr>
              <w:spacing w:line="360" w:lineRule="auto"/>
              <w:ind w:firstLine="720" w:firstLineChars="300"/>
              <w:rPr>
                <w:color w:val="000000" w:themeColor="text1"/>
                <w:sz w:val="24"/>
                <w14:textFill>
                  <w14:solidFill>
                    <w14:schemeClr w14:val="tx1"/>
                  </w14:solidFill>
                </w14:textFill>
              </w:rPr>
            </w:pPr>
            <w:r>
              <w:rPr>
                <w:color w:val="000000" w:themeColor="text1"/>
                <w:sz w:val="24"/>
                <w14:textFill>
                  <w14:solidFill>
                    <w14:schemeClr w14:val="tx1"/>
                  </w14:solidFill>
                </w14:textFill>
              </w:rPr>
              <w:t>r——</w:t>
            </w:r>
            <w:r>
              <w:rPr>
                <w:rFonts w:hAnsi="宋体"/>
                <w:color w:val="000000" w:themeColor="text1"/>
                <w:sz w:val="24"/>
                <w14:textFill>
                  <w14:solidFill>
                    <w14:schemeClr w14:val="tx1"/>
                  </w14:solidFill>
                </w14:textFill>
              </w:rPr>
              <w:t>声源到靠近围护结构某点处的距离，</w:t>
            </w:r>
            <w:r>
              <w:rPr>
                <w:color w:val="000000" w:themeColor="text1"/>
                <w:sz w:val="24"/>
                <w14:textFill>
                  <w14:solidFill>
                    <w14:schemeClr w14:val="tx1"/>
                  </w14:solidFill>
                </w14:textFill>
              </w:rPr>
              <w:t>m</w:t>
            </w:r>
            <w:r>
              <w:rPr>
                <w:rFonts w:hAnsi="宋体"/>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②</w:t>
            </w:r>
            <w:r>
              <w:rPr>
                <w:rFonts w:hAnsi="宋体"/>
                <w:color w:val="000000" w:themeColor="text1"/>
                <w:sz w:val="24"/>
                <w14:textFill>
                  <w14:solidFill>
                    <w14:schemeClr w14:val="tx1"/>
                  </w14:solidFill>
                </w14:textFill>
              </w:rPr>
              <w:t>计算出所有室内声源在围护结构处产生的</w:t>
            </w:r>
            <w:r>
              <w:rPr>
                <w:color w:val="000000" w:themeColor="text1"/>
                <w:sz w:val="24"/>
                <w14:textFill>
                  <w14:solidFill>
                    <w14:schemeClr w14:val="tx1"/>
                  </w14:solidFill>
                </w14:textFill>
              </w:rPr>
              <w:t>i</w:t>
            </w:r>
            <w:r>
              <w:rPr>
                <w:rFonts w:hAnsi="宋体"/>
                <w:color w:val="000000" w:themeColor="text1"/>
                <w:sz w:val="24"/>
                <w14:textFill>
                  <w14:solidFill>
                    <w14:schemeClr w14:val="tx1"/>
                  </w14:solidFill>
                </w14:textFill>
              </w:rPr>
              <w:t>倍频带叠加声压级：</w:t>
            </w:r>
          </w:p>
          <w:p>
            <w:pPr>
              <w:spacing w:line="360" w:lineRule="auto"/>
              <w:ind w:firstLine="480" w:firstLineChars="200"/>
              <w:jc w:val="center"/>
              <w:rPr>
                <w:color w:val="000000" w:themeColor="text1"/>
                <w:sz w:val="24"/>
                <w14:textFill>
                  <w14:solidFill>
                    <w14:schemeClr w14:val="tx1"/>
                  </w14:solidFill>
                </w14:textFill>
              </w:rPr>
            </w:pPr>
            <w:r>
              <w:rPr>
                <w:color w:val="000000" w:themeColor="text1"/>
                <w:position w:val="-30"/>
                <w:sz w:val="24"/>
                <w14:textFill>
                  <w14:solidFill>
                    <w14:schemeClr w14:val="tx1"/>
                  </w14:solidFill>
                </w14:textFill>
              </w:rPr>
              <w:object>
                <v:shape id="_x0000_i1027" o:spt="75" type="#_x0000_t75" style="height:34.65pt;width:129.05pt;" o:ole="t" filled="f" o:preferrelative="t" stroked="f" coordsize="21600,21600">
                  <v:path/>
                  <v:fill on="f" focussize="0,0"/>
                  <v:stroke on="f" joinstyle="miter"/>
                  <v:imagedata r:id="rId34" o:title=""/>
                  <o:lock v:ext="edit" aspectratio="t"/>
                  <w10:wrap type="none"/>
                  <w10:anchorlock/>
                </v:shape>
                <o:OLEObject Type="Embed" ProgID="Equation.3" ShapeID="_x0000_i1027" DrawAspect="Content" ObjectID="_1468075728" r:id="rId33">
                  <o:LockedField>false</o:LockedField>
                </o:OLEObject>
              </w:object>
            </w:r>
          </w:p>
          <w:p>
            <w:pPr>
              <w:spacing w:line="360" w:lineRule="auto"/>
              <w:rPr>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式中：</w:t>
            </w:r>
            <w:r>
              <w:rPr>
                <w:color w:val="000000" w:themeColor="text1"/>
                <w:sz w:val="24"/>
                <w14:textFill>
                  <w14:solidFill>
                    <w14:schemeClr w14:val="tx1"/>
                  </w14:solidFill>
                </w14:textFill>
              </w:rPr>
              <w:t>Lp</w:t>
            </w:r>
            <w:r>
              <w:rPr>
                <w:color w:val="000000" w:themeColor="text1"/>
                <w:sz w:val="24"/>
                <w:vertAlign w:val="subscript"/>
                <w14:textFill>
                  <w14:solidFill>
                    <w14:schemeClr w14:val="tx1"/>
                  </w14:solidFill>
                </w14:textFill>
              </w:rPr>
              <w:t>1i</w:t>
            </w:r>
            <w:r>
              <w:rPr>
                <w:color w:val="000000" w:themeColor="text1"/>
                <w:sz w:val="24"/>
                <w14:textFill>
                  <w14:solidFill>
                    <w14:schemeClr w14:val="tx1"/>
                  </w14:solidFill>
                </w14:textFill>
              </w:rPr>
              <w:t>(T)——</w:t>
            </w:r>
            <w:r>
              <w:rPr>
                <w:rFonts w:hAnsi="宋体"/>
                <w:color w:val="000000" w:themeColor="text1"/>
                <w:sz w:val="24"/>
                <w14:textFill>
                  <w14:solidFill>
                    <w14:schemeClr w14:val="tx1"/>
                  </w14:solidFill>
                </w14:textFill>
              </w:rPr>
              <w:t>靠近围护结构处室内</w:t>
            </w:r>
            <w:r>
              <w:rPr>
                <w:color w:val="000000" w:themeColor="text1"/>
                <w:sz w:val="24"/>
                <w14:textFill>
                  <w14:solidFill>
                    <w14:schemeClr w14:val="tx1"/>
                  </w14:solidFill>
                </w14:textFill>
              </w:rPr>
              <w:t>N</w:t>
            </w:r>
            <w:r>
              <w:rPr>
                <w:rFonts w:hAnsi="宋体"/>
                <w:color w:val="000000" w:themeColor="text1"/>
                <w:sz w:val="24"/>
                <w14:textFill>
                  <w14:solidFill>
                    <w14:schemeClr w14:val="tx1"/>
                  </w14:solidFill>
                </w14:textFill>
              </w:rPr>
              <w:t>个声源</w:t>
            </w:r>
            <w:r>
              <w:rPr>
                <w:color w:val="000000" w:themeColor="text1"/>
                <w:sz w:val="24"/>
                <w14:textFill>
                  <w14:solidFill>
                    <w14:schemeClr w14:val="tx1"/>
                  </w14:solidFill>
                </w14:textFill>
              </w:rPr>
              <w:t>i</w:t>
            </w:r>
            <w:r>
              <w:rPr>
                <w:rFonts w:hAnsi="宋体"/>
                <w:color w:val="000000" w:themeColor="text1"/>
                <w:sz w:val="24"/>
                <w14:textFill>
                  <w14:solidFill>
                    <w14:schemeClr w14:val="tx1"/>
                  </w14:solidFill>
                </w14:textFill>
              </w:rPr>
              <w:t>倍频带的叠加声压级，</w:t>
            </w:r>
            <w:r>
              <w:rPr>
                <w:color w:val="000000" w:themeColor="text1"/>
                <w:sz w:val="24"/>
                <w14:textFill>
                  <w14:solidFill>
                    <w14:schemeClr w14:val="tx1"/>
                  </w14:solidFill>
                </w14:textFill>
              </w:rPr>
              <w:t>dB</w:t>
            </w:r>
            <w:r>
              <w:rPr>
                <w:rFonts w:hAnsi="宋体"/>
                <w:color w:val="000000" w:themeColor="text1"/>
                <w:sz w:val="24"/>
                <w14:textFill>
                  <w14:solidFill>
                    <w14:schemeClr w14:val="tx1"/>
                  </w14:solidFill>
                </w14:textFill>
              </w:rPr>
              <w:t>；</w:t>
            </w:r>
          </w:p>
          <w:p>
            <w:pPr>
              <w:spacing w:line="360" w:lineRule="auto"/>
              <w:ind w:firstLine="720" w:firstLineChars="300"/>
              <w:rPr>
                <w:color w:val="000000" w:themeColor="text1"/>
                <w:sz w:val="24"/>
                <w14:textFill>
                  <w14:solidFill>
                    <w14:schemeClr w14:val="tx1"/>
                  </w14:solidFill>
                </w14:textFill>
              </w:rPr>
            </w:pPr>
            <w:r>
              <w:rPr>
                <w:color w:val="000000" w:themeColor="text1"/>
                <w:sz w:val="24"/>
                <w14:textFill>
                  <w14:solidFill>
                    <w14:schemeClr w14:val="tx1"/>
                  </w14:solidFill>
                </w14:textFill>
              </w:rPr>
              <w:t>Lp</w:t>
            </w:r>
            <w:r>
              <w:rPr>
                <w:color w:val="000000" w:themeColor="text1"/>
                <w:sz w:val="24"/>
                <w:vertAlign w:val="subscript"/>
                <w14:textFill>
                  <w14:solidFill>
                    <w14:schemeClr w14:val="tx1"/>
                  </w14:solidFill>
                </w14:textFill>
              </w:rPr>
              <w:t>1ij</w:t>
            </w:r>
            <w:r>
              <w:rPr>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室内</w:t>
            </w:r>
            <w:r>
              <w:rPr>
                <w:color w:val="000000" w:themeColor="text1"/>
                <w:sz w:val="24"/>
                <w14:textFill>
                  <w14:solidFill>
                    <w14:schemeClr w14:val="tx1"/>
                  </w14:solidFill>
                </w14:textFill>
              </w:rPr>
              <w:t>j</w:t>
            </w:r>
            <w:r>
              <w:rPr>
                <w:rFonts w:hAnsi="宋体"/>
                <w:color w:val="000000" w:themeColor="text1"/>
                <w:sz w:val="24"/>
                <w14:textFill>
                  <w14:solidFill>
                    <w14:schemeClr w14:val="tx1"/>
                  </w14:solidFill>
                </w14:textFill>
              </w:rPr>
              <w:t>声源</w:t>
            </w:r>
            <w:r>
              <w:rPr>
                <w:color w:val="000000" w:themeColor="text1"/>
                <w:sz w:val="24"/>
                <w14:textFill>
                  <w14:solidFill>
                    <w14:schemeClr w14:val="tx1"/>
                  </w14:solidFill>
                </w14:textFill>
              </w:rPr>
              <w:t>i</w:t>
            </w:r>
            <w:r>
              <w:rPr>
                <w:rFonts w:hAnsi="宋体"/>
                <w:color w:val="000000" w:themeColor="text1"/>
                <w:sz w:val="24"/>
                <w14:textFill>
                  <w14:solidFill>
                    <w14:schemeClr w14:val="tx1"/>
                  </w14:solidFill>
                </w14:textFill>
              </w:rPr>
              <w:t>倍频带的声压级，</w:t>
            </w:r>
            <w:r>
              <w:rPr>
                <w:color w:val="000000" w:themeColor="text1"/>
                <w:sz w:val="24"/>
                <w14:textFill>
                  <w14:solidFill>
                    <w14:schemeClr w14:val="tx1"/>
                  </w14:solidFill>
                </w14:textFill>
              </w:rPr>
              <w:t>dB</w:t>
            </w:r>
            <w:r>
              <w:rPr>
                <w:rFonts w:hAnsi="宋体"/>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③</w:t>
            </w:r>
            <w:r>
              <w:rPr>
                <w:rFonts w:hAnsi="宋体"/>
                <w:color w:val="000000" w:themeColor="text1"/>
                <w:sz w:val="24"/>
                <w14:textFill>
                  <w14:solidFill>
                    <w14:schemeClr w14:val="tx1"/>
                  </w14:solidFill>
                </w14:textFill>
              </w:rPr>
              <w:t>在室内近似为扩散声场地，按下式计算出靠近室外围护结构处的声压级：</w:t>
            </w:r>
          </w:p>
          <w:p>
            <w:pPr>
              <w:spacing w:line="360" w:lineRule="auto"/>
              <w:ind w:firstLine="480" w:firstLineChars="200"/>
              <w:jc w:val="center"/>
              <w:rPr>
                <w:color w:val="000000" w:themeColor="text1"/>
                <w:sz w:val="24"/>
                <w14:textFill>
                  <w14:solidFill>
                    <w14:schemeClr w14:val="tx1"/>
                  </w14:solidFill>
                </w14:textFill>
              </w:rPr>
            </w:pPr>
            <w:r>
              <w:rPr>
                <w:color w:val="000000" w:themeColor="text1"/>
                <w:position w:val="-16"/>
                <w:sz w:val="24"/>
                <w14:textFill>
                  <w14:solidFill>
                    <w14:schemeClr w14:val="tx1"/>
                  </w14:solidFill>
                </w14:textFill>
              </w:rPr>
              <w:object>
                <v:shape id="_x0000_i1028" o:spt="75" type="#_x0000_t75" style="height:23.75pt;width:165.05pt;" o:ole="t" filled="f" o:preferrelative="t" stroked="f" coordsize="21600,21600">
                  <v:path/>
                  <v:fill on="f" focussize="0,0"/>
                  <v:stroke on="f" joinstyle="miter"/>
                  <v:imagedata r:id="rId36" o:title=""/>
                  <o:lock v:ext="edit" aspectratio="t"/>
                  <w10:wrap type="none"/>
                  <w10:anchorlock/>
                </v:shape>
                <o:OLEObject Type="Embed" ProgID="Equation.3" ShapeID="_x0000_i1028" DrawAspect="Content" ObjectID="_1468075729" r:id="rId35">
                  <o:LockedField>false</o:LockedField>
                </o:OLEObject>
              </w:object>
            </w:r>
          </w:p>
          <w:p>
            <w:pPr>
              <w:spacing w:line="360" w:lineRule="auto"/>
              <w:rPr>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式中：</w:t>
            </w:r>
            <w:r>
              <w:rPr>
                <w:color w:val="000000" w:themeColor="text1"/>
                <w:sz w:val="24"/>
                <w14:textFill>
                  <w14:solidFill>
                    <w14:schemeClr w14:val="tx1"/>
                  </w14:solidFill>
                </w14:textFill>
              </w:rPr>
              <w:t>Lp</w:t>
            </w:r>
            <w:r>
              <w:rPr>
                <w:color w:val="000000" w:themeColor="text1"/>
                <w:sz w:val="24"/>
                <w:vertAlign w:val="subscript"/>
                <w14:textFill>
                  <w14:solidFill>
                    <w14:schemeClr w14:val="tx1"/>
                  </w14:solidFill>
                </w14:textFill>
              </w:rPr>
              <w:t>2i</w:t>
            </w:r>
            <w:r>
              <w:rPr>
                <w:color w:val="000000" w:themeColor="text1"/>
                <w:sz w:val="24"/>
                <w14:textFill>
                  <w14:solidFill>
                    <w14:schemeClr w14:val="tx1"/>
                  </w14:solidFill>
                </w14:textFill>
              </w:rPr>
              <w:t>(T)——</w:t>
            </w:r>
            <w:r>
              <w:rPr>
                <w:rFonts w:hAnsi="宋体"/>
                <w:color w:val="000000" w:themeColor="text1"/>
                <w:sz w:val="24"/>
                <w14:textFill>
                  <w14:solidFill>
                    <w14:schemeClr w14:val="tx1"/>
                  </w14:solidFill>
                </w14:textFill>
              </w:rPr>
              <w:t>靠近围护结构处室外</w:t>
            </w:r>
            <w:r>
              <w:rPr>
                <w:color w:val="000000" w:themeColor="text1"/>
                <w:sz w:val="24"/>
                <w14:textFill>
                  <w14:solidFill>
                    <w14:schemeClr w14:val="tx1"/>
                  </w14:solidFill>
                </w14:textFill>
              </w:rPr>
              <w:t>N</w:t>
            </w:r>
            <w:r>
              <w:rPr>
                <w:rFonts w:hAnsi="宋体"/>
                <w:color w:val="000000" w:themeColor="text1"/>
                <w:sz w:val="24"/>
                <w14:textFill>
                  <w14:solidFill>
                    <w14:schemeClr w14:val="tx1"/>
                  </w14:solidFill>
                </w14:textFill>
              </w:rPr>
              <w:t>个声源</w:t>
            </w:r>
            <w:r>
              <w:rPr>
                <w:color w:val="000000" w:themeColor="text1"/>
                <w:sz w:val="24"/>
                <w14:textFill>
                  <w14:solidFill>
                    <w14:schemeClr w14:val="tx1"/>
                  </w14:solidFill>
                </w14:textFill>
              </w:rPr>
              <w:t>i</w:t>
            </w:r>
            <w:r>
              <w:rPr>
                <w:rFonts w:hAnsi="宋体"/>
                <w:color w:val="000000" w:themeColor="text1"/>
                <w:sz w:val="24"/>
                <w14:textFill>
                  <w14:solidFill>
                    <w14:schemeClr w14:val="tx1"/>
                  </w14:solidFill>
                </w14:textFill>
              </w:rPr>
              <w:t>倍频带的叠加声压级，</w:t>
            </w:r>
            <w:r>
              <w:rPr>
                <w:color w:val="000000" w:themeColor="text1"/>
                <w:sz w:val="24"/>
                <w14:textFill>
                  <w14:solidFill>
                    <w14:schemeClr w14:val="tx1"/>
                  </w14:solidFill>
                </w14:textFill>
              </w:rPr>
              <w:t>dB</w:t>
            </w:r>
            <w:r>
              <w:rPr>
                <w:rFonts w:hAnsi="宋体"/>
                <w:color w:val="000000" w:themeColor="text1"/>
                <w:sz w:val="24"/>
                <w14:textFill>
                  <w14:solidFill>
                    <w14:schemeClr w14:val="tx1"/>
                  </w14:solidFill>
                </w14:textFill>
              </w:rPr>
              <w:t>；</w:t>
            </w:r>
          </w:p>
          <w:p>
            <w:pPr>
              <w:spacing w:line="360" w:lineRule="auto"/>
              <w:ind w:firstLine="756" w:firstLineChars="315"/>
              <w:rPr>
                <w:color w:val="000000" w:themeColor="text1"/>
                <w:sz w:val="24"/>
                <w14:textFill>
                  <w14:solidFill>
                    <w14:schemeClr w14:val="tx1"/>
                  </w14:solidFill>
                </w14:textFill>
              </w:rPr>
            </w:pPr>
            <w:r>
              <w:rPr>
                <w:color w:val="000000" w:themeColor="text1"/>
                <w:sz w:val="24"/>
                <w14:textFill>
                  <w14:solidFill>
                    <w14:schemeClr w14:val="tx1"/>
                  </w14:solidFill>
                </w14:textFill>
              </w:rPr>
              <w:t>TLi——</w:t>
            </w:r>
            <w:r>
              <w:rPr>
                <w:rFonts w:hAnsi="宋体"/>
                <w:color w:val="000000" w:themeColor="text1"/>
                <w:sz w:val="24"/>
                <w14:textFill>
                  <w14:solidFill>
                    <w14:schemeClr w14:val="tx1"/>
                  </w14:solidFill>
                </w14:textFill>
              </w:rPr>
              <w:t>围护结构</w:t>
            </w:r>
            <w:r>
              <w:rPr>
                <w:color w:val="000000" w:themeColor="text1"/>
                <w:sz w:val="24"/>
                <w14:textFill>
                  <w14:solidFill>
                    <w14:schemeClr w14:val="tx1"/>
                  </w14:solidFill>
                </w14:textFill>
              </w:rPr>
              <w:t>i</w:t>
            </w:r>
            <w:r>
              <w:rPr>
                <w:rFonts w:hAnsi="宋体"/>
                <w:color w:val="000000" w:themeColor="text1"/>
                <w:sz w:val="24"/>
                <w14:textFill>
                  <w14:solidFill>
                    <w14:schemeClr w14:val="tx1"/>
                  </w14:solidFill>
                </w14:textFill>
              </w:rPr>
              <w:t>倍频带的隔声量，</w:t>
            </w:r>
            <w:r>
              <w:rPr>
                <w:color w:val="000000" w:themeColor="text1"/>
                <w:sz w:val="24"/>
                <w14:textFill>
                  <w14:solidFill>
                    <w14:schemeClr w14:val="tx1"/>
                  </w14:solidFill>
                </w14:textFill>
              </w:rPr>
              <w:t>dB</w:t>
            </w:r>
            <w:r>
              <w:rPr>
                <w:rFonts w:hAnsi="宋体"/>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④</w:t>
            </w:r>
            <w:r>
              <w:rPr>
                <w:rFonts w:hAnsi="宋体"/>
                <w:color w:val="000000" w:themeColor="text1"/>
                <w:sz w:val="24"/>
                <w14:textFill>
                  <w14:solidFill>
                    <w14:schemeClr w14:val="tx1"/>
                  </w14:solidFill>
                </w14:textFill>
              </w:rPr>
              <w:t>按室外声源预测方法计算预测点处的</w:t>
            </w:r>
            <w:r>
              <w:rPr>
                <w:color w:val="000000" w:themeColor="text1"/>
                <w:sz w:val="24"/>
                <w14:textFill>
                  <w14:solidFill>
                    <w14:schemeClr w14:val="tx1"/>
                  </w14:solidFill>
                </w14:textFill>
              </w:rPr>
              <w:t>A</w:t>
            </w:r>
            <w:r>
              <w:rPr>
                <w:rFonts w:hAnsi="宋体"/>
                <w:color w:val="000000" w:themeColor="text1"/>
                <w:sz w:val="24"/>
                <w14:textFill>
                  <w14:solidFill>
                    <w14:schemeClr w14:val="tx1"/>
                  </w14:solidFill>
                </w14:textFill>
              </w:rPr>
              <w:t>声级。</w:t>
            </w:r>
          </w:p>
          <w:p>
            <w:pPr>
              <w:spacing w:line="360" w:lineRule="auto"/>
              <w:ind w:firstLine="480" w:firstLineChars="200"/>
              <w:rPr>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设第</w:t>
            </w:r>
            <w:r>
              <w:rPr>
                <w:color w:val="000000" w:themeColor="text1"/>
                <w:sz w:val="24"/>
                <w14:textFill>
                  <w14:solidFill>
                    <w14:schemeClr w14:val="tx1"/>
                  </w14:solidFill>
                </w14:textFill>
              </w:rPr>
              <w:t>i</w:t>
            </w:r>
            <w:r>
              <w:rPr>
                <w:rFonts w:hAnsi="宋体"/>
                <w:color w:val="000000" w:themeColor="text1"/>
                <w:sz w:val="24"/>
                <w14:textFill>
                  <w14:solidFill>
                    <w14:schemeClr w14:val="tx1"/>
                  </w14:solidFill>
                </w14:textFill>
              </w:rPr>
              <w:t>个室外声源在预测点产生的</w:t>
            </w:r>
            <w:r>
              <w:rPr>
                <w:color w:val="000000" w:themeColor="text1"/>
                <w:sz w:val="24"/>
                <w14:textFill>
                  <w14:solidFill>
                    <w14:schemeClr w14:val="tx1"/>
                  </w14:solidFill>
                </w14:textFill>
              </w:rPr>
              <w:t>A</w:t>
            </w:r>
            <w:r>
              <w:rPr>
                <w:rFonts w:hAnsi="宋体"/>
                <w:color w:val="000000" w:themeColor="text1"/>
                <w:sz w:val="24"/>
                <w14:textFill>
                  <w14:solidFill>
                    <w14:schemeClr w14:val="tx1"/>
                  </w14:solidFill>
                </w14:textFill>
              </w:rPr>
              <w:t>声级为</w:t>
            </w:r>
            <w:r>
              <w:rPr>
                <w:color w:val="000000" w:themeColor="text1"/>
                <w:sz w:val="24"/>
                <w14:textFill>
                  <w14:solidFill>
                    <w14:schemeClr w14:val="tx1"/>
                  </w14:solidFill>
                </w14:textFill>
              </w:rPr>
              <w:t>L</w:t>
            </w:r>
            <w:r>
              <w:rPr>
                <w:color w:val="000000" w:themeColor="text1"/>
                <w:sz w:val="24"/>
                <w:vertAlign w:val="subscript"/>
                <w14:textFill>
                  <w14:solidFill>
                    <w14:schemeClr w14:val="tx1"/>
                  </w14:solidFill>
                </w14:textFill>
              </w:rPr>
              <w:t>Ai</w:t>
            </w:r>
            <w:r>
              <w:rPr>
                <w:rFonts w:hAnsi="宋体"/>
                <w:color w:val="000000" w:themeColor="text1"/>
                <w:sz w:val="24"/>
                <w14:textFill>
                  <w14:solidFill>
                    <w14:schemeClr w14:val="tx1"/>
                  </w14:solidFill>
                </w14:textFill>
              </w:rPr>
              <w:t>，在</w:t>
            </w:r>
            <w:r>
              <w:rPr>
                <w:color w:val="000000" w:themeColor="text1"/>
                <w:sz w:val="24"/>
                <w14:textFill>
                  <w14:solidFill>
                    <w14:schemeClr w14:val="tx1"/>
                  </w14:solidFill>
                </w14:textFill>
              </w:rPr>
              <w:t>T</w:t>
            </w:r>
            <w:r>
              <w:rPr>
                <w:rFonts w:hAnsi="宋体"/>
                <w:color w:val="000000" w:themeColor="text1"/>
                <w:sz w:val="24"/>
                <w14:textFill>
                  <w14:solidFill>
                    <w14:schemeClr w14:val="tx1"/>
                  </w14:solidFill>
                </w14:textFill>
              </w:rPr>
              <w:t>时间内该声源工作时间为</w:t>
            </w:r>
            <w:r>
              <w:rPr>
                <w:color w:val="000000" w:themeColor="text1"/>
                <w:sz w:val="24"/>
                <w14:textFill>
                  <w14:solidFill>
                    <w14:schemeClr w14:val="tx1"/>
                  </w14:solidFill>
                </w14:textFill>
              </w:rPr>
              <w:t>t</w:t>
            </w:r>
            <w:r>
              <w:rPr>
                <w:color w:val="000000" w:themeColor="text1"/>
                <w:sz w:val="24"/>
                <w:vertAlign w:val="subscript"/>
                <w14:textFill>
                  <w14:solidFill>
                    <w14:schemeClr w14:val="tx1"/>
                  </w14:solidFill>
                </w14:textFill>
              </w:rPr>
              <w:t>i</w:t>
            </w:r>
            <w:r>
              <w:rPr>
                <w:rFonts w:hAnsi="宋体"/>
                <w:color w:val="000000" w:themeColor="text1"/>
                <w:sz w:val="24"/>
                <w14:textFill>
                  <w14:solidFill>
                    <w14:schemeClr w14:val="tx1"/>
                  </w14:solidFill>
                </w14:textFill>
              </w:rPr>
              <w:t>；第</w:t>
            </w:r>
            <w:r>
              <w:rPr>
                <w:color w:val="000000" w:themeColor="text1"/>
                <w:sz w:val="24"/>
                <w14:textFill>
                  <w14:solidFill>
                    <w14:schemeClr w14:val="tx1"/>
                  </w14:solidFill>
                </w14:textFill>
              </w:rPr>
              <w:t>j</w:t>
            </w:r>
            <w:r>
              <w:rPr>
                <w:rFonts w:hAnsi="宋体"/>
                <w:color w:val="000000" w:themeColor="text1"/>
                <w:sz w:val="24"/>
                <w14:textFill>
                  <w14:solidFill>
                    <w14:schemeClr w14:val="tx1"/>
                  </w14:solidFill>
                </w14:textFill>
              </w:rPr>
              <w:t>个等效室外声源在预测点产生的</w:t>
            </w:r>
            <w:r>
              <w:rPr>
                <w:color w:val="000000" w:themeColor="text1"/>
                <w:sz w:val="24"/>
                <w14:textFill>
                  <w14:solidFill>
                    <w14:schemeClr w14:val="tx1"/>
                  </w14:solidFill>
                </w14:textFill>
              </w:rPr>
              <w:t>A</w:t>
            </w:r>
            <w:r>
              <w:rPr>
                <w:rFonts w:hAnsi="宋体"/>
                <w:color w:val="000000" w:themeColor="text1"/>
                <w:sz w:val="24"/>
                <w14:textFill>
                  <w14:solidFill>
                    <w14:schemeClr w14:val="tx1"/>
                  </w14:solidFill>
                </w14:textFill>
              </w:rPr>
              <w:t>声级为</w:t>
            </w:r>
            <w:r>
              <w:rPr>
                <w:color w:val="000000" w:themeColor="text1"/>
                <w:sz w:val="24"/>
                <w14:textFill>
                  <w14:solidFill>
                    <w14:schemeClr w14:val="tx1"/>
                  </w14:solidFill>
                </w14:textFill>
              </w:rPr>
              <w:t>L</w:t>
            </w:r>
            <w:r>
              <w:rPr>
                <w:color w:val="000000" w:themeColor="text1"/>
                <w:sz w:val="24"/>
                <w:vertAlign w:val="subscript"/>
                <w14:textFill>
                  <w14:solidFill>
                    <w14:schemeClr w14:val="tx1"/>
                  </w14:solidFill>
                </w14:textFill>
              </w:rPr>
              <w:t>Aj</w:t>
            </w:r>
            <w:r>
              <w:rPr>
                <w:rFonts w:hAnsi="宋体"/>
                <w:color w:val="000000" w:themeColor="text1"/>
                <w:sz w:val="24"/>
                <w14:textFill>
                  <w14:solidFill>
                    <w14:schemeClr w14:val="tx1"/>
                  </w14:solidFill>
                </w14:textFill>
              </w:rPr>
              <w:t>，在</w:t>
            </w:r>
            <w:r>
              <w:rPr>
                <w:color w:val="000000" w:themeColor="text1"/>
                <w:sz w:val="24"/>
                <w14:textFill>
                  <w14:solidFill>
                    <w14:schemeClr w14:val="tx1"/>
                  </w14:solidFill>
                </w14:textFill>
              </w:rPr>
              <w:t>T</w:t>
            </w:r>
            <w:r>
              <w:rPr>
                <w:rFonts w:hAnsi="宋体"/>
                <w:color w:val="000000" w:themeColor="text1"/>
                <w:sz w:val="24"/>
                <w14:textFill>
                  <w14:solidFill>
                    <w14:schemeClr w14:val="tx1"/>
                  </w14:solidFill>
                </w14:textFill>
              </w:rPr>
              <w:t>时间内该声源工作时间为</w:t>
            </w:r>
            <w:r>
              <w:rPr>
                <w:color w:val="000000" w:themeColor="text1"/>
                <w:sz w:val="24"/>
                <w14:textFill>
                  <w14:solidFill>
                    <w14:schemeClr w14:val="tx1"/>
                  </w14:solidFill>
                </w14:textFill>
              </w:rPr>
              <w:t>t</w:t>
            </w:r>
            <w:r>
              <w:rPr>
                <w:color w:val="000000" w:themeColor="text1"/>
                <w:sz w:val="24"/>
                <w:vertAlign w:val="subscript"/>
                <w14:textFill>
                  <w14:solidFill>
                    <w14:schemeClr w14:val="tx1"/>
                  </w14:solidFill>
                </w14:textFill>
              </w:rPr>
              <w:t>j</w:t>
            </w:r>
            <w:r>
              <w:rPr>
                <w:rFonts w:hAnsi="宋体"/>
                <w:color w:val="000000" w:themeColor="text1"/>
                <w:sz w:val="24"/>
                <w14:textFill>
                  <w14:solidFill>
                    <w14:schemeClr w14:val="tx1"/>
                  </w14:solidFill>
                </w14:textFill>
              </w:rPr>
              <w:t>，则拟建工程声源对预测点产生的贡献值</w:t>
            </w:r>
            <w:r>
              <w:rPr>
                <w:color w:val="000000" w:themeColor="text1"/>
                <w:sz w:val="24"/>
                <w14:textFill>
                  <w14:solidFill>
                    <w14:schemeClr w14:val="tx1"/>
                  </w14:solidFill>
                </w14:textFill>
              </w:rPr>
              <w:t>(L</w:t>
            </w:r>
            <w:r>
              <w:rPr>
                <w:color w:val="000000" w:themeColor="text1"/>
                <w:sz w:val="24"/>
                <w:vertAlign w:val="subscript"/>
                <w14:textFill>
                  <w14:solidFill>
                    <w14:schemeClr w14:val="tx1"/>
                  </w14:solidFill>
                </w14:textFill>
              </w:rPr>
              <w:t>eqg</w:t>
            </w:r>
            <w:r>
              <w:rPr>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为：</w:t>
            </w:r>
          </w:p>
          <w:p>
            <w:pPr>
              <w:spacing w:line="360" w:lineRule="auto"/>
              <w:ind w:firstLine="480" w:firstLineChars="200"/>
              <w:jc w:val="center"/>
              <w:rPr>
                <w:color w:val="000000" w:themeColor="text1"/>
                <w:sz w:val="24"/>
                <w14:textFill>
                  <w14:solidFill>
                    <w14:schemeClr w14:val="tx1"/>
                  </w14:solidFill>
                </w14:textFill>
              </w:rPr>
            </w:pPr>
            <w:r>
              <w:rPr>
                <w:color w:val="000000" w:themeColor="text1"/>
                <w:position w:val="-34"/>
                <w:sz w:val="24"/>
                <w14:textFill>
                  <w14:solidFill>
                    <w14:schemeClr w14:val="tx1"/>
                  </w14:solidFill>
                </w14:textFill>
              </w:rPr>
              <w:object>
                <v:shape id="_x0000_i1029" o:spt="75" type="#_x0000_t75" style="height:50.25pt;width:256.1pt;" o:ole="t" filled="f" o:preferrelative="t" stroked="f" coordsize="21600,21600">
                  <v:path/>
                  <v:fill on="f" focussize="0,0"/>
                  <v:stroke on="f" joinstyle="miter"/>
                  <v:imagedata r:id="rId38" o:title=""/>
                  <o:lock v:ext="edit" aspectratio="t"/>
                  <w10:wrap type="none"/>
                  <w10:anchorlock/>
                </v:shape>
                <o:OLEObject Type="Embed" ProgID="Equation.3" ShapeID="_x0000_i1029" DrawAspect="Content" ObjectID="_1468075730" r:id="rId37">
                  <o:LockedField>false</o:LockedField>
                </o:OLEObject>
              </w:object>
            </w:r>
          </w:p>
          <w:p>
            <w:pPr>
              <w:spacing w:line="360" w:lineRule="auto"/>
              <w:ind w:firstLine="480" w:firstLineChars="200"/>
              <w:rPr>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式中：</w:t>
            </w:r>
            <w:r>
              <w:rPr>
                <w:color w:val="000000" w:themeColor="text1"/>
                <w:sz w:val="24"/>
                <w14:textFill>
                  <w14:solidFill>
                    <w14:schemeClr w14:val="tx1"/>
                  </w14:solidFill>
                </w14:textFill>
              </w:rPr>
              <w:t>t</w:t>
            </w:r>
            <w:r>
              <w:rPr>
                <w:color w:val="000000" w:themeColor="text1"/>
                <w:sz w:val="24"/>
                <w:vertAlign w:val="subscript"/>
                <w14:textFill>
                  <w14:solidFill>
                    <w14:schemeClr w14:val="tx1"/>
                  </w14:solidFill>
                </w14:textFill>
              </w:rPr>
              <w:t>j</w:t>
            </w:r>
            <w:r>
              <w:rPr>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在</w:t>
            </w:r>
            <w:r>
              <w:rPr>
                <w:color w:val="000000" w:themeColor="text1"/>
                <w:sz w:val="24"/>
                <w14:textFill>
                  <w14:solidFill>
                    <w14:schemeClr w14:val="tx1"/>
                  </w14:solidFill>
                </w14:textFill>
              </w:rPr>
              <w:t>T</w:t>
            </w:r>
            <w:r>
              <w:rPr>
                <w:rFonts w:hAnsi="宋体"/>
                <w:color w:val="000000" w:themeColor="text1"/>
                <w:sz w:val="24"/>
                <w14:textFill>
                  <w14:solidFill>
                    <w14:schemeClr w14:val="tx1"/>
                  </w14:solidFill>
                </w14:textFill>
              </w:rPr>
              <w:t>时间内</w:t>
            </w:r>
            <w:r>
              <w:rPr>
                <w:color w:val="000000" w:themeColor="text1"/>
                <w:sz w:val="24"/>
                <w14:textFill>
                  <w14:solidFill>
                    <w14:schemeClr w14:val="tx1"/>
                  </w14:solidFill>
                </w14:textFill>
              </w:rPr>
              <w:t>j</w:t>
            </w:r>
            <w:r>
              <w:rPr>
                <w:rFonts w:hAnsi="宋体"/>
                <w:color w:val="000000" w:themeColor="text1"/>
                <w:sz w:val="24"/>
                <w14:textFill>
                  <w14:solidFill>
                    <w14:schemeClr w14:val="tx1"/>
                  </w14:solidFill>
                </w14:textFill>
              </w:rPr>
              <w:t>声源工作时间，</w:t>
            </w:r>
            <w:r>
              <w:rPr>
                <w:color w:val="000000" w:themeColor="text1"/>
                <w:sz w:val="24"/>
                <w14:textFill>
                  <w14:solidFill>
                    <w14:schemeClr w14:val="tx1"/>
                  </w14:solidFill>
                </w14:textFill>
              </w:rPr>
              <w:t>s</w:t>
            </w:r>
            <w:r>
              <w:rPr>
                <w:rFonts w:hAnsi="宋体"/>
                <w:color w:val="000000" w:themeColor="text1"/>
                <w:sz w:val="24"/>
                <w14:textFill>
                  <w14:solidFill>
                    <w14:schemeClr w14:val="tx1"/>
                  </w14:solidFill>
                </w14:textFill>
              </w:rPr>
              <w:t>；</w:t>
            </w:r>
          </w:p>
          <w:p>
            <w:pPr>
              <w:spacing w:line="360" w:lineRule="auto"/>
              <w:ind w:firstLine="1123" w:firstLineChars="468"/>
              <w:rPr>
                <w:color w:val="000000" w:themeColor="text1"/>
                <w:sz w:val="24"/>
                <w14:textFill>
                  <w14:solidFill>
                    <w14:schemeClr w14:val="tx1"/>
                  </w14:solidFill>
                </w14:textFill>
              </w:rPr>
            </w:pPr>
            <w:r>
              <w:rPr>
                <w:color w:val="000000" w:themeColor="text1"/>
                <w:sz w:val="24"/>
                <w14:textFill>
                  <w14:solidFill>
                    <w14:schemeClr w14:val="tx1"/>
                  </w14:solidFill>
                </w14:textFill>
              </w:rPr>
              <w:t>t</w:t>
            </w:r>
            <w:r>
              <w:rPr>
                <w:color w:val="000000" w:themeColor="text1"/>
                <w:sz w:val="24"/>
                <w:vertAlign w:val="subscript"/>
                <w14:textFill>
                  <w14:solidFill>
                    <w14:schemeClr w14:val="tx1"/>
                  </w14:solidFill>
                </w14:textFill>
              </w:rPr>
              <w:t>i</w:t>
            </w:r>
            <w:r>
              <w:rPr>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在</w:t>
            </w:r>
            <w:r>
              <w:rPr>
                <w:color w:val="000000" w:themeColor="text1"/>
                <w:sz w:val="24"/>
                <w14:textFill>
                  <w14:solidFill>
                    <w14:schemeClr w14:val="tx1"/>
                  </w14:solidFill>
                </w14:textFill>
              </w:rPr>
              <w:t>T</w:t>
            </w:r>
            <w:r>
              <w:rPr>
                <w:rFonts w:hAnsi="宋体"/>
                <w:color w:val="000000" w:themeColor="text1"/>
                <w:sz w:val="24"/>
                <w14:textFill>
                  <w14:solidFill>
                    <w14:schemeClr w14:val="tx1"/>
                  </w14:solidFill>
                </w14:textFill>
              </w:rPr>
              <w:t>时间内</w:t>
            </w:r>
            <w:r>
              <w:rPr>
                <w:color w:val="000000" w:themeColor="text1"/>
                <w:sz w:val="24"/>
                <w14:textFill>
                  <w14:solidFill>
                    <w14:schemeClr w14:val="tx1"/>
                  </w14:solidFill>
                </w14:textFill>
              </w:rPr>
              <w:t>i</w:t>
            </w:r>
            <w:r>
              <w:rPr>
                <w:rFonts w:hAnsi="宋体"/>
                <w:color w:val="000000" w:themeColor="text1"/>
                <w:sz w:val="24"/>
                <w14:textFill>
                  <w14:solidFill>
                    <w14:schemeClr w14:val="tx1"/>
                  </w14:solidFill>
                </w14:textFill>
              </w:rPr>
              <w:t>声源工作时间，</w:t>
            </w:r>
            <w:r>
              <w:rPr>
                <w:color w:val="000000" w:themeColor="text1"/>
                <w:sz w:val="24"/>
                <w14:textFill>
                  <w14:solidFill>
                    <w14:schemeClr w14:val="tx1"/>
                  </w14:solidFill>
                </w14:textFill>
              </w:rPr>
              <w:t>s</w:t>
            </w:r>
            <w:r>
              <w:rPr>
                <w:rFonts w:hAnsi="宋体"/>
                <w:color w:val="000000" w:themeColor="text1"/>
                <w:sz w:val="24"/>
                <w14:textFill>
                  <w14:solidFill>
                    <w14:schemeClr w14:val="tx1"/>
                  </w14:solidFill>
                </w14:textFill>
              </w:rPr>
              <w:t>；</w:t>
            </w:r>
          </w:p>
          <w:p>
            <w:pPr>
              <w:spacing w:line="360" w:lineRule="auto"/>
              <w:ind w:firstLine="1123" w:firstLineChars="468"/>
              <w:rPr>
                <w:color w:val="000000" w:themeColor="text1"/>
                <w:sz w:val="24"/>
                <w14:textFill>
                  <w14:solidFill>
                    <w14:schemeClr w14:val="tx1"/>
                  </w14:solidFill>
                </w14:textFill>
              </w:rPr>
            </w:pPr>
            <w:r>
              <w:rPr>
                <w:color w:val="000000" w:themeColor="text1"/>
                <w:sz w:val="24"/>
                <w14:textFill>
                  <w14:solidFill>
                    <w14:schemeClr w14:val="tx1"/>
                  </w14:solidFill>
                </w14:textFill>
              </w:rPr>
              <w:t>T——</w:t>
            </w:r>
            <w:r>
              <w:rPr>
                <w:rFonts w:hAnsi="宋体"/>
                <w:color w:val="000000" w:themeColor="text1"/>
                <w:sz w:val="24"/>
                <w14:textFill>
                  <w14:solidFill>
                    <w14:schemeClr w14:val="tx1"/>
                  </w14:solidFill>
                </w14:textFill>
              </w:rPr>
              <w:t>用于计算等效声级的时间，</w:t>
            </w:r>
            <w:r>
              <w:rPr>
                <w:color w:val="000000" w:themeColor="text1"/>
                <w:sz w:val="24"/>
                <w14:textFill>
                  <w14:solidFill>
                    <w14:schemeClr w14:val="tx1"/>
                  </w14:solidFill>
                </w14:textFill>
              </w:rPr>
              <w:t>s</w:t>
            </w:r>
            <w:r>
              <w:rPr>
                <w:rFonts w:hAnsi="宋体"/>
                <w:color w:val="000000" w:themeColor="text1"/>
                <w:sz w:val="24"/>
                <w14:textFill>
                  <w14:solidFill>
                    <w14:schemeClr w14:val="tx1"/>
                  </w14:solidFill>
                </w14:textFill>
              </w:rPr>
              <w:t>；</w:t>
            </w:r>
          </w:p>
          <w:p>
            <w:pPr>
              <w:spacing w:line="360" w:lineRule="auto"/>
              <w:ind w:firstLine="1123" w:firstLineChars="468"/>
              <w:rPr>
                <w:color w:val="000000" w:themeColor="text1"/>
                <w:sz w:val="24"/>
                <w14:textFill>
                  <w14:solidFill>
                    <w14:schemeClr w14:val="tx1"/>
                  </w14:solidFill>
                </w14:textFill>
              </w:rPr>
            </w:pPr>
            <w:r>
              <w:rPr>
                <w:color w:val="000000" w:themeColor="text1"/>
                <w:sz w:val="24"/>
                <w14:textFill>
                  <w14:solidFill>
                    <w14:schemeClr w14:val="tx1"/>
                  </w14:solidFill>
                </w14:textFill>
              </w:rPr>
              <w:t>N——</w:t>
            </w:r>
            <w:r>
              <w:rPr>
                <w:rFonts w:hAnsi="宋体"/>
                <w:color w:val="000000" w:themeColor="text1"/>
                <w:sz w:val="24"/>
                <w14:textFill>
                  <w14:solidFill>
                    <w14:schemeClr w14:val="tx1"/>
                  </w14:solidFill>
                </w14:textFill>
              </w:rPr>
              <w:t>室外声源个数；</w:t>
            </w:r>
          </w:p>
          <w:p>
            <w:pPr>
              <w:spacing w:line="360" w:lineRule="auto"/>
              <w:ind w:firstLine="1123" w:firstLineChars="468"/>
              <w:rPr>
                <w:color w:val="000000" w:themeColor="text1"/>
                <w:sz w:val="24"/>
                <w14:textFill>
                  <w14:solidFill>
                    <w14:schemeClr w14:val="tx1"/>
                  </w14:solidFill>
                </w14:textFill>
              </w:rPr>
            </w:pPr>
            <w:r>
              <w:rPr>
                <w:color w:val="000000" w:themeColor="text1"/>
                <w:sz w:val="24"/>
                <w14:textFill>
                  <w14:solidFill>
                    <w14:schemeClr w14:val="tx1"/>
                  </w14:solidFill>
                </w14:textFill>
              </w:rPr>
              <w:t>M——</w:t>
            </w:r>
            <w:r>
              <w:rPr>
                <w:rFonts w:hAnsi="宋体"/>
                <w:color w:val="000000" w:themeColor="text1"/>
                <w:sz w:val="24"/>
                <w14:textFill>
                  <w14:solidFill>
                    <w14:schemeClr w14:val="tx1"/>
                  </w14:solidFill>
                </w14:textFill>
              </w:rPr>
              <w:t>等效室外声源个数；</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⑤</w:t>
            </w:r>
            <w:r>
              <w:rPr>
                <w:rFonts w:hAnsi="宋体"/>
                <w:color w:val="000000" w:themeColor="text1"/>
                <w:sz w:val="24"/>
                <w14:textFill>
                  <w14:solidFill>
                    <w14:schemeClr w14:val="tx1"/>
                  </w14:solidFill>
                </w14:textFill>
              </w:rPr>
              <w:t>预测点的预测等效声级</w:t>
            </w:r>
            <w:r>
              <w:rPr>
                <w:color w:val="000000" w:themeColor="text1"/>
                <w:sz w:val="24"/>
                <w14:textFill>
                  <w14:solidFill>
                    <w14:schemeClr w14:val="tx1"/>
                  </w14:solidFill>
                </w14:textFill>
              </w:rPr>
              <w:t>(Leq)</w:t>
            </w:r>
            <w:r>
              <w:rPr>
                <w:rFonts w:hAnsi="宋体"/>
                <w:color w:val="000000" w:themeColor="text1"/>
                <w:sz w:val="24"/>
                <w14:textFill>
                  <w14:solidFill>
                    <w14:schemeClr w14:val="tx1"/>
                  </w14:solidFill>
                </w14:textFill>
              </w:rPr>
              <w:t>计算：</w:t>
            </w:r>
          </w:p>
          <w:p>
            <w:pPr>
              <w:spacing w:line="360" w:lineRule="auto"/>
              <w:ind w:firstLine="480" w:firstLineChars="200"/>
              <w:jc w:val="center"/>
              <w:rPr>
                <w:color w:val="000000" w:themeColor="text1"/>
                <w:sz w:val="24"/>
                <w14:textFill>
                  <w14:solidFill>
                    <w14:schemeClr w14:val="tx1"/>
                  </w14:solidFill>
                </w14:textFill>
              </w:rPr>
            </w:pPr>
            <w:r>
              <w:rPr>
                <w:color w:val="000000" w:themeColor="text1"/>
                <w:position w:val="-14"/>
                <w:sz w:val="24"/>
                <w14:textFill>
                  <w14:solidFill>
                    <w14:schemeClr w14:val="tx1"/>
                  </w14:solidFill>
                </w14:textFill>
              </w:rPr>
              <w:object>
                <v:shape id="_x0000_i1030" o:spt="75" type="#_x0000_t75" style="height:26.5pt;width:171.85pt;" o:ole="t" filled="f" o:preferrelative="t" stroked="f" coordsize="21600,21600">
                  <v:path/>
                  <v:fill on="f" focussize="0,0"/>
                  <v:stroke on="f" joinstyle="miter"/>
                  <v:imagedata r:id="rId40" o:title=""/>
                  <o:lock v:ext="edit" aspectratio="t"/>
                  <w10:wrap type="none"/>
                  <w10:anchorlock/>
                </v:shape>
                <o:OLEObject Type="Embed" ProgID="Equation.3" ShapeID="_x0000_i1030" DrawAspect="Content" ObjectID="_1468075731" r:id="rId39">
                  <o:LockedField>false</o:LockedField>
                </o:OLEObject>
              </w:object>
            </w:r>
          </w:p>
          <w:p>
            <w:pPr>
              <w:spacing w:line="360" w:lineRule="auto"/>
              <w:ind w:firstLine="480" w:firstLineChars="200"/>
              <w:rPr>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式中：</w:t>
            </w:r>
            <w:r>
              <w:rPr>
                <w:color w:val="000000" w:themeColor="text1"/>
                <w:sz w:val="24"/>
                <w14:textFill>
                  <w14:solidFill>
                    <w14:schemeClr w14:val="tx1"/>
                  </w14:solidFill>
                </w14:textFill>
              </w:rPr>
              <w:t>Leq——</w:t>
            </w:r>
            <w:r>
              <w:rPr>
                <w:rFonts w:hAnsi="宋体"/>
                <w:color w:val="000000" w:themeColor="text1"/>
                <w:sz w:val="24"/>
                <w14:textFill>
                  <w14:solidFill>
                    <w14:schemeClr w14:val="tx1"/>
                  </w14:solidFill>
                </w14:textFill>
              </w:rPr>
              <w:t>建设项目声源在预测点的等效声级贡献量，</w:t>
            </w:r>
            <w:r>
              <w:rPr>
                <w:color w:val="000000" w:themeColor="text1"/>
                <w:sz w:val="24"/>
                <w14:textFill>
                  <w14:solidFill>
                    <w14:schemeClr w14:val="tx1"/>
                  </w14:solidFill>
                </w14:textFill>
              </w:rPr>
              <w:t>dB(A)</w:t>
            </w:r>
            <w:r>
              <w:rPr>
                <w:rFonts w:hAnsi="宋体"/>
                <w:color w:val="000000" w:themeColor="text1"/>
                <w:sz w:val="24"/>
                <w14:textFill>
                  <w14:solidFill>
                    <w14:schemeClr w14:val="tx1"/>
                  </w14:solidFill>
                </w14:textFill>
              </w:rPr>
              <w:t>；</w:t>
            </w:r>
          </w:p>
          <w:p>
            <w:pPr>
              <w:spacing w:line="360" w:lineRule="auto"/>
              <w:ind w:firstLine="720" w:firstLineChars="300"/>
              <w:rPr>
                <w:color w:val="000000" w:themeColor="text1"/>
                <w:sz w:val="24"/>
                <w14:textFill>
                  <w14:solidFill>
                    <w14:schemeClr w14:val="tx1"/>
                  </w14:solidFill>
                </w14:textFill>
              </w:rPr>
            </w:pPr>
            <w:r>
              <w:rPr>
                <w:color w:val="000000" w:themeColor="text1"/>
                <w:sz w:val="24"/>
                <w14:textFill>
                  <w14:solidFill>
                    <w14:schemeClr w14:val="tx1"/>
                  </w14:solidFill>
                </w14:textFill>
              </w:rPr>
              <w:t>Leqb——</w:t>
            </w:r>
            <w:r>
              <w:rPr>
                <w:rFonts w:hAnsi="宋体"/>
                <w:color w:val="000000" w:themeColor="text1"/>
                <w:sz w:val="24"/>
                <w14:textFill>
                  <w14:solidFill>
                    <w14:schemeClr w14:val="tx1"/>
                  </w14:solidFill>
                </w14:textFill>
              </w:rPr>
              <w:t>预测点背景值，</w:t>
            </w:r>
            <w:r>
              <w:rPr>
                <w:color w:val="000000" w:themeColor="text1"/>
                <w:sz w:val="24"/>
                <w14:textFill>
                  <w14:solidFill>
                    <w14:schemeClr w14:val="tx1"/>
                  </w14:solidFill>
                </w14:textFill>
              </w:rPr>
              <w:t>dB(A)</w:t>
            </w:r>
            <w:r>
              <w:rPr>
                <w:rFonts w:hAnsi="宋体"/>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⑥</w:t>
            </w:r>
            <w:r>
              <w:rPr>
                <w:rFonts w:hAnsi="宋体"/>
                <w:color w:val="000000" w:themeColor="text1"/>
                <w:sz w:val="24"/>
                <w14:textFill>
                  <w14:solidFill>
                    <w14:schemeClr w14:val="tx1"/>
                  </w14:solidFill>
                </w14:textFill>
              </w:rPr>
              <w:t>对室外噪声声源主要考虑噪声的几何发散衰减及环境因素衰减：</w:t>
            </w:r>
          </w:p>
          <w:p>
            <w:pPr>
              <w:spacing w:line="360" w:lineRule="auto"/>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object>
                <v:shape id="_x0000_i1031" o:spt="75" type="#_x0000_t75" style="height:42.8pt;width:139.9pt;" o:ole="t" filled="f" o:preferrelative="t" stroked="f" coordsize="21600,21600">
                  <v:path/>
                  <v:fill on="f" focussize="0,0"/>
                  <v:stroke on="f" joinstyle="miter"/>
                  <v:imagedata r:id="rId42" o:title=""/>
                  <o:lock v:ext="edit" aspectratio="t"/>
                  <w10:wrap type="none"/>
                  <w10:anchorlock/>
                </v:shape>
                <o:OLEObject Type="Embed" ProgID="Equation.3" ShapeID="_x0000_i1031" DrawAspect="Content" ObjectID="_1468075732" r:id="rId41">
                  <o:LockedField>false</o:LockedField>
                </o:OLEObject>
              </w:object>
            </w:r>
          </w:p>
          <w:p>
            <w:pPr>
              <w:spacing w:line="360" w:lineRule="auto"/>
              <w:ind w:firstLine="480" w:firstLineChars="200"/>
              <w:rPr>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式中：</w:t>
            </w:r>
            <w:r>
              <w:rPr>
                <w:color w:val="000000" w:themeColor="text1"/>
                <w:sz w:val="24"/>
                <w14:textFill>
                  <w14:solidFill>
                    <w14:schemeClr w14:val="tx1"/>
                  </w14:solidFill>
                </w14:textFill>
              </w:rPr>
              <w:t>L</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点声源在预测点产生的声压级，</w:t>
            </w:r>
            <w:r>
              <w:rPr>
                <w:color w:val="000000" w:themeColor="text1"/>
                <w:sz w:val="24"/>
                <w14:textFill>
                  <w14:solidFill>
                    <w14:schemeClr w14:val="tx1"/>
                  </w14:solidFill>
                </w14:textFill>
              </w:rPr>
              <w:t>dB(A)</w:t>
            </w:r>
            <w:r>
              <w:rPr>
                <w:rFonts w:hAnsi="宋体"/>
                <w:color w:val="000000" w:themeColor="text1"/>
                <w:sz w:val="24"/>
                <w14:textFill>
                  <w14:solidFill>
                    <w14:schemeClr w14:val="tx1"/>
                  </w14:solidFill>
                </w14:textFill>
              </w:rPr>
              <w:t>；</w:t>
            </w:r>
          </w:p>
          <w:p>
            <w:pPr>
              <w:spacing w:line="360" w:lineRule="auto"/>
              <w:ind w:firstLine="720" w:firstLineChars="300"/>
              <w:rPr>
                <w:color w:val="000000" w:themeColor="text1"/>
                <w:sz w:val="24"/>
                <w14:textFill>
                  <w14:solidFill>
                    <w14:schemeClr w14:val="tx1"/>
                  </w14:solidFill>
                </w14:textFill>
              </w:rPr>
            </w:pPr>
            <w:r>
              <w:rPr>
                <w:color w:val="000000" w:themeColor="text1"/>
                <w:sz w:val="24"/>
                <w14:textFill>
                  <w14:solidFill>
                    <w14:schemeClr w14:val="tx1"/>
                  </w14:solidFill>
                </w14:textFill>
              </w:rPr>
              <w:t>L</w:t>
            </w:r>
            <w:r>
              <w:rPr>
                <w:color w:val="000000" w:themeColor="text1"/>
                <w:sz w:val="24"/>
                <w:vertAlign w:val="subscript"/>
                <w14:textFill>
                  <w14:solidFill>
                    <w14:schemeClr w14:val="tx1"/>
                  </w14:solidFill>
                </w14:textFill>
              </w:rPr>
              <w:t>1</w:t>
            </w:r>
            <w:r>
              <w:rPr>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点声源在参考点产生的声压级，</w:t>
            </w:r>
            <w:r>
              <w:rPr>
                <w:color w:val="000000" w:themeColor="text1"/>
                <w:sz w:val="24"/>
                <w14:textFill>
                  <w14:solidFill>
                    <w14:schemeClr w14:val="tx1"/>
                  </w14:solidFill>
                </w14:textFill>
              </w:rPr>
              <w:t>dB(A)</w:t>
            </w:r>
            <w:r>
              <w:rPr>
                <w:rFonts w:hAnsi="宋体"/>
                <w:color w:val="000000" w:themeColor="text1"/>
                <w:sz w:val="24"/>
                <w14:textFill>
                  <w14:solidFill>
                    <w14:schemeClr w14:val="tx1"/>
                  </w14:solidFill>
                </w14:textFill>
              </w:rPr>
              <w:t>；</w:t>
            </w:r>
          </w:p>
          <w:p>
            <w:pPr>
              <w:spacing w:line="360" w:lineRule="auto"/>
              <w:ind w:firstLine="720" w:firstLineChars="300"/>
              <w:rPr>
                <w:color w:val="000000" w:themeColor="text1"/>
                <w:sz w:val="24"/>
                <w14:textFill>
                  <w14:solidFill>
                    <w14:schemeClr w14:val="tx1"/>
                  </w14:solidFill>
                </w14:textFill>
              </w:rPr>
            </w:pPr>
            <w:r>
              <w:rPr>
                <w:color w:val="000000" w:themeColor="text1"/>
                <w:sz w:val="24"/>
                <w14:textFill>
                  <w14:solidFill>
                    <w14:schemeClr w14:val="tx1"/>
                  </w14:solidFill>
                </w14:textFill>
              </w:rPr>
              <w:t>r</w:t>
            </w:r>
            <w:r>
              <w:rPr>
                <w:color w:val="000000" w:themeColor="text1"/>
                <w:sz w:val="24"/>
                <w:vertAlign w:val="subscript"/>
                <w14:textFill>
                  <w14:solidFill>
                    <w14:schemeClr w14:val="tx1"/>
                  </w14:solidFill>
                </w14:textFill>
              </w:rPr>
              <w:t>2</w:t>
            </w:r>
            <w:r>
              <w:rPr>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预测点距声源的距离，</w:t>
            </w:r>
            <w:r>
              <w:rPr>
                <w:color w:val="000000" w:themeColor="text1"/>
                <w:sz w:val="24"/>
                <w14:textFill>
                  <w14:solidFill>
                    <w14:schemeClr w14:val="tx1"/>
                  </w14:solidFill>
                </w14:textFill>
              </w:rPr>
              <w:t>(m)</w:t>
            </w:r>
            <w:r>
              <w:rPr>
                <w:rFonts w:hAnsi="宋体"/>
                <w:color w:val="000000" w:themeColor="text1"/>
                <w:sz w:val="24"/>
                <w14:textFill>
                  <w14:solidFill>
                    <w14:schemeClr w14:val="tx1"/>
                  </w14:solidFill>
                </w14:textFill>
              </w:rPr>
              <w:t>；</w:t>
            </w:r>
          </w:p>
          <w:p>
            <w:pPr>
              <w:spacing w:line="360" w:lineRule="auto"/>
              <w:ind w:firstLine="720" w:firstLineChars="300"/>
              <w:rPr>
                <w:color w:val="000000" w:themeColor="text1"/>
                <w:sz w:val="24"/>
                <w14:textFill>
                  <w14:solidFill>
                    <w14:schemeClr w14:val="tx1"/>
                  </w14:solidFill>
                </w14:textFill>
              </w:rPr>
            </w:pPr>
            <w:r>
              <w:rPr>
                <w:color w:val="000000" w:themeColor="text1"/>
                <w:sz w:val="24"/>
                <w14:textFill>
                  <w14:solidFill>
                    <w14:schemeClr w14:val="tx1"/>
                  </w14:solidFill>
                </w14:textFill>
              </w:rPr>
              <w:t>r</w:t>
            </w:r>
            <w:r>
              <w:rPr>
                <w:color w:val="000000" w:themeColor="text1"/>
                <w:sz w:val="24"/>
                <w:vertAlign w:val="subscript"/>
                <w14:textFill>
                  <w14:solidFill>
                    <w14:schemeClr w14:val="tx1"/>
                  </w14:solidFill>
                </w14:textFill>
              </w:rPr>
              <w:t>1</w:t>
            </w:r>
            <w:r>
              <w:rPr>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参考点距声源的距离，</w:t>
            </w:r>
            <w:r>
              <w:rPr>
                <w:color w:val="000000" w:themeColor="text1"/>
                <w:sz w:val="24"/>
                <w14:textFill>
                  <w14:solidFill>
                    <w14:schemeClr w14:val="tx1"/>
                  </w14:solidFill>
                </w14:textFill>
              </w:rPr>
              <w:t>(m)</w:t>
            </w:r>
            <w:r>
              <w:rPr>
                <w:rFonts w:hAnsi="宋体"/>
                <w:color w:val="000000" w:themeColor="text1"/>
                <w:sz w:val="24"/>
                <w14:textFill>
                  <w14:solidFill>
                    <w14:schemeClr w14:val="tx1"/>
                  </w14:solidFill>
                </w14:textFill>
              </w:rPr>
              <w:t>；</w:t>
            </w:r>
          </w:p>
          <w:p>
            <w:pPr>
              <w:spacing w:line="360" w:lineRule="auto"/>
              <w:ind w:firstLine="720" w:firstLineChars="300"/>
              <w:rPr>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w:t>
            </w:r>
            <w:r>
              <w:rPr>
                <w:color w:val="000000" w:themeColor="text1"/>
                <w:sz w:val="24"/>
                <w14:textFill>
                  <w14:solidFill>
                    <w14:schemeClr w14:val="tx1"/>
                  </w14:solidFill>
                </w14:textFill>
              </w:rPr>
              <w:t>L——</w:t>
            </w:r>
            <w:r>
              <w:rPr>
                <w:rFonts w:hAnsi="宋体"/>
                <w:color w:val="000000" w:themeColor="text1"/>
                <w:sz w:val="24"/>
                <w14:textFill>
                  <w14:solidFill>
                    <w14:schemeClr w14:val="tx1"/>
                  </w14:solidFill>
                </w14:textFill>
              </w:rPr>
              <w:t>各种因素引起的衰减量</w:t>
            </w:r>
            <w:r>
              <w:rPr>
                <w:color w:val="000000" w:themeColor="text1"/>
                <w:sz w:val="24"/>
                <w14:textFill>
                  <w14:solidFill>
                    <w14:schemeClr w14:val="tx1"/>
                  </w14:solidFill>
                </w14:textFill>
              </w:rPr>
              <w:t>(</w:t>
            </w:r>
            <w:r>
              <w:rPr>
                <w:rFonts w:hAnsi="宋体"/>
                <w:color w:val="000000" w:themeColor="text1"/>
                <w:sz w:val="24"/>
                <w14:textFill>
                  <w14:solidFill>
                    <w14:schemeClr w14:val="tx1"/>
                  </w14:solidFill>
                </w14:textFill>
              </w:rPr>
              <w:t>包括声屏障、空气吸收等引起的衰减量</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w:t>
            </w:r>
          </w:p>
          <w:p>
            <w:pPr>
              <w:spacing w:line="360" w:lineRule="auto"/>
              <w:ind w:firstLine="480" w:firstLineChars="200"/>
              <w:rPr>
                <w:rFonts w:hAnsi="宋体"/>
                <w:color w:val="000000" w:themeColor="text1"/>
                <w:sz w:val="24"/>
                <w:lang w:val="zh-CN"/>
                <w14:textFill>
                  <w14:solidFill>
                    <w14:schemeClr w14:val="tx1"/>
                  </w14:solidFill>
                </w14:textFill>
              </w:rPr>
            </w:pPr>
            <w:r>
              <w:rPr>
                <w:rFonts w:hAnsi="宋体"/>
                <w:color w:val="000000" w:themeColor="text1"/>
                <w:sz w:val="24"/>
                <w:lang w:val="zh-CN"/>
                <w14:textFill>
                  <w14:solidFill>
                    <w14:schemeClr w14:val="tx1"/>
                  </w14:solidFill>
                </w14:textFill>
              </w:rPr>
              <w:t>根据预测模式，</w:t>
            </w:r>
            <w:r>
              <w:rPr>
                <w:rFonts w:hAnsi="宋体"/>
                <w:color w:val="000000" w:themeColor="text1"/>
                <w:sz w:val="24"/>
                <w14:textFill>
                  <w14:solidFill>
                    <w14:schemeClr w14:val="tx1"/>
                  </w14:solidFill>
                </w14:textFill>
              </w:rPr>
              <w:t>项目</w:t>
            </w:r>
            <w:r>
              <w:rPr>
                <w:rFonts w:hAnsi="宋体"/>
                <w:color w:val="000000" w:themeColor="text1"/>
                <w:sz w:val="24"/>
                <w:lang w:val="zh-CN"/>
                <w14:textFill>
                  <w14:solidFill>
                    <w14:schemeClr w14:val="tx1"/>
                  </w14:solidFill>
                </w14:textFill>
              </w:rPr>
              <w:t>厂界各噪声受声点的噪声预测结果详见表</w:t>
            </w:r>
            <w:r>
              <w:rPr>
                <w:rFonts w:hint="eastAsia"/>
                <w:color w:val="000000" w:themeColor="text1"/>
                <w:sz w:val="24"/>
                <w14:textFill>
                  <w14:solidFill>
                    <w14:schemeClr w14:val="tx1"/>
                  </w14:solidFill>
                </w14:textFill>
              </w:rPr>
              <w:t>4-1</w:t>
            </w:r>
            <w:r>
              <w:rPr>
                <w:color w:val="000000" w:themeColor="text1"/>
                <w:sz w:val="24"/>
                <w14:textFill>
                  <w14:solidFill>
                    <w14:schemeClr w14:val="tx1"/>
                  </w14:solidFill>
                </w14:textFill>
              </w:rPr>
              <w:t>4</w:t>
            </w:r>
            <w:r>
              <w:rPr>
                <w:rFonts w:hAnsi="宋体"/>
                <w:color w:val="000000" w:themeColor="text1"/>
                <w:sz w:val="24"/>
                <w:lang w:val="zh-CN"/>
                <w14:textFill>
                  <w14:solidFill>
                    <w14:schemeClr w14:val="tx1"/>
                  </w14:solidFill>
                </w14:textFill>
              </w:rPr>
              <w:t>。</w:t>
            </w:r>
          </w:p>
          <w:p>
            <w:pPr>
              <w:spacing w:line="276" w:lineRule="auto"/>
              <w:ind w:firstLine="422" w:firstLineChars="200"/>
              <w:jc w:val="center"/>
              <w:rPr>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表4-</w:t>
            </w:r>
            <w:r>
              <w:rPr>
                <w:b/>
                <w:bCs/>
                <w:color w:val="000000" w:themeColor="text1"/>
                <w:szCs w:val="21"/>
                <w14:textFill>
                  <w14:solidFill>
                    <w14:schemeClr w14:val="tx1"/>
                  </w14:solidFill>
                </w14:textFill>
              </w:rPr>
              <w:t>14</w:t>
            </w:r>
            <w:r>
              <w:rPr>
                <w:rFonts w:hint="eastAsia"/>
                <w:b/>
                <w:bCs/>
                <w:color w:val="000000" w:themeColor="text1"/>
                <w:szCs w:val="21"/>
                <w14:textFill>
                  <w14:solidFill>
                    <w14:schemeClr w14:val="tx1"/>
                  </w14:solidFill>
                </w14:textFill>
              </w:rPr>
              <w:t xml:space="preserve"> 噪声预测结果 单位：dB（A）</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5"/>
              <w:gridCol w:w="1123"/>
              <w:gridCol w:w="2402"/>
              <w:gridCol w:w="1268"/>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05" w:type="pct"/>
                  <w:tcBorders>
                    <w:tl2br w:val="nil"/>
                    <w:tr2bl w:val="nil"/>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评价点</w:t>
                  </w:r>
                </w:p>
              </w:tc>
              <w:tc>
                <w:tcPr>
                  <w:tcW w:w="687" w:type="pct"/>
                  <w:tcBorders>
                    <w:tl2br w:val="nil"/>
                    <w:tr2bl w:val="nil"/>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时段</w:t>
                  </w:r>
                </w:p>
              </w:tc>
              <w:tc>
                <w:tcPr>
                  <w:tcW w:w="1470" w:type="pct"/>
                  <w:tcBorders>
                    <w:tl2br w:val="nil"/>
                    <w:tr2bl w:val="nil"/>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生产车间距评价点距离</w:t>
                  </w:r>
                </w:p>
              </w:tc>
              <w:tc>
                <w:tcPr>
                  <w:tcW w:w="776" w:type="pct"/>
                  <w:tcBorders>
                    <w:tl2br w:val="nil"/>
                    <w:tr2bl w:val="nil"/>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贡献值</w:t>
                  </w:r>
                </w:p>
              </w:tc>
              <w:tc>
                <w:tcPr>
                  <w:tcW w:w="661" w:type="pct"/>
                  <w:tcBorders>
                    <w:tl2br w:val="nil"/>
                    <w:tr2bl w:val="nil"/>
                  </w:tcBorders>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05"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东边界外1m 处</w:t>
                  </w:r>
                </w:p>
              </w:tc>
              <w:tc>
                <w:tcPr>
                  <w:tcW w:w="687"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昼间</w:t>
                  </w:r>
                </w:p>
              </w:tc>
              <w:tc>
                <w:tcPr>
                  <w:tcW w:w="1470"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776"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34.90</w:t>
                  </w:r>
                </w:p>
              </w:tc>
              <w:tc>
                <w:tcPr>
                  <w:tcW w:w="661"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05"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南边界外1m 处</w:t>
                  </w:r>
                </w:p>
              </w:tc>
              <w:tc>
                <w:tcPr>
                  <w:tcW w:w="687"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昼间</w:t>
                  </w:r>
                </w:p>
              </w:tc>
              <w:tc>
                <w:tcPr>
                  <w:tcW w:w="1470"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776"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42.86</w:t>
                  </w:r>
                </w:p>
              </w:tc>
              <w:tc>
                <w:tcPr>
                  <w:tcW w:w="661"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05"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西边界外1m 处</w:t>
                  </w:r>
                </w:p>
              </w:tc>
              <w:tc>
                <w:tcPr>
                  <w:tcW w:w="687"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昼间</w:t>
                  </w:r>
                </w:p>
              </w:tc>
              <w:tc>
                <w:tcPr>
                  <w:tcW w:w="1470"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50</w:t>
                  </w:r>
                </w:p>
              </w:tc>
              <w:tc>
                <w:tcPr>
                  <w:tcW w:w="776"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34.90</w:t>
                  </w:r>
                </w:p>
              </w:tc>
              <w:tc>
                <w:tcPr>
                  <w:tcW w:w="661"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405"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北边界外1m 处</w:t>
                  </w:r>
                </w:p>
              </w:tc>
              <w:tc>
                <w:tcPr>
                  <w:tcW w:w="687"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昼间</w:t>
                  </w:r>
                </w:p>
              </w:tc>
              <w:tc>
                <w:tcPr>
                  <w:tcW w:w="1470"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20</w:t>
                  </w:r>
                </w:p>
              </w:tc>
              <w:tc>
                <w:tcPr>
                  <w:tcW w:w="776"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42.86</w:t>
                  </w:r>
                </w:p>
              </w:tc>
              <w:tc>
                <w:tcPr>
                  <w:tcW w:w="661"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5" w:type="pct"/>
                  <w:tcBorders>
                    <w:tl2br w:val="nil"/>
                    <w:tr2bl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新屋仔村民居</w:t>
                  </w:r>
                  <w:r>
                    <w:rPr>
                      <w:color w:val="000000" w:themeColor="text1"/>
                      <w:szCs w:val="21"/>
                      <w14:textFill>
                        <w14:solidFill>
                          <w14:schemeClr w14:val="tx1"/>
                        </w14:solidFill>
                      </w14:textFill>
                    </w:rPr>
                    <w:t>180</w:t>
                  </w:r>
                  <w:r>
                    <w:rPr>
                      <w:rFonts w:hint="eastAsia"/>
                      <w:color w:val="000000" w:themeColor="text1"/>
                      <w:szCs w:val="21"/>
                      <w14:textFill>
                        <w14:solidFill>
                          <w14:schemeClr w14:val="tx1"/>
                        </w14:solidFill>
                      </w14:textFill>
                    </w:rPr>
                    <w:t>m</w:t>
                  </w:r>
                  <w:r>
                    <w:rPr>
                      <w:color w:val="000000" w:themeColor="text1"/>
                      <w:szCs w:val="21"/>
                      <w14:textFill>
                        <w14:solidFill>
                          <w14:schemeClr w14:val="tx1"/>
                        </w14:solidFill>
                      </w14:textFill>
                    </w:rPr>
                    <w:t>处</w:t>
                  </w:r>
                </w:p>
              </w:tc>
              <w:tc>
                <w:tcPr>
                  <w:tcW w:w="687"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昼间</w:t>
                  </w:r>
                </w:p>
              </w:tc>
              <w:tc>
                <w:tcPr>
                  <w:tcW w:w="1470"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180</w:t>
                  </w:r>
                </w:p>
              </w:tc>
              <w:tc>
                <w:tcPr>
                  <w:tcW w:w="776"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23.77</w:t>
                  </w:r>
                </w:p>
              </w:tc>
              <w:tc>
                <w:tcPr>
                  <w:tcW w:w="661" w:type="pct"/>
                  <w:tcBorders>
                    <w:tl2br w:val="nil"/>
                    <w:tr2bl w:val="nil"/>
                  </w:tcBorders>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r>
                    <w:rPr>
                      <w:rFonts w:hint="eastAsia"/>
                      <w:color w:val="000000" w:themeColor="text1"/>
                      <w:szCs w:val="21"/>
                      <w14:textFill>
                        <w14:solidFill>
                          <w14:schemeClr w14:val="tx1"/>
                        </w14:solidFill>
                      </w14:textFill>
                    </w:rPr>
                    <w:t>0</w:t>
                  </w:r>
                </w:p>
              </w:tc>
            </w:tr>
          </w:tbl>
          <w:p>
            <w:pPr>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注：本项目夜间不运营。</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根据上表的预测结果，</w:t>
            </w:r>
            <w:r>
              <w:rPr>
                <w:color w:val="000000" w:themeColor="text1"/>
                <w:sz w:val="24"/>
                <w14:textFill>
                  <w14:solidFill>
                    <w14:schemeClr w14:val="tx1"/>
                  </w14:solidFill>
                </w14:textFill>
              </w:rPr>
              <w:t>本项目昼间四周厂界噪声值能满足《工业企业厂界环境噪声排放标准》（GB12348-2008）</w:t>
            </w: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类标准的要求</w:t>
            </w:r>
            <w:r>
              <w:rPr>
                <w:rFonts w:hint="eastAsia"/>
                <w:color w:val="000000" w:themeColor="text1"/>
                <w:sz w:val="24"/>
                <w14:textFill>
                  <w14:solidFill>
                    <w14:schemeClr w14:val="tx1"/>
                  </w14:solidFill>
                </w14:textFill>
              </w:rPr>
              <w:t>。</w:t>
            </w:r>
          </w:p>
          <w:p>
            <w:pPr>
              <w:widowControl/>
              <w:spacing w:line="360" w:lineRule="auto"/>
              <w:ind w:firstLine="482" w:firstLineChars="200"/>
              <w:jc w:val="left"/>
              <w:rPr>
                <w:color w:val="000000" w:themeColor="text1"/>
                <w:sz w:val="24"/>
                <w14:textFill>
                  <w14:solidFill>
                    <w14:schemeClr w14:val="tx1"/>
                  </w14:solidFill>
                </w14:textFill>
              </w:rPr>
            </w:pPr>
            <w:r>
              <w:rPr>
                <w:rFonts w:hint="eastAsia"/>
                <w:b/>
                <w:color w:val="000000" w:themeColor="text1"/>
                <w:sz w:val="24"/>
                <w:szCs w:val="22"/>
                <w14:textFill>
                  <w14:solidFill>
                    <w14:schemeClr w14:val="tx1"/>
                  </w14:solidFill>
                </w14:textFill>
              </w:rPr>
              <w:t>3</w:t>
            </w:r>
            <w:r>
              <w:rPr>
                <w:b/>
                <w:color w:val="000000" w:themeColor="text1"/>
                <w:sz w:val="24"/>
                <w:szCs w:val="22"/>
                <w14:textFill>
                  <w14:solidFill>
                    <w14:schemeClr w14:val="tx1"/>
                  </w14:solidFill>
                </w14:textFill>
              </w:rPr>
              <w:t>、</w:t>
            </w:r>
            <w:r>
              <w:rPr>
                <w:b/>
                <w:bCs/>
                <w:color w:val="000000" w:themeColor="text1"/>
                <w:kern w:val="0"/>
                <w:sz w:val="24"/>
                <w14:textFill>
                  <w14:solidFill>
                    <w14:schemeClr w14:val="tx1"/>
                  </w14:solidFill>
                </w14:textFill>
              </w:rPr>
              <w:t xml:space="preserve">降噪措施 </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为减少项目噪声对厂界及区域声环境的影响，建议采取以下防治措施：</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w:t>
            </w:r>
            <w:r>
              <w:rPr>
                <w:color w:val="000000" w:themeColor="text1"/>
                <w:sz w:val="24"/>
                <w14:textFill>
                  <w14:solidFill>
                    <w14:schemeClr w14:val="tx1"/>
                  </w14:solidFill>
                </w14:textFill>
              </w:rPr>
              <w:t>设备选用低噪、低振设备</w:t>
            </w:r>
            <w:r>
              <w:rPr>
                <w:rFonts w:hint="eastAsia"/>
                <w:color w:val="000000" w:themeColor="text1"/>
                <w:sz w:val="24"/>
                <w14:textFill>
                  <w14:solidFill>
                    <w14:schemeClr w14:val="tx1"/>
                  </w14:solidFill>
                </w14:textFill>
              </w:rPr>
              <w:t>；</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w:t>
            </w:r>
            <w:r>
              <w:rPr>
                <w:color w:val="000000" w:themeColor="text1"/>
                <w:sz w:val="24"/>
                <w14:textFill>
                  <w14:solidFill>
                    <w14:schemeClr w14:val="tx1"/>
                  </w14:solidFill>
                </w14:textFill>
              </w:rPr>
              <w:t>基础减震、进排气口安装消声器</w:t>
            </w:r>
            <w:r>
              <w:rPr>
                <w:rFonts w:hint="eastAsia"/>
                <w:color w:val="000000" w:themeColor="text1"/>
                <w:sz w:val="24"/>
                <w14:textFill>
                  <w14:solidFill>
                    <w14:schemeClr w14:val="tx1"/>
                  </w14:solidFill>
                </w14:textFill>
              </w:rPr>
              <w:t>；</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③设备合理布局，主要噪声源远离厂界，使主要噪声源设备与厂界有足够的距离衰减；</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④加强管理，降低人为噪声。</w:t>
            </w:r>
          </w:p>
          <w:p>
            <w:pPr>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经过以上降噪措施，项目产生的噪声对周围的环境影响较小。</w:t>
            </w:r>
          </w:p>
          <w:p>
            <w:pPr>
              <w:spacing w:line="360" w:lineRule="auto"/>
              <w:ind w:firstLine="482" w:firstLineChars="200"/>
              <w:rPr>
                <w:b/>
                <w:color w:val="000000" w:themeColor="text1"/>
                <w:sz w:val="24"/>
                <w:szCs w:val="22"/>
                <w14:textFill>
                  <w14:solidFill>
                    <w14:schemeClr w14:val="tx1"/>
                  </w14:solidFill>
                </w14:textFill>
              </w:rPr>
            </w:pPr>
            <w:r>
              <w:rPr>
                <w:rFonts w:hint="eastAsia"/>
                <w:b/>
                <w:color w:val="000000" w:themeColor="text1"/>
                <w:sz w:val="24"/>
                <w:szCs w:val="22"/>
                <w14:textFill>
                  <w14:solidFill>
                    <w14:schemeClr w14:val="tx1"/>
                  </w14:solidFill>
                </w14:textFill>
              </w:rPr>
              <w:t>4</w:t>
            </w:r>
            <w:r>
              <w:rPr>
                <w:b/>
                <w:color w:val="000000" w:themeColor="text1"/>
                <w:sz w:val="24"/>
                <w:szCs w:val="22"/>
                <w14:textFill>
                  <w14:solidFill>
                    <w14:schemeClr w14:val="tx1"/>
                  </w14:solidFill>
                </w14:textFill>
              </w:rPr>
              <w:t>、监测计划</w:t>
            </w:r>
          </w:p>
          <w:p>
            <w:pPr>
              <w:spacing w:line="360" w:lineRule="auto"/>
              <w:ind w:firstLine="480" w:firstLineChars="200"/>
              <w:contextualSpacing/>
              <w:rPr>
                <w:color w:val="000000" w:themeColor="text1"/>
                <w:sz w:val="24"/>
                <w14:textFill>
                  <w14:solidFill>
                    <w14:schemeClr w14:val="tx1"/>
                  </w14:solidFill>
                </w14:textFill>
              </w:rPr>
            </w:pPr>
            <w:r>
              <w:rPr>
                <w:color w:val="000000" w:themeColor="text1"/>
                <w:sz w:val="24"/>
                <w14:textFill>
                  <w14:solidFill>
                    <w14:schemeClr w14:val="tx1"/>
                  </w14:solidFill>
                </w14:textFill>
              </w:rPr>
              <w:t>本项目涉及</w:t>
            </w:r>
            <w:r>
              <w:rPr>
                <w:rFonts w:hint="eastAsia"/>
                <w:color w:val="000000" w:themeColor="text1"/>
                <w:sz w:val="24"/>
                <w14:textFill>
                  <w14:solidFill>
                    <w14:schemeClr w14:val="tx1"/>
                  </w14:solidFill>
                </w14:textFill>
              </w:rPr>
              <w:t>喷涂</w:t>
            </w:r>
            <w:r>
              <w:rPr>
                <w:color w:val="000000" w:themeColor="text1"/>
                <w:sz w:val="24"/>
                <w14:textFill>
                  <w14:solidFill>
                    <w14:schemeClr w14:val="tx1"/>
                  </w14:solidFill>
                </w14:textFill>
              </w:rPr>
              <w:t>工序，自行监测计划参考</w:t>
            </w:r>
            <w:r>
              <w:rPr>
                <w:color w:val="000000" w:themeColor="text1"/>
                <w:sz w:val="24"/>
                <w:shd w:val="clear" w:color="auto" w:fill="FFFFFF"/>
                <w14:textFill>
                  <w14:solidFill>
                    <w14:schemeClr w14:val="tx1"/>
                  </w14:solidFill>
                </w14:textFill>
              </w:rPr>
              <w:t>《排污单位自行监测技术指南 涂装》（HJ 1086）执行</w:t>
            </w:r>
            <w:r>
              <w:rPr>
                <w:rFonts w:hint="eastAsia"/>
                <w:color w:val="000000" w:themeColor="text1"/>
                <w:sz w:val="24"/>
                <w:shd w:val="clear" w:color="auto" w:fill="FFFFFF"/>
                <w14:textFill>
                  <w14:solidFill>
                    <w14:schemeClr w14:val="tx1"/>
                  </w14:solidFill>
                </w14:textFill>
              </w:rPr>
              <w:t>，</w:t>
            </w:r>
            <w:r>
              <w:rPr>
                <w:color w:val="000000" w:themeColor="text1"/>
                <w:sz w:val="24"/>
                <w14:textFill>
                  <w14:solidFill>
                    <w14:schemeClr w14:val="tx1"/>
                  </w14:solidFill>
                </w14:textFill>
              </w:rPr>
              <w:t>根据《排污单位自行监测技术指南总则》（HJ819-2017）及</w:t>
            </w:r>
            <w:r>
              <w:rPr>
                <w:color w:val="000000" w:themeColor="text1"/>
                <w:sz w:val="24"/>
                <w:shd w:val="clear" w:color="auto" w:fill="FFFFFF"/>
                <w14:textFill>
                  <w14:solidFill>
                    <w14:schemeClr w14:val="tx1"/>
                  </w14:solidFill>
                </w14:textFill>
              </w:rPr>
              <w:t>《排污单位自行监测技术指南 涂装》（HJ 1086）</w:t>
            </w:r>
            <w:r>
              <w:rPr>
                <w:color w:val="000000" w:themeColor="text1"/>
                <w:sz w:val="24"/>
                <w14:textFill>
                  <w14:solidFill>
                    <w14:schemeClr w14:val="tx1"/>
                  </w14:solidFill>
                </w14:textFill>
              </w:rPr>
              <w:t>中对监测指标要求，具体监测内容见下表。</w:t>
            </w:r>
          </w:p>
          <w:p>
            <w:pPr>
              <w:widowControl/>
              <w:spacing w:line="360" w:lineRule="auto"/>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表4-15  噪声环境监测计划</w:t>
            </w:r>
          </w:p>
          <w:tbl>
            <w:tblPr>
              <w:tblStyle w:val="3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57" w:type="dxa"/>
                <w:bottom w:w="0" w:type="dxa"/>
                <w:right w:w="57" w:type="dxa"/>
              </w:tblCellMar>
            </w:tblPr>
            <w:tblGrid>
              <w:gridCol w:w="1506"/>
              <w:gridCol w:w="1256"/>
              <w:gridCol w:w="1077"/>
              <w:gridCol w:w="431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57" w:type="dxa"/>
                  <w:bottom w:w="0" w:type="dxa"/>
                  <w:right w:w="57" w:type="dxa"/>
                </w:tblCellMar>
              </w:tblPrEx>
              <w:trPr>
                <w:trHeight w:val="454" w:hRule="atLeast"/>
                <w:jc w:val="center"/>
              </w:trPr>
              <w:tc>
                <w:tcPr>
                  <w:tcW w:w="0" w:type="auto"/>
                  <w:tcBorders>
                    <w:tl2br w:val="nil"/>
                    <w:tr2bl w:val="nil"/>
                  </w:tcBorders>
                  <w:shd w:val="clear" w:color="auto" w:fill="auto"/>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监测点位</w:t>
                  </w:r>
                </w:p>
              </w:tc>
              <w:tc>
                <w:tcPr>
                  <w:tcW w:w="0" w:type="auto"/>
                  <w:tcBorders>
                    <w:tl2br w:val="nil"/>
                    <w:tr2bl w:val="nil"/>
                  </w:tcBorders>
                  <w:shd w:val="clear" w:color="auto" w:fill="auto"/>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监测指标</w:t>
                  </w:r>
                </w:p>
              </w:tc>
              <w:tc>
                <w:tcPr>
                  <w:tcW w:w="1077" w:type="dxa"/>
                  <w:tcBorders>
                    <w:tl2br w:val="nil"/>
                    <w:tr2bl w:val="nil"/>
                  </w:tcBorders>
                  <w:shd w:val="clear" w:color="auto" w:fill="auto"/>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监测频次</w:t>
                  </w:r>
                </w:p>
              </w:tc>
              <w:tc>
                <w:tcPr>
                  <w:tcW w:w="4319" w:type="dxa"/>
                  <w:tcBorders>
                    <w:tl2br w:val="nil"/>
                    <w:tr2bl w:val="nil"/>
                  </w:tcBorders>
                  <w:shd w:val="clear" w:color="auto" w:fill="auto"/>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执行排放标准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850" w:hRule="atLeast"/>
                <w:jc w:val="center"/>
              </w:trPr>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项目四周厂界1m处</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等效连续A声级</w:t>
                  </w:r>
                </w:p>
              </w:tc>
              <w:tc>
                <w:tcPr>
                  <w:tcW w:w="1077"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1次/季度</w:t>
                  </w:r>
                </w:p>
              </w:tc>
              <w:tc>
                <w:tcPr>
                  <w:tcW w:w="4319"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《工业企业厂界环境噪声排放标准》（GB12348-2008）2类标准</w:t>
                  </w:r>
                </w:p>
              </w:tc>
            </w:tr>
          </w:tbl>
          <w:p>
            <w:pPr>
              <w:spacing w:line="360" w:lineRule="auto"/>
              <w:ind w:firstLine="482" w:firstLineChars="200"/>
              <w:contextualSpacing/>
              <w:rPr>
                <w:b/>
                <w:color w:val="000000" w:themeColor="text1"/>
                <w:sz w:val="24"/>
                <w14:textFill>
                  <w14:solidFill>
                    <w14:schemeClr w14:val="tx1"/>
                  </w14:solidFill>
                </w14:textFill>
              </w:rPr>
            </w:pPr>
            <w:r>
              <w:rPr>
                <w:b/>
                <w:color w:val="000000" w:themeColor="text1"/>
                <w:sz w:val="24"/>
                <w14:textFill>
                  <w14:solidFill>
                    <w14:schemeClr w14:val="tx1"/>
                  </w14:solidFill>
                </w14:textFill>
              </w:rPr>
              <w:t>四、固体废物</w:t>
            </w:r>
            <w:r>
              <w:rPr>
                <w:rFonts w:hint="eastAsia"/>
                <w:b/>
                <w:color w:val="000000" w:themeColor="text1"/>
                <w:sz w:val="24"/>
                <w14:textFill>
                  <w14:solidFill>
                    <w14:schemeClr w14:val="tx1"/>
                  </w14:solidFill>
                </w14:textFill>
              </w:rPr>
              <w:t>环境</w:t>
            </w:r>
            <w:r>
              <w:rPr>
                <w:b/>
                <w:color w:val="000000" w:themeColor="text1"/>
                <w:sz w:val="24"/>
                <w14:textFill>
                  <w14:solidFill>
                    <w14:schemeClr w14:val="tx1"/>
                  </w14:solidFill>
                </w14:textFill>
              </w:rPr>
              <w:t>影响分析</w:t>
            </w:r>
          </w:p>
          <w:p>
            <w:pPr>
              <w:spacing w:line="360" w:lineRule="auto"/>
              <w:ind w:firstLine="482" w:firstLineChars="200"/>
              <w:contextualSpacing/>
              <w:rPr>
                <w:b/>
                <w:color w:val="000000" w:themeColor="text1"/>
                <w:sz w:val="24"/>
                <w14:textFill>
                  <w14:solidFill>
                    <w14:schemeClr w14:val="tx1"/>
                  </w14:solidFill>
                </w14:textFill>
              </w:rPr>
            </w:pPr>
            <w:r>
              <w:rPr>
                <w:b/>
                <w:color w:val="000000" w:themeColor="text1"/>
                <w:sz w:val="24"/>
                <w14:textFill>
                  <w14:solidFill>
                    <w14:schemeClr w14:val="tx1"/>
                  </w14:solidFill>
                </w14:textFill>
              </w:rPr>
              <w:t>1、固体废物产生情况</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本项目运营期固废主要有员工生活垃圾、</w:t>
            </w:r>
            <w:r>
              <w:rPr>
                <w:rFonts w:hint="eastAsia"/>
                <w:color w:val="000000" w:themeColor="text1"/>
                <w:sz w:val="24"/>
                <w14:textFill>
                  <w14:solidFill>
                    <w14:schemeClr w14:val="tx1"/>
                  </w14:solidFill>
                </w14:textFill>
              </w:rPr>
              <w:t>漆渣、</w:t>
            </w:r>
            <w:r>
              <w:rPr>
                <w:color w:val="000000" w:themeColor="text1"/>
                <w:sz w:val="24"/>
                <w14:textFill>
                  <w14:solidFill>
                    <w14:schemeClr w14:val="tx1"/>
                  </w14:solidFill>
                </w14:textFill>
              </w:rPr>
              <w:t>喷枪清洗废水和喷淋塔定期更换废水、</w:t>
            </w:r>
            <w:r>
              <w:rPr>
                <w:rFonts w:hint="eastAsia"/>
                <w:color w:val="000000" w:themeColor="text1"/>
                <w:sz w:val="24"/>
                <w14:textFill>
                  <w14:solidFill>
                    <w14:schemeClr w14:val="tx1"/>
                  </w14:solidFill>
                </w14:textFill>
              </w:rPr>
              <w:t>废包装桶、</w:t>
            </w:r>
            <w:r>
              <w:rPr>
                <w:color w:val="000000" w:themeColor="text1"/>
                <w:sz w:val="24"/>
                <w14:textFill>
                  <w14:solidFill>
                    <w14:schemeClr w14:val="tx1"/>
                  </w14:solidFill>
                </w14:textFill>
              </w:rPr>
              <w:t>废活性炭等。</w:t>
            </w:r>
          </w:p>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（1）生活垃圾</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拟安排员工40人，厂内设有宿舍，设食堂。根据《社会区域类环境影响评价》（中国环境出版社）中固体废物污染源推荐数据，办公垃圾产生量按0.5kg/（人•d）计算，年工作日300天，则项目的生活垃圾产生量约6.00t/a，交由环卫部门清运。</w:t>
            </w:r>
          </w:p>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一般工业</w:t>
            </w:r>
            <w:r>
              <w:rPr>
                <w:b/>
                <w:bCs/>
                <w:color w:val="000000" w:themeColor="text1"/>
                <w:sz w:val="24"/>
                <w14:textFill>
                  <w14:solidFill>
                    <w14:schemeClr w14:val="tx1"/>
                  </w14:solidFill>
                </w14:textFill>
              </w:rPr>
              <w:t>固废</w:t>
            </w:r>
          </w:p>
          <w:p>
            <w:pPr>
              <w:numPr>
                <w:ilvl w:val="0"/>
                <w:numId w:val="14"/>
              </w:numPr>
              <w:autoSpaceDE w:val="0"/>
              <w:autoSpaceDN w:val="0"/>
              <w:adjustRightInd w:val="0"/>
              <w:spacing w:line="360" w:lineRule="auto"/>
              <w:ind w:firstLine="0"/>
              <w:textAlignment w:val="baseline"/>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木材边角料</w:t>
            </w:r>
          </w:p>
          <w:p>
            <w:pPr>
              <w:widowControl/>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项目在开料、雕刻工序中会产生木材边角料，根据工程分析的结果，其产生量为4</w:t>
            </w:r>
            <w:r>
              <w:rPr>
                <w:color w:val="000000" w:themeColor="text1"/>
                <w:sz w:val="24"/>
                <w14:textFill>
                  <w14:solidFill>
                    <w14:schemeClr w14:val="tx1"/>
                  </w14:solidFill>
                </w14:textFill>
              </w:rPr>
              <w:t>4.66</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a，属于一般工业固体废物，交由专业的回收公司处理。</w:t>
            </w:r>
          </w:p>
          <w:p>
            <w:pPr>
              <w:numPr>
                <w:ilvl w:val="0"/>
                <w:numId w:val="14"/>
              </w:numPr>
              <w:autoSpaceDE w:val="0"/>
              <w:autoSpaceDN w:val="0"/>
              <w:adjustRightInd w:val="0"/>
              <w:spacing w:line="360" w:lineRule="auto"/>
              <w:ind w:firstLine="0"/>
              <w:textAlignment w:val="baseline"/>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金属边角料</w:t>
            </w:r>
          </w:p>
          <w:p>
            <w:pPr>
              <w:widowControl/>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项目在切割工序中会产生金属边角料，根据工程分析的结果，其产生量为</w:t>
            </w:r>
            <w:r>
              <w:rPr>
                <w:color w:val="000000" w:themeColor="text1"/>
                <w:sz w:val="24"/>
                <w14:textFill>
                  <w14:solidFill>
                    <w14:schemeClr w14:val="tx1"/>
                  </w14:solidFill>
                </w14:textFill>
              </w:rPr>
              <w:t>0.50</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a，属于一般工业固体废物，交由专业的回收公司处理。</w:t>
            </w:r>
          </w:p>
          <w:p>
            <w:pPr>
              <w:numPr>
                <w:ilvl w:val="0"/>
                <w:numId w:val="14"/>
              </w:numPr>
              <w:autoSpaceDE w:val="0"/>
              <w:autoSpaceDN w:val="0"/>
              <w:adjustRightInd w:val="0"/>
              <w:spacing w:line="360" w:lineRule="auto"/>
              <w:ind w:firstLine="0"/>
              <w:textAlignment w:val="baseline"/>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包装废物</w:t>
            </w:r>
          </w:p>
          <w:p>
            <w:pPr>
              <w:widowControl/>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根据企业提供的资料，项目在包装工序中原料拆封及产品打包运输是会产生废包装材料，主要为纸箱、塑料绳等，产生率按</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 xml:space="preserve">计算，包装材料用量为 </w:t>
            </w:r>
            <w:r>
              <w:rPr>
                <w:color w:val="000000" w:themeColor="text1"/>
                <w:sz w:val="24"/>
                <w14:textFill>
                  <w14:solidFill>
                    <w14:schemeClr w14:val="tx1"/>
                  </w14:solidFill>
                </w14:textFill>
              </w:rPr>
              <w:t>2.0t/a</w:t>
            </w:r>
            <w:r>
              <w:rPr>
                <w:rFonts w:hint="eastAsia"/>
                <w:color w:val="000000" w:themeColor="text1"/>
                <w:sz w:val="24"/>
                <w14:textFill>
                  <w14:solidFill>
                    <w14:schemeClr w14:val="tx1"/>
                  </w14:solidFill>
                </w14:textFill>
              </w:rPr>
              <w:t>，则废包装材料产生量为</w:t>
            </w:r>
            <w:r>
              <w:rPr>
                <w:color w:val="000000" w:themeColor="text1"/>
                <w:sz w:val="24"/>
                <w14:textFill>
                  <w14:solidFill>
                    <w14:schemeClr w14:val="tx1"/>
                  </w14:solidFill>
                </w14:textFill>
              </w:rPr>
              <w:t>0.02t/</w:t>
            </w:r>
            <w:r>
              <w:rPr>
                <w:rFonts w:hint="eastAsia"/>
                <w:color w:val="000000" w:themeColor="text1"/>
                <w:sz w:val="24"/>
                <w14:textFill>
                  <w14:solidFill>
                    <w14:schemeClr w14:val="tx1"/>
                  </w14:solidFill>
                </w14:textFill>
              </w:rPr>
              <w:t>a，交由专业的回收公司处理。</w:t>
            </w:r>
          </w:p>
          <w:p>
            <w:pPr>
              <w:numPr>
                <w:ilvl w:val="0"/>
                <w:numId w:val="14"/>
              </w:numPr>
              <w:autoSpaceDE w:val="0"/>
              <w:autoSpaceDN w:val="0"/>
              <w:adjustRightInd w:val="0"/>
              <w:spacing w:line="360" w:lineRule="auto"/>
              <w:ind w:firstLine="0"/>
              <w:textAlignment w:val="baseline"/>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车间地面及布袋除尘器收集到的粉尘</w:t>
            </w:r>
          </w:p>
          <w:p>
            <w:pPr>
              <w:widowControl/>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根据工程分析的结果，开料、雕刻、打磨、切割工序废气处理装置收集到的粉尘量为</w:t>
            </w:r>
            <w:r>
              <w:rPr>
                <w:color w:val="000000" w:themeColor="text1"/>
                <w:sz w:val="24"/>
                <w14:textFill>
                  <w14:solidFill>
                    <w14:schemeClr w14:val="tx1"/>
                  </w14:solidFill>
                </w14:textFill>
              </w:rPr>
              <w:t>2.94</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a，车间地面收集到的粉尘量为1</w:t>
            </w:r>
            <w:r>
              <w:rPr>
                <w:color w:val="000000" w:themeColor="text1"/>
                <w:sz w:val="24"/>
                <w14:textFill>
                  <w14:solidFill>
                    <w14:schemeClr w14:val="tx1"/>
                  </w14:solidFill>
                </w14:textFill>
              </w:rPr>
              <w:t>.85</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a，合计4</w:t>
            </w:r>
            <w:r>
              <w:rPr>
                <w:color w:val="000000" w:themeColor="text1"/>
                <w:sz w:val="24"/>
                <w14:textFill>
                  <w14:solidFill>
                    <w14:schemeClr w14:val="tx1"/>
                  </w14:solidFill>
                </w14:textFill>
              </w:rPr>
              <w:t>.79</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a，主要为木屑粉尘和金属粉尘，属于一般固体废物，经收集后交由专业的回收公司处理。</w:t>
            </w:r>
          </w:p>
          <w:p>
            <w:pPr>
              <w:numPr>
                <w:ilvl w:val="0"/>
                <w:numId w:val="14"/>
              </w:numPr>
              <w:autoSpaceDE w:val="0"/>
              <w:autoSpaceDN w:val="0"/>
              <w:adjustRightInd w:val="0"/>
              <w:spacing w:line="360" w:lineRule="auto"/>
              <w:ind w:firstLine="0"/>
              <w:textAlignment w:val="baseline"/>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焊接烟尘净化器收集到的粉尘</w:t>
            </w:r>
          </w:p>
          <w:p>
            <w:pPr>
              <w:widowControl/>
              <w:spacing w:line="360" w:lineRule="auto"/>
              <w:ind w:firstLine="480" w:firstLineChars="200"/>
              <w:jc w:val="left"/>
            </w:pPr>
            <w:r>
              <w:rPr>
                <w:rFonts w:hint="eastAsia"/>
                <w:color w:val="000000" w:themeColor="text1"/>
                <w:sz w:val="24"/>
                <w14:textFill>
                  <w14:solidFill>
                    <w14:schemeClr w14:val="tx1"/>
                  </w14:solidFill>
                </w14:textFill>
              </w:rPr>
              <w:t>根据工程分析的结果，焊接烟尘净化器收集到的粉尘的量为</w:t>
            </w:r>
            <w:r>
              <w:rPr>
                <w:color w:val="000000" w:themeColor="text1"/>
                <w:sz w:val="24"/>
                <w14:textFill>
                  <w14:solidFill>
                    <w14:schemeClr w14:val="tx1"/>
                  </w14:solidFill>
                </w14:textFill>
              </w:rPr>
              <w:t>0.002</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a，属于一般固体废物，经收集后交由专业的回收公司处理。</w:t>
            </w:r>
          </w:p>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（3）危险废物</w:t>
            </w:r>
          </w:p>
          <w:p>
            <w:pPr>
              <w:numPr>
                <w:ilvl w:val="0"/>
                <w:numId w:val="15"/>
              </w:numPr>
              <w:spacing w:line="360" w:lineRule="auto"/>
              <w:ind w:firstLine="482" w:firstLineChars="200"/>
              <w:rPr>
                <w:b/>
                <w:bCs/>
                <w:color w:val="000000" w:themeColor="text1"/>
                <w14:textFill>
                  <w14:solidFill>
                    <w14:schemeClr w14:val="tx1"/>
                  </w14:solidFill>
                </w14:textFill>
              </w:rPr>
            </w:pPr>
            <w:r>
              <w:rPr>
                <w:b/>
                <w:bCs/>
                <w:color w:val="000000" w:themeColor="text1"/>
                <w:sz w:val="24"/>
                <w14:textFill>
                  <w14:solidFill>
                    <w14:schemeClr w14:val="tx1"/>
                  </w14:solidFill>
                </w14:textFill>
              </w:rPr>
              <w:t xml:space="preserve">废活性炭 </w:t>
            </w:r>
          </w:p>
          <w:p>
            <w:pPr>
              <w:adjustRightInd w:val="0"/>
              <w:spacing w:line="360" w:lineRule="auto"/>
              <w:ind w:firstLine="480" w:firstLineChars="200"/>
              <w:textAlignment w:val="baseline"/>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项目设置一套“喷淋塔+过滤除雾器+二级活性炭吸附”装置处理</w:t>
            </w:r>
            <w:r>
              <w:rPr>
                <w:bCs/>
                <w:color w:val="000000" w:themeColor="text1"/>
                <w:sz w:val="24"/>
                <w14:textFill>
                  <w14:solidFill>
                    <w14:schemeClr w14:val="tx1"/>
                  </w14:solidFill>
                </w14:textFill>
              </w:rPr>
              <w:t>有机废气，活性炭需定期更换。</w:t>
            </w:r>
            <w:r>
              <w:rPr>
                <w:rFonts w:hint="eastAsia"/>
                <w:bCs/>
                <w:color w:val="000000" w:themeColor="text1"/>
                <w:sz w:val="24"/>
                <w14:textFill>
                  <w14:solidFill>
                    <w14:schemeClr w14:val="tx1"/>
                  </w14:solidFill>
                </w14:textFill>
              </w:rPr>
              <w:t>两级活性炭吸附装置的活性炭箱设计规格一样，</w:t>
            </w:r>
            <w:r>
              <w:rPr>
                <w:bCs/>
                <w:color w:val="000000" w:themeColor="text1"/>
                <w:sz w:val="24"/>
                <w14:textFill>
                  <w14:solidFill>
                    <w14:schemeClr w14:val="tx1"/>
                  </w14:solidFill>
                </w14:textFill>
              </w:rPr>
              <w:t>单个活性炭吸附箱宽度为2.0m，高度为1.2m，则空箱风速为1.16m/s，符合《吸附法工业有机废气治理工程技术规范》</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HJ2026-2013</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中使用蜂窝活性炭风速宜小于1.2m/s的要求。单个活性炭箱</w:t>
            </w:r>
            <w:r>
              <w:rPr>
                <w:rFonts w:hint="eastAsia"/>
                <w:bCs/>
                <w:color w:val="000000" w:themeColor="text1"/>
                <w:sz w:val="24"/>
                <w14:textFill>
                  <w14:solidFill>
                    <w14:schemeClr w14:val="tx1"/>
                  </w14:solidFill>
                </w14:textFill>
              </w:rPr>
              <w:t>横截</w:t>
            </w:r>
            <w:r>
              <w:rPr>
                <w:bCs/>
                <w:color w:val="000000" w:themeColor="text1"/>
                <w:sz w:val="24"/>
                <w14:textFill>
                  <w14:solidFill>
                    <w14:schemeClr w14:val="tx1"/>
                  </w14:solidFill>
                </w14:textFill>
              </w:rPr>
              <w:t>面积为</w:t>
            </w:r>
            <w:r>
              <w:rPr>
                <w:rFonts w:hint="eastAsia"/>
                <w:bCs/>
                <w:color w:val="000000" w:themeColor="text1"/>
                <w:sz w:val="24"/>
                <w14:textFill>
                  <w14:solidFill>
                    <w14:schemeClr w14:val="tx1"/>
                  </w14:solidFill>
                </w14:textFill>
              </w:rPr>
              <w:t>1</w:t>
            </w:r>
            <w:r>
              <w:rPr>
                <w:bCs/>
                <w:color w:val="000000" w:themeColor="text1"/>
                <w:sz w:val="24"/>
                <w14:textFill>
                  <w14:solidFill>
                    <w14:schemeClr w14:val="tx1"/>
                  </w14:solidFill>
                </w14:textFill>
              </w:rPr>
              <w:t>m</w:t>
            </w:r>
            <w:r>
              <w:rPr>
                <w:bCs/>
                <w:color w:val="000000" w:themeColor="text1"/>
                <w:sz w:val="24"/>
                <w:vertAlign w:val="superscript"/>
                <w14:textFill>
                  <w14:solidFill>
                    <w14:schemeClr w14:val="tx1"/>
                  </w14:solidFill>
                </w14:textFill>
              </w:rPr>
              <w:t>2</w:t>
            </w:r>
            <w:r>
              <w:rPr>
                <w:bCs/>
                <w:color w:val="000000" w:themeColor="text1"/>
                <w:sz w:val="24"/>
                <w14:textFill>
                  <w14:solidFill>
                    <w14:schemeClr w14:val="tx1"/>
                  </w14:solidFill>
                </w14:textFill>
              </w:rPr>
              <w:t>，过滤风速取0.8m/s，活性炭层设置为</w:t>
            </w:r>
            <w:r>
              <w:rPr>
                <w:rFonts w:hint="eastAsia"/>
                <w:bCs/>
                <w:color w:val="000000" w:themeColor="text1"/>
                <w:sz w:val="24"/>
                <w14:textFill>
                  <w14:solidFill>
                    <w14:schemeClr w14:val="tx1"/>
                  </w14:solidFill>
                </w14:textFill>
              </w:rPr>
              <w:t>3</w:t>
            </w:r>
            <w:r>
              <w:rPr>
                <w:bCs/>
                <w:color w:val="000000" w:themeColor="text1"/>
                <w:sz w:val="24"/>
                <w14:textFill>
                  <w14:solidFill>
                    <w14:schemeClr w14:val="tx1"/>
                  </w14:solidFill>
                </w14:textFill>
              </w:rPr>
              <w:t>层，单层厚度取0.</w:t>
            </w:r>
            <w:r>
              <w:rPr>
                <w:rFonts w:hint="eastAsia"/>
                <w:bCs/>
                <w:color w:val="000000" w:themeColor="text1"/>
                <w:sz w:val="24"/>
                <w14:textFill>
                  <w14:solidFill>
                    <w14:schemeClr w14:val="tx1"/>
                  </w14:solidFill>
                </w14:textFill>
              </w:rPr>
              <w:t>3</w:t>
            </w:r>
            <w:r>
              <w:rPr>
                <w:bCs/>
                <w:color w:val="000000" w:themeColor="text1"/>
                <w:sz w:val="24"/>
                <w14:textFill>
                  <w14:solidFill>
                    <w14:schemeClr w14:val="tx1"/>
                  </w14:solidFill>
                </w14:textFill>
              </w:rPr>
              <w:t>m，间距为0.</w:t>
            </w:r>
            <w:r>
              <w:rPr>
                <w:rFonts w:hint="eastAsia"/>
                <w:bCs/>
                <w:color w:val="000000" w:themeColor="text1"/>
                <w:sz w:val="24"/>
                <w14:textFill>
                  <w14:solidFill>
                    <w14:schemeClr w14:val="tx1"/>
                  </w14:solidFill>
                </w14:textFill>
              </w:rPr>
              <w:t>2</w:t>
            </w:r>
            <w:r>
              <w:rPr>
                <w:bCs/>
                <w:color w:val="000000" w:themeColor="text1"/>
                <w:sz w:val="24"/>
                <w14:textFill>
                  <w14:solidFill>
                    <w14:schemeClr w14:val="tx1"/>
                  </w14:solidFill>
                </w14:textFill>
              </w:rPr>
              <w:t>m</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则活性炭箱的长度为1</w:t>
            </w:r>
            <w:r>
              <w:rPr>
                <w:rFonts w:hint="eastAsia"/>
                <w:bCs/>
                <w:color w:val="000000" w:themeColor="text1"/>
                <w:sz w:val="24"/>
                <w14:textFill>
                  <w14:solidFill>
                    <w14:schemeClr w14:val="tx1"/>
                  </w14:solidFill>
                </w14:textFill>
              </w:rPr>
              <w:t>.3</w:t>
            </w:r>
            <w:r>
              <w:rPr>
                <w:bCs/>
                <w:color w:val="000000" w:themeColor="text1"/>
                <w:sz w:val="24"/>
                <w14:textFill>
                  <w14:solidFill>
                    <w14:schemeClr w14:val="tx1"/>
                  </w14:solidFill>
                </w14:textFill>
              </w:rPr>
              <w:t>m，废气在活性炭箱内的过滤停留时间为1.12s，满足污染物在活性炭箱内的接触吸附时间0.5s~2s的要求。综上，单个活性炭吸附箱内活性炭填充体积为2.0m</w:t>
            </w:r>
            <w:r>
              <w:rPr>
                <w:bCs/>
                <w:color w:val="000000" w:themeColor="text1"/>
                <w:sz w:val="24"/>
                <w:vertAlign w:val="superscript"/>
                <w14:textFill>
                  <w14:solidFill>
                    <w14:schemeClr w14:val="tx1"/>
                  </w14:solidFill>
                </w14:textFill>
              </w:rPr>
              <w:t>2</w:t>
            </w:r>
            <w:r>
              <w:rPr>
                <w:rFonts w:hint="eastAsia"/>
                <w:bCs/>
                <w:color w:val="000000" w:themeColor="text1"/>
                <w:sz w:val="24"/>
                <w14:textFill>
                  <w14:solidFill>
                    <w14:schemeClr w14:val="tx1"/>
                  </w14:solidFill>
                </w14:textFill>
              </w:rPr>
              <w:t>×0.3</w:t>
            </w:r>
            <w:r>
              <w:rPr>
                <w:bCs/>
                <w:color w:val="000000" w:themeColor="text1"/>
                <w:sz w:val="24"/>
                <w14:textFill>
                  <w14:solidFill>
                    <w14:schemeClr w14:val="tx1"/>
                  </w14:solidFill>
                </w14:textFill>
              </w:rPr>
              <w:t>m</w:t>
            </w:r>
            <w:r>
              <w:rPr>
                <w:rFonts w:hint="eastAsia"/>
                <w:bCs/>
                <w:color w:val="000000" w:themeColor="text1"/>
                <w:sz w:val="24"/>
                <w14:textFill>
                  <w14:solidFill>
                    <w14:schemeClr w14:val="tx1"/>
                  </w14:solidFill>
                </w14:textFill>
              </w:rPr>
              <w:t>×3</w:t>
            </w:r>
            <w:r>
              <w:rPr>
                <w:bCs/>
                <w:color w:val="000000" w:themeColor="text1"/>
                <w:sz w:val="24"/>
                <w14:textFill>
                  <w14:solidFill>
                    <w14:schemeClr w14:val="tx1"/>
                  </w14:solidFill>
                </w14:textFill>
              </w:rPr>
              <w:t>=1.88m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，活性炭密度0.</w:t>
            </w:r>
            <w:r>
              <w:rPr>
                <w:rFonts w:hint="eastAsia"/>
                <w:bCs/>
                <w:color w:val="000000" w:themeColor="text1"/>
                <w:sz w:val="24"/>
                <w14:textFill>
                  <w14:solidFill>
                    <w14:schemeClr w14:val="tx1"/>
                  </w14:solidFill>
                </w14:textFill>
              </w:rPr>
              <w:t>4</w:t>
            </w:r>
            <w:r>
              <w:rPr>
                <w:bCs/>
                <w:color w:val="000000" w:themeColor="text1"/>
                <w:sz w:val="24"/>
                <w14:textFill>
                  <w14:solidFill>
                    <w14:schemeClr w14:val="tx1"/>
                  </w14:solidFill>
                </w14:textFill>
              </w:rPr>
              <w:t>5g/cm</w:t>
            </w:r>
            <w:r>
              <w:rPr>
                <w:bCs/>
                <w:color w:val="000000" w:themeColor="text1"/>
                <w:sz w:val="24"/>
                <w:vertAlign w:val="superscript"/>
                <w14:textFill>
                  <w14:solidFill>
                    <w14:schemeClr w14:val="tx1"/>
                  </w14:solidFill>
                </w14:textFill>
              </w:rPr>
              <w:t>3</w:t>
            </w:r>
            <w:r>
              <w:rPr>
                <w:bCs/>
                <w:color w:val="000000" w:themeColor="text1"/>
                <w:sz w:val="24"/>
                <w14:textFill>
                  <w14:solidFill>
                    <w14:schemeClr w14:val="tx1"/>
                  </w14:solidFill>
                </w14:textFill>
              </w:rPr>
              <w:t>，则活性炭吸附设施内活性炭一次装载量为0.81t</w:t>
            </w:r>
            <w:r>
              <w:rPr>
                <w:rFonts w:hint="eastAsia"/>
                <w:bCs/>
                <w:color w:val="000000" w:themeColor="text1"/>
                <w:sz w:val="24"/>
                <w14:textFill>
                  <w14:solidFill>
                    <w14:schemeClr w14:val="tx1"/>
                  </w14:solidFill>
                </w14:textFill>
              </w:rPr>
              <w:t>,两级共</w:t>
            </w:r>
            <w:r>
              <w:rPr>
                <w:bCs/>
                <w:color w:val="000000" w:themeColor="text1"/>
                <w:sz w:val="24"/>
                <w14:textFill>
                  <w14:solidFill>
                    <w14:schemeClr w14:val="tx1"/>
                  </w14:solidFill>
                </w14:textFill>
              </w:rPr>
              <w:t>1.62</w:t>
            </w:r>
            <w:r>
              <w:rPr>
                <w:rFonts w:hint="eastAsia"/>
                <w:bCs/>
                <w:color w:val="000000" w:themeColor="text1"/>
                <w:sz w:val="24"/>
                <w14:textFill>
                  <w14:solidFill>
                    <w14:schemeClr w14:val="tx1"/>
                  </w14:solidFill>
                </w14:textFill>
              </w:rPr>
              <w:t>t</w:t>
            </w:r>
            <w:r>
              <w:rPr>
                <w:bCs/>
                <w:color w:val="000000" w:themeColor="text1"/>
                <w:sz w:val="24"/>
                <w14:textFill>
                  <w14:solidFill>
                    <w14:schemeClr w14:val="tx1"/>
                  </w14:solidFill>
                </w14:textFill>
              </w:rPr>
              <w:t>。</w:t>
            </w:r>
          </w:p>
          <w:p>
            <w:pPr>
              <w:adjustRightInd w:val="0"/>
              <w:spacing w:line="360" w:lineRule="auto"/>
              <w:ind w:firstLine="480" w:firstLineChars="200"/>
              <w:textAlignment w:val="baseline"/>
              <w:rPr>
                <w:bCs/>
                <w:color w:val="000000" w:themeColor="text1"/>
                <w:sz w:val="24"/>
                <w14:textFill>
                  <w14:solidFill>
                    <w14:schemeClr w14:val="tx1"/>
                  </w14:solidFill>
                </w14:textFill>
              </w:rPr>
            </w:pPr>
            <w:r>
              <w:rPr>
                <w:bCs/>
                <w:color w:val="000000" w:themeColor="text1"/>
                <w:sz w:val="24"/>
                <w14:textFill>
                  <w14:solidFill>
                    <w14:schemeClr w14:val="tx1"/>
                  </w14:solidFill>
                </w14:textFill>
              </w:rPr>
              <w:t>根据《现代涂装手册（化学工业出版社，陈治良主编），活性炭的吸附容量一般为25%左右</w:t>
            </w:r>
            <w:r>
              <w:rPr>
                <w:rFonts w:hint="eastAsia"/>
                <w:bCs/>
                <w:color w:val="000000" w:themeColor="text1"/>
                <w:sz w:val="24"/>
                <w14:textFill>
                  <w14:solidFill>
                    <w14:schemeClr w14:val="tx1"/>
                  </w14:solidFill>
                </w14:textFill>
              </w:rPr>
              <w:t>，则二级活性炭吸附设备填充一次</w:t>
            </w:r>
            <w:r>
              <w:rPr>
                <w:bCs/>
                <w:color w:val="000000" w:themeColor="text1"/>
                <w:sz w:val="24"/>
                <w14:textFill>
                  <w14:solidFill>
                    <w14:schemeClr w14:val="tx1"/>
                  </w14:solidFill>
                </w14:textFill>
              </w:rPr>
              <w:t>1.62</w:t>
            </w:r>
            <w:r>
              <w:rPr>
                <w:rFonts w:hint="eastAsia"/>
                <w:bCs/>
                <w:color w:val="000000" w:themeColor="text1"/>
                <w:sz w:val="24"/>
                <w14:textFill>
                  <w14:solidFill>
                    <w14:schemeClr w14:val="tx1"/>
                  </w14:solidFill>
                </w14:textFill>
              </w:rPr>
              <w:t>t的活性炭可以吸附</w:t>
            </w:r>
            <w:r>
              <w:rPr>
                <w:bCs/>
                <w:color w:val="000000" w:themeColor="text1"/>
                <w:sz w:val="24"/>
                <w14:textFill>
                  <w14:solidFill>
                    <w14:schemeClr w14:val="tx1"/>
                  </w14:solidFill>
                </w14:textFill>
              </w:rPr>
              <w:t>0.405</w:t>
            </w:r>
            <w:r>
              <w:rPr>
                <w:rFonts w:hint="eastAsia"/>
                <w:bCs/>
                <w:color w:val="000000" w:themeColor="text1"/>
                <w:sz w:val="24"/>
                <w14:textFill>
                  <w14:solidFill>
                    <w14:schemeClr w14:val="tx1"/>
                  </w14:solidFill>
                </w14:textFill>
              </w:rPr>
              <w:t>t的有机废气</w:t>
            </w:r>
            <w:r>
              <w:rPr>
                <w:bCs/>
                <w:color w:val="000000" w:themeColor="text1"/>
                <w:sz w:val="24"/>
                <w14:textFill>
                  <w14:solidFill>
                    <w14:schemeClr w14:val="tx1"/>
                  </w14:solidFill>
                </w14:textFill>
              </w:rPr>
              <w:t>。项目</w:t>
            </w:r>
            <w:r>
              <w:rPr>
                <w:rFonts w:hint="eastAsia"/>
                <w:bCs/>
                <w:color w:val="000000" w:themeColor="text1"/>
                <w:sz w:val="24"/>
                <w14:textFill>
                  <w14:solidFill>
                    <w14:schemeClr w14:val="tx1"/>
                  </w14:solidFill>
                </w14:textFill>
              </w:rPr>
              <w:t>进入废气处理设施的废气量约为</w:t>
            </w:r>
            <w:r>
              <w:rPr>
                <w:bCs/>
                <w:color w:val="000000" w:themeColor="text1"/>
                <w:sz w:val="24"/>
                <w14:textFill>
                  <w14:solidFill>
                    <w14:schemeClr w14:val="tx1"/>
                  </w14:solidFill>
                </w14:textFill>
              </w:rPr>
              <w:t>1.1652</w:t>
            </w:r>
            <w:r>
              <w:rPr>
                <w:rFonts w:hint="eastAsia"/>
                <w:bCs/>
                <w:color w:val="000000" w:themeColor="text1"/>
                <w:sz w:val="24"/>
                <w14:textFill>
                  <w14:solidFill>
                    <w14:schemeClr w14:val="tx1"/>
                  </w14:solidFill>
                </w14:textFill>
              </w:rPr>
              <w:t>t/a（废气收集效率为</w:t>
            </w:r>
            <w:r>
              <w:rPr>
                <w:bCs/>
                <w:color w:val="000000" w:themeColor="text1"/>
                <w:sz w:val="24"/>
                <w14:textFill>
                  <w14:solidFill>
                    <w14:schemeClr w14:val="tx1"/>
                  </w14:solidFill>
                </w14:textFill>
              </w:rPr>
              <w:t>90</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本项目</w:t>
            </w:r>
            <w:r>
              <w:rPr>
                <w:rFonts w:hint="eastAsia"/>
                <w:bCs/>
                <w:color w:val="000000" w:themeColor="text1"/>
                <w:sz w:val="24"/>
                <w14:textFill>
                  <w14:solidFill>
                    <w14:schemeClr w14:val="tx1"/>
                  </w14:solidFill>
                </w14:textFill>
              </w:rPr>
              <w:t>DA00</w:t>
            </w:r>
            <w:r>
              <w:rPr>
                <w:bCs/>
                <w:color w:val="000000" w:themeColor="text1"/>
                <w:sz w:val="24"/>
                <w14:textFill>
                  <w14:solidFill>
                    <w14:schemeClr w14:val="tx1"/>
                  </w14:solidFill>
                </w14:textFill>
              </w:rPr>
              <w:t>2活性炭箱需要吸附的有机废气量为0.7666t/a</w:t>
            </w:r>
            <w:r>
              <w:rPr>
                <w:rFonts w:hint="eastAsia"/>
                <w:bCs/>
                <w:color w:val="000000" w:themeColor="text1"/>
                <w:sz w:val="24"/>
                <w14:textFill>
                  <w14:solidFill>
                    <w14:schemeClr w14:val="tx1"/>
                  </w14:solidFill>
                </w14:textFill>
              </w:rPr>
              <w:t>（喷淋塔+过滤除雾器</w:t>
            </w:r>
            <w:r>
              <w:rPr>
                <w:bCs/>
                <w:color w:val="000000" w:themeColor="text1"/>
                <w:sz w:val="24"/>
                <w14:textFill>
                  <w14:solidFill>
                    <w14:schemeClr w14:val="tx1"/>
                  </w14:solidFill>
                </w14:textFill>
              </w:rPr>
              <w:t>处理效率</w:t>
            </w:r>
            <w:r>
              <w:rPr>
                <w:rFonts w:hint="eastAsia"/>
                <w:bCs/>
                <w:color w:val="000000" w:themeColor="text1"/>
                <w:sz w:val="24"/>
                <w14:textFill>
                  <w14:solidFill>
                    <w14:schemeClr w14:val="tx1"/>
                  </w14:solidFill>
                </w14:textFill>
              </w:rPr>
              <w:t>10</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二级</w:t>
            </w:r>
            <w:r>
              <w:rPr>
                <w:bCs/>
                <w:color w:val="000000" w:themeColor="text1"/>
                <w:sz w:val="24"/>
                <w14:textFill>
                  <w14:solidFill>
                    <w14:schemeClr w14:val="tx1"/>
                  </w14:solidFill>
                </w14:textFill>
              </w:rPr>
              <w:t>活性炭吸附治理效率</w:t>
            </w:r>
            <w:r>
              <w:rPr>
                <w:rFonts w:hint="eastAsia"/>
                <w:bCs/>
                <w:color w:val="000000" w:themeColor="text1"/>
                <w:sz w:val="24"/>
                <w14:textFill>
                  <w14:solidFill>
                    <w14:schemeClr w14:val="tx1"/>
                  </w14:solidFill>
                </w14:textFill>
              </w:rPr>
              <w:t>85</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则理论计算</w:t>
            </w:r>
            <w:r>
              <w:rPr>
                <w:rFonts w:hint="eastAsia"/>
                <w:bCs/>
                <w:color w:val="000000" w:themeColor="text1"/>
                <w:sz w:val="24"/>
                <w14:textFill>
                  <w14:solidFill>
                    <w14:schemeClr w14:val="tx1"/>
                  </w14:solidFill>
                </w14:textFill>
              </w:rPr>
              <w:t>处理</w:t>
            </w:r>
            <w:r>
              <w:rPr>
                <w:bCs/>
                <w:color w:val="000000" w:themeColor="text1"/>
                <w:sz w:val="24"/>
                <w14:textFill>
                  <w14:solidFill>
                    <w14:schemeClr w14:val="tx1"/>
                  </w14:solidFill>
                </w14:textFill>
              </w:rPr>
              <w:t>有机废气</w:t>
            </w:r>
            <w:r>
              <w:rPr>
                <w:rFonts w:hint="eastAsia"/>
                <w:bCs/>
                <w:color w:val="000000" w:themeColor="text1"/>
                <w:sz w:val="24"/>
                <w14:textFill>
                  <w14:solidFill>
                    <w14:schemeClr w14:val="tx1"/>
                  </w14:solidFill>
                </w14:textFill>
              </w:rPr>
              <w:t>需要</w:t>
            </w:r>
            <w:r>
              <w:rPr>
                <w:bCs/>
                <w:color w:val="000000" w:themeColor="text1"/>
                <w:sz w:val="24"/>
                <w14:textFill>
                  <w14:solidFill>
                    <w14:schemeClr w14:val="tx1"/>
                  </w14:solidFill>
                </w14:textFill>
              </w:rPr>
              <w:t>活性炭用量为3.07t/a。根据废气治理方案</w:t>
            </w:r>
            <w:r>
              <w:rPr>
                <w:rFonts w:hint="eastAsia"/>
                <w:bCs/>
                <w:color w:val="000000" w:themeColor="text1"/>
                <w:sz w:val="24"/>
                <w14:textFill>
                  <w14:solidFill>
                    <w14:schemeClr w14:val="tx1"/>
                  </w14:solidFill>
                </w14:textFill>
              </w:rPr>
              <w:t>，现有设计的二级活性炭吸附设备</w:t>
            </w:r>
            <w:r>
              <w:rPr>
                <w:bCs/>
                <w:color w:val="000000" w:themeColor="text1"/>
                <w:sz w:val="24"/>
                <w14:textFill>
                  <w14:solidFill>
                    <w14:schemeClr w14:val="tx1"/>
                  </w14:solidFill>
                </w14:textFill>
              </w:rPr>
              <w:t>合计活性炭装载量</w:t>
            </w:r>
            <w:r>
              <w:rPr>
                <w:rFonts w:hint="eastAsia"/>
                <w:bCs/>
                <w:color w:val="000000" w:themeColor="text1"/>
                <w:sz w:val="24"/>
                <w14:textFill>
                  <w14:solidFill>
                    <w14:schemeClr w14:val="tx1"/>
                  </w14:solidFill>
                </w14:textFill>
              </w:rPr>
              <w:t>为</w:t>
            </w:r>
            <w:r>
              <w:rPr>
                <w:bCs/>
                <w:color w:val="000000" w:themeColor="text1"/>
                <w:sz w:val="24"/>
                <w14:textFill>
                  <w14:solidFill>
                    <w14:schemeClr w14:val="tx1"/>
                  </w14:solidFill>
                </w14:textFill>
              </w:rPr>
              <w:t>1.62</w:t>
            </w:r>
            <w:r>
              <w:rPr>
                <w:rFonts w:hint="eastAsia"/>
                <w:bCs/>
                <w:color w:val="000000" w:themeColor="text1"/>
                <w:sz w:val="24"/>
                <w14:textFill>
                  <w14:solidFill>
                    <w14:schemeClr w14:val="tx1"/>
                  </w14:solidFill>
                </w14:textFill>
              </w:rPr>
              <w:t>t，</w:t>
            </w:r>
            <w:r>
              <w:rPr>
                <w:bCs/>
                <w:color w:val="000000" w:themeColor="text1"/>
                <w:sz w:val="24"/>
                <w14:textFill>
                  <w14:solidFill>
                    <w14:schemeClr w14:val="tx1"/>
                  </w14:solidFill>
                </w14:textFill>
              </w:rPr>
              <w:t>每</w:t>
            </w:r>
            <w:r>
              <w:rPr>
                <w:rFonts w:hint="eastAsia"/>
                <w:bCs/>
                <w:color w:val="000000" w:themeColor="text1"/>
                <w:sz w:val="24"/>
                <w14:textFill>
                  <w14:solidFill>
                    <w14:schemeClr w14:val="tx1"/>
                  </w14:solidFill>
                </w14:textFill>
              </w:rPr>
              <w:t>季度</w:t>
            </w:r>
            <w:r>
              <w:rPr>
                <w:bCs/>
                <w:color w:val="000000" w:themeColor="text1"/>
                <w:sz w:val="24"/>
                <w14:textFill>
                  <w14:solidFill>
                    <w14:schemeClr w14:val="tx1"/>
                  </w14:solidFill>
                </w14:textFill>
              </w:rPr>
              <w:t>更换一次</w:t>
            </w:r>
            <w:r>
              <w:rPr>
                <w:rFonts w:hint="eastAsia"/>
                <w:bCs/>
                <w:color w:val="000000" w:themeColor="text1"/>
                <w:sz w:val="24"/>
                <w14:textFill>
                  <w14:solidFill>
                    <w14:schemeClr w14:val="tx1"/>
                  </w14:solidFill>
                </w14:textFill>
              </w:rPr>
              <w:t>，一年共装载</w:t>
            </w:r>
            <w:r>
              <w:rPr>
                <w:bCs/>
                <w:color w:val="000000" w:themeColor="text1"/>
                <w:sz w:val="24"/>
                <w14:textFill>
                  <w14:solidFill>
                    <w14:schemeClr w14:val="tx1"/>
                  </w14:solidFill>
                </w14:textFill>
              </w:rPr>
              <w:t>6.48</w:t>
            </w:r>
            <w:r>
              <w:rPr>
                <w:rFonts w:hint="eastAsia"/>
                <w:bCs/>
                <w:color w:val="000000" w:themeColor="text1"/>
                <w:sz w:val="24"/>
                <w14:textFill>
                  <w14:solidFill>
                    <w14:schemeClr w14:val="tx1"/>
                  </w14:solidFill>
                </w14:textFill>
              </w:rPr>
              <w:t>吨的活性炭，其设计装载活性炭处理有机废气量大于理论计算装载活性炭处理有机废气量（</w:t>
            </w:r>
            <w:r>
              <w:rPr>
                <w:bCs/>
                <w:color w:val="000000" w:themeColor="text1"/>
                <w:sz w:val="24"/>
                <w14:textFill>
                  <w14:solidFill>
                    <w14:schemeClr w14:val="tx1"/>
                  </w14:solidFill>
                </w14:textFill>
              </w:rPr>
              <w:t>0.7666</w:t>
            </w:r>
            <w:r>
              <w:rPr>
                <w:rFonts w:hint="eastAsia"/>
                <w:bCs/>
                <w:color w:val="000000" w:themeColor="text1"/>
                <w:sz w:val="24"/>
                <w14:textFill>
                  <w14:solidFill>
                    <w14:schemeClr w14:val="tx1"/>
                  </w14:solidFill>
                </w14:textFill>
              </w:rPr>
              <w:t>吨）。因此废活性炭的产生量为7</w:t>
            </w:r>
            <w:r>
              <w:rPr>
                <w:bCs/>
                <w:color w:val="000000" w:themeColor="text1"/>
                <w:sz w:val="24"/>
                <w14:textFill>
                  <w14:solidFill>
                    <w14:schemeClr w14:val="tx1"/>
                  </w14:solidFill>
                </w14:textFill>
              </w:rPr>
              <w:t>.25</w:t>
            </w:r>
            <w:r>
              <w:rPr>
                <w:rFonts w:hint="eastAsia"/>
                <w:bCs/>
                <w:color w:val="000000" w:themeColor="text1"/>
                <w:sz w:val="24"/>
                <w14:textFill>
                  <w14:solidFill>
                    <w14:schemeClr w14:val="tx1"/>
                  </w14:solidFill>
                </w14:textFill>
              </w:rPr>
              <w:t>t</w:t>
            </w:r>
            <w:r>
              <w:rPr>
                <w:bCs/>
                <w:color w:val="000000" w:themeColor="text1"/>
                <w:sz w:val="24"/>
                <w14:textFill>
                  <w14:solidFill>
                    <w14:schemeClr w14:val="tx1"/>
                  </w14:solidFill>
                </w14:textFill>
              </w:rPr>
              <w:t>/</w:t>
            </w:r>
            <w:r>
              <w:rPr>
                <w:rFonts w:hint="eastAsia"/>
                <w:bCs/>
                <w:color w:val="000000" w:themeColor="text1"/>
                <w:sz w:val="24"/>
                <w14:textFill>
                  <w14:solidFill>
                    <w14:schemeClr w14:val="tx1"/>
                  </w14:solidFill>
                </w14:textFill>
              </w:rPr>
              <w:t>a，根据</w:t>
            </w:r>
            <w:r>
              <w:rPr>
                <w:bCs/>
                <w:color w:val="000000" w:themeColor="text1"/>
                <w:sz w:val="24"/>
                <w14:textFill>
                  <w14:solidFill>
                    <w14:schemeClr w14:val="tx1"/>
                  </w14:solidFill>
                </w14:textFill>
              </w:rPr>
              <w:t>对照《国家危险废物名录》</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2021年版</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废活性炭属于危险废物，废物类别为HW49其他废物，废物类别为HW49其他废物，废物代码为900-039-49（烟气、VOCs治理过程（不包括餐饮行业油烟治理过程）产生的废活性炭）。废活性炭暂存于危险废物暂存区，定期危险废物交由有相关</w:t>
            </w:r>
            <w:r>
              <w:rPr>
                <w:rFonts w:hint="eastAsia"/>
                <w:bCs/>
                <w:color w:val="000000" w:themeColor="text1"/>
                <w:sz w:val="24"/>
                <w14:textFill>
                  <w14:solidFill>
                    <w14:schemeClr w14:val="tx1"/>
                  </w14:solidFill>
                </w14:textFill>
              </w:rPr>
              <w:t>危</w:t>
            </w:r>
            <w:r>
              <w:rPr>
                <w:bCs/>
                <w:color w:val="000000" w:themeColor="text1"/>
                <w:sz w:val="24"/>
                <w14:textFill>
                  <w14:solidFill>
                    <w14:schemeClr w14:val="tx1"/>
                  </w14:solidFill>
                </w14:textFill>
              </w:rPr>
              <w:t>险废物经营许可证的单位处置。</w:t>
            </w:r>
          </w:p>
          <w:p>
            <w:pPr>
              <w:numPr>
                <w:ilvl w:val="0"/>
                <w:numId w:val="15"/>
              </w:num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废机油</w:t>
            </w:r>
          </w:p>
          <w:p>
            <w:pPr>
              <w:adjustRightInd w:val="0"/>
              <w:spacing w:line="360" w:lineRule="auto"/>
              <w:ind w:firstLine="480" w:firstLineChars="200"/>
              <w:textAlignment w:val="baseline"/>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本项目生产设备数量很少，但需要定期检修、保养，会产生少量更换的废机油，根据建设单位提供的资料，其年产生量约</w:t>
            </w:r>
            <w:r>
              <w:rPr>
                <w:color w:val="000000" w:themeColor="text1"/>
                <w:sz w:val="24"/>
                <w14:textFill>
                  <w14:solidFill>
                    <w14:schemeClr w14:val="tx1"/>
                  </w14:solidFill>
                </w14:textFill>
              </w:rPr>
              <w:t>0.02t</w:t>
            </w:r>
            <w:r>
              <w:rPr>
                <w:rFonts w:hint="eastAsia"/>
                <w:color w:val="000000" w:themeColor="text1"/>
                <w:sz w:val="24"/>
                <w14:textFill>
                  <w14:solidFill>
                    <w14:schemeClr w14:val="tx1"/>
                  </w14:solidFill>
                </w14:textFill>
              </w:rPr>
              <w:t>。废机油属于《国家危险废物名录》（</w:t>
            </w:r>
            <w:r>
              <w:rPr>
                <w:color w:val="000000" w:themeColor="text1"/>
                <w:sz w:val="24"/>
                <w14:textFill>
                  <w14:solidFill>
                    <w14:schemeClr w14:val="tx1"/>
                  </w14:solidFill>
                </w14:textFill>
              </w:rPr>
              <w:t>2021</w:t>
            </w:r>
            <w:r>
              <w:rPr>
                <w:rFonts w:hint="eastAsia"/>
                <w:color w:val="000000" w:themeColor="text1"/>
                <w:sz w:val="24"/>
                <w14:textFill>
                  <w14:solidFill>
                    <w14:schemeClr w14:val="tx1"/>
                  </w14:solidFill>
                </w14:textFill>
              </w:rPr>
              <w:t>年版）中</w:t>
            </w:r>
            <w:r>
              <w:rPr>
                <w:color w:val="000000" w:themeColor="text1"/>
                <w:sz w:val="24"/>
                <w14:textFill>
                  <w14:solidFill>
                    <w14:schemeClr w14:val="tx1"/>
                  </w14:solidFill>
                </w14:textFill>
              </w:rPr>
              <w:t xml:space="preserve">“HW08 </w:t>
            </w:r>
            <w:r>
              <w:rPr>
                <w:rFonts w:hint="eastAsia"/>
                <w:color w:val="000000" w:themeColor="text1"/>
                <w:sz w:val="24"/>
                <w14:textFill>
                  <w14:solidFill>
                    <w14:schemeClr w14:val="tx1"/>
                  </w14:solidFill>
                </w14:textFill>
              </w:rPr>
              <w:t>废矿物油与含矿物油废物</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非特定行业</w:t>
            </w:r>
            <w:r>
              <w:rPr>
                <w:color w:val="000000" w:themeColor="text1"/>
                <w:sz w:val="24"/>
                <w14:textFill>
                  <w14:solidFill>
                    <w14:schemeClr w14:val="tx1"/>
                  </w14:solidFill>
                </w14:textFill>
              </w:rPr>
              <w:t>-900-214-08”-“</w:t>
            </w:r>
            <w:r>
              <w:rPr>
                <w:rFonts w:hint="eastAsia"/>
                <w:color w:val="000000" w:themeColor="text1"/>
                <w:sz w:val="24"/>
                <w14:textFill>
                  <w14:solidFill>
                    <w14:schemeClr w14:val="tx1"/>
                  </w14:solidFill>
                </w14:textFill>
              </w:rPr>
              <w:t>车辆、轮船及其它机械维修过程中产生的废发动机油、制动器油、自动变速器油、齿轮油等废润滑油</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 废机油经容器收集后</w:t>
            </w:r>
            <w:r>
              <w:rPr>
                <w:color w:val="000000" w:themeColor="text1"/>
                <w:sz w:val="24"/>
                <w14:textFill>
                  <w14:solidFill>
                    <w14:schemeClr w14:val="tx1"/>
                  </w14:solidFill>
                </w14:textFill>
              </w:rPr>
              <w:t>暂存于危险废物暂存区，定期危险废物交由有相关</w:t>
            </w:r>
            <w:r>
              <w:rPr>
                <w:rFonts w:hint="eastAsia"/>
                <w:color w:val="000000" w:themeColor="text1"/>
                <w:sz w:val="24"/>
                <w14:textFill>
                  <w14:solidFill>
                    <w14:schemeClr w14:val="tx1"/>
                  </w14:solidFill>
                </w14:textFill>
              </w:rPr>
              <w:t>危</w:t>
            </w:r>
            <w:r>
              <w:rPr>
                <w:color w:val="000000" w:themeColor="text1"/>
                <w:sz w:val="24"/>
                <w14:textFill>
                  <w14:solidFill>
                    <w14:schemeClr w14:val="tx1"/>
                  </w14:solidFill>
                </w14:textFill>
              </w:rPr>
              <w:t>险废物经营许可证的单位处置。</w:t>
            </w:r>
          </w:p>
          <w:p>
            <w:pPr>
              <w:numPr>
                <w:ilvl w:val="0"/>
                <w:numId w:val="15"/>
              </w:num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废机油包装桶</w:t>
            </w:r>
          </w:p>
          <w:p>
            <w:pPr>
              <w:adjustRightInd w:val="0"/>
              <w:spacing w:line="360" w:lineRule="auto"/>
              <w:ind w:firstLine="480" w:firstLineChars="200"/>
              <w:textAlignment w:val="baseline"/>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根据建设单位提供的资料，废机油桶容器产生量约</w:t>
            </w:r>
            <w:r>
              <w:rPr>
                <w:color w:val="000000" w:themeColor="text1"/>
                <w:sz w:val="24"/>
                <w14:textFill>
                  <w14:solidFill>
                    <w14:schemeClr w14:val="tx1"/>
                  </w14:solidFill>
                </w14:textFill>
              </w:rPr>
              <w:t>0.</w:t>
            </w:r>
            <w:r>
              <w:rPr>
                <w:rFonts w:hint="eastAsia"/>
                <w:color w:val="000000" w:themeColor="text1"/>
                <w:sz w:val="24"/>
                <w14:textFill>
                  <w14:solidFill>
                    <w14:schemeClr w14:val="tx1"/>
                  </w14:solidFill>
                </w14:textFill>
              </w:rPr>
              <w:t>01</w:t>
            </w:r>
            <w:r>
              <w:rPr>
                <w:color w:val="000000" w:themeColor="text1"/>
                <w:sz w:val="24"/>
                <w14:textFill>
                  <w14:solidFill>
                    <w14:schemeClr w14:val="tx1"/>
                  </w14:solidFill>
                </w14:textFill>
              </w:rPr>
              <w:t>t/a</w:t>
            </w:r>
            <w:r>
              <w:rPr>
                <w:rFonts w:hint="eastAsia"/>
                <w:color w:val="000000" w:themeColor="text1"/>
                <w:sz w:val="24"/>
                <w14:textFill>
                  <w14:solidFill>
                    <w14:schemeClr w14:val="tx1"/>
                  </w14:solidFill>
                </w14:textFill>
              </w:rPr>
              <w:t>，废机油桶经查属于《国家危 险废物名录》（</w:t>
            </w:r>
            <w:r>
              <w:rPr>
                <w:color w:val="000000" w:themeColor="text1"/>
                <w:sz w:val="24"/>
                <w14:textFill>
                  <w14:solidFill>
                    <w14:schemeClr w14:val="tx1"/>
                  </w14:solidFill>
                </w14:textFill>
              </w:rPr>
              <w:t>2021</w:t>
            </w:r>
            <w:r>
              <w:rPr>
                <w:rFonts w:hint="eastAsia"/>
                <w:color w:val="000000" w:themeColor="text1"/>
                <w:sz w:val="24"/>
                <w14:textFill>
                  <w14:solidFill>
                    <w14:schemeClr w14:val="tx1"/>
                  </w14:solidFill>
                </w14:textFill>
              </w:rPr>
              <w:t>年版）中危险废物，废物类别为</w:t>
            </w:r>
            <w:r>
              <w:rPr>
                <w:color w:val="000000" w:themeColor="text1"/>
                <w:sz w:val="24"/>
                <w14:textFill>
                  <w14:solidFill>
                    <w14:schemeClr w14:val="tx1"/>
                  </w14:solidFill>
                </w14:textFill>
              </w:rPr>
              <w:t>“HW49</w:t>
            </w:r>
            <w:r>
              <w:rPr>
                <w:rFonts w:hint="eastAsia"/>
                <w:color w:val="000000" w:themeColor="text1"/>
                <w:sz w:val="24"/>
                <w14:textFill>
                  <w14:solidFill>
                    <w14:schemeClr w14:val="tx1"/>
                  </w14:solidFill>
                </w14:textFill>
              </w:rPr>
              <w:t>其他废物</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非特定行业</w:t>
            </w:r>
            <w:r>
              <w:rPr>
                <w:color w:val="000000" w:themeColor="text1"/>
                <w:sz w:val="24"/>
                <w14:textFill>
                  <w14:solidFill>
                    <w14:schemeClr w14:val="tx1"/>
                  </w14:solidFill>
                </w14:textFill>
              </w:rPr>
              <w:t xml:space="preserve">-900-041-49”“- </w:t>
            </w:r>
            <w:r>
              <w:rPr>
                <w:rFonts w:hint="eastAsia"/>
                <w:color w:val="000000" w:themeColor="text1"/>
                <w:sz w:val="24"/>
                <w14:textFill>
                  <w14:solidFill>
                    <w14:schemeClr w14:val="tx1"/>
                  </w14:solidFill>
                </w14:textFill>
              </w:rPr>
              <w:t>含有或沾染毒性、感染性危险废物的废弃包装物、容器、过滤吸附介质</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 废机油桶经收集后</w:t>
            </w:r>
            <w:r>
              <w:rPr>
                <w:color w:val="000000" w:themeColor="text1"/>
                <w:sz w:val="24"/>
                <w14:textFill>
                  <w14:solidFill>
                    <w14:schemeClr w14:val="tx1"/>
                  </w14:solidFill>
                </w14:textFill>
              </w:rPr>
              <w:t>暂存于危险废物暂存区，定期危险废物交由有相关</w:t>
            </w:r>
            <w:r>
              <w:rPr>
                <w:rFonts w:hint="eastAsia"/>
                <w:color w:val="000000" w:themeColor="text1"/>
                <w:sz w:val="24"/>
                <w14:textFill>
                  <w14:solidFill>
                    <w14:schemeClr w14:val="tx1"/>
                  </w14:solidFill>
                </w14:textFill>
              </w:rPr>
              <w:t>危</w:t>
            </w:r>
            <w:r>
              <w:rPr>
                <w:color w:val="000000" w:themeColor="text1"/>
                <w:sz w:val="24"/>
                <w14:textFill>
                  <w14:solidFill>
                    <w14:schemeClr w14:val="tx1"/>
                  </w14:solidFill>
                </w14:textFill>
              </w:rPr>
              <w:t>险废物经营许可证的单位处置。</w:t>
            </w:r>
          </w:p>
          <w:p>
            <w:pPr>
              <w:numPr>
                <w:ilvl w:val="0"/>
                <w:numId w:val="15"/>
              </w:num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废含机油抹布及手套、废含油漆抹布及手套</w:t>
            </w:r>
          </w:p>
          <w:p>
            <w:pPr>
              <w:adjustRightInd w:val="0"/>
              <w:spacing w:line="360" w:lineRule="auto"/>
              <w:ind w:firstLine="480" w:firstLineChars="200"/>
              <w:textAlignment w:val="baseline"/>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 xml:space="preserve">本项目含油废抹布及手套产生量 </w:t>
            </w:r>
            <w:r>
              <w:rPr>
                <w:bCs/>
                <w:color w:val="000000" w:themeColor="text1"/>
                <w:sz w:val="24"/>
                <w14:textFill>
                  <w14:solidFill>
                    <w14:schemeClr w14:val="tx1"/>
                  </w14:solidFill>
                </w14:textFill>
              </w:rPr>
              <w:t>0.01t/a</w:t>
            </w:r>
            <w:r>
              <w:rPr>
                <w:rFonts w:hint="eastAsia"/>
                <w:bCs/>
                <w:color w:val="000000" w:themeColor="text1"/>
                <w:sz w:val="24"/>
                <w14:textFill>
                  <w14:solidFill>
                    <w14:schemeClr w14:val="tx1"/>
                  </w14:solidFill>
                </w14:textFill>
              </w:rPr>
              <w:t>，属于《国家危险废物名录（</w:t>
            </w:r>
            <w:r>
              <w:rPr>
                <w:bCs/>
                <w:color w:val="000000" w:themeColor="text1"/>
                <w:sz w:val="24"/>
                <w14:textFill>
                  <w14:solidFill>
                    <w14:schemeClr w14:val="tx1"/>
                  </w14:solidFill>
                </w14:textFill>
              </w:rPr>
              <w:t>2021</w:t>
            </w:r>
            <w:r>
              <w:rPr>
                <w:rFonts w:hint="eastAsia"/>
                <w:bCs/>
                <w:color w:val="000000" w:themeColor="text1"/>
                <w:sz w:val="24"/>
                <w14:textFill>
                  <w14:solidFill>
                    <w14:schemeClr w14:val="tx1"/>
                  </w14:solidFill>
                </w14:textFill>
              </w:rPr>
              <w:t xml:space="preserve">）》中规定的危险废物，编号为 </w:t>
            </w:r>
            <w:r>
              <w:rPr>
                <w:color w:val="000000" w:themeColor="text1"/>
                <w:sz w:val="24"/>
                <w14:textFill>
                  <w14:solidFill>
                    <w14:schemeClr w14:val="tx1"/>
                  </w14:solidFill>
                </w14:textFill>
              </w:rPr>
              <w:t>HW49</w:t>
            </w:r>
            <w:r>
              <w:rPr>
                <w:rFonts w:hint="eastAsia"/>
                <w:bCs/>
                <w:color w:val="000000" w:themeColor="text1"/>
                <w:sz w:val="24"/>
                <w14:textFill>
                  <w14:solidFill>
                    <w14:schemeClr w14:val="tx1"/>
                  </w14:solidFill>
                </w14:textFill>
              </w:rPr>
              <w:t>，废物代号：</w:t>
            </w:r>
            <w:r>
              <w:rPr>
                <w:bCs/>
                <w:color w:val="000000" w:themeColor="text1"/>
                <w:sz w:val="24"/>
                <w14:textFill>
                  <w14:solidFill>
                    <w14:schemeClr w14:val="tx1"/>
                  </w14:solidFill>
                </w14:textFill>
              </w:rPr>
              <w:t>900-041-49</w:t>
            </w:r>
            <w:r>
              <w:rPr>
                <w:rFonts w:hint="eastAsia"/>
                <w:bCs/>
                <w:color w:val="000000" w:themeColor="text1"/>
                <w:sz w:val="24"/>
                <w14:textFill>
                  <w14:solidFill>
                    <w14:schemeClr w14:val="tx1"/>
                  </w14:solidFill>
                </w14:textFill>
              </w:rPr>
              <w:t>，废含机油抹布及手套、废含油漆抹布及手套经收集后</w:t>
            </w:r>
            <w:r>
              <w:rPr>
                <w:bCs/>
                <w:color w:val="000000" w:themeColor="text1"/>
                <w:sz w:val="24"/>
                <w14:textFill>
                  <w14:solidFill>
                    <w14:schemeClr w14:val="tx1"/>
                  </w14:solidFill>
                </w14:textFill>
              </w:rPr>
              <w:t>暂存于危险废物暂存区，定期危险废物交由有相关</w:t>
            </w:r>
            <w:r>
              <w:rPr>
                <w:rFonts w:hint="eastAsia"/>
                <w:bCs/>
                <w:color w:val="000000" w:themeColor="text1"/>
                <w:sz w:val="24"/>
                <w14:textFill>
                  <w14:solidFill>
                    <w14:schemeClr w14:val="tx1"/>
                  </w14:solidFill>
                </w14:textFill>
              </w:rPr>
              <w:t>危</w:t>
            </w:r>
            <w:r>
              <w:rPr>
                <w:bCs/>
                <w:color w:val="000000" w:themeColor="text1"/>
                <w:sz w:val="24"/>
                <w14:textFill>
                  <w14:solidFill>
                    <w14:schemeClr w14:val="tx1"/>
                  </w14:solidFill>
                </w14:textFill>
              </w:rPr>
              <w:t>险废物经营许可证的单位处置。</w:t>
            </w:r>
          </w:p>
          <w:p>
            <w:pPr>
              <w:numPr>
                <w:ilvl w:val="0"/>
                <w:numId w:val="15"/>
              </w:num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调漆、喷漆、晾干废气处理装置喷淋塔更换废水</w:t>
            </w:r>
          </w:p>
          <w:p>
            <w:pPr>
              <w:adjustRightInd w:val="0"/>
              <w:spacing w:line="360" w:lineRule="auto"/>
              <w:ind w:firstLine="480" w:firstLineChars="200"/>
              <w:textAlignment w:val="baseline"/>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根据工程分析，项目喷淋塔更换废水的产生量为</w:t>
            </w:r>
            <w:r>
              <w:rPr>
                <w:color w:val="000000" w:themeColor="text1"/>
                <w:sz w:val="24"/>
                <w14:textFill>
                  <w14:solidFill>
                    <w14:schemeClr w14:val="tx1"/>
                  </w14:solidFill>
                </w14:textFill>
              </w:rPr>
              <w:t>6.68</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a。根据《国家危险废物名录》（</w:t>
            </w:r>
            <w:r>
              <w:rPr>
                <w:color w:val="000000" w:themeColor="text1"/>
                <w:sz w:val="24"/>
                <w14:textFill>
                  <w14:solidFill>
                    <w14:schemeClr w14:val="tx1"/>
                  </w14:solidFill>
                </w14:textFill>
              </w:rPr>
              <w:t>2016</w:t>
            </w:r>
            <w:r>
              <w:rPr>
                <w:rFonts w:hint="eastAsia"/>
                <w:color w:val="000000" w:themeColor="text1"/>
                <w:sz w:val="24"/>
                <w14:textFill>
                  <w14:solidFill>
                    <w14:schemeClr w14:val="tx1"/>
                  </w14:solidFill>
                </w14:textFill>
              </w:rPr>
              <w:t>年</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月</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日起施行），废物类别为</w:t>
            </w:r>
            <w:r>
              <w:rPr>
                <w:color w:val="000000" w:themeColor="text1"/>
                <w:sz w:val="24"/>
                <w14:textFill>
                  <w14:solidFill>
                    <w14:schemeClr w14:val="tx1"/>
                  </w14:solidFill>
                </w14:textFill>
              </w:rPr>
              <w:t xml:space="preserve">“HW49 </w:t>
            </w:r>
            <w:r>
              <w:rPr>
                <w:rFonts w:hint="eastAsia"/>
                <w:color w:val="000000" w:themeColor="text1"/>
                <w:sz w:val="24"/>
                <w14:textFill>
                  <w14:solidFill>
                    <w14:schemeClr w14:val="tx1"/>
                  </w14:solidFill>
                </w14:textFill>
              </w:rPr>
              <w:t>其他废物</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非特定行业</w:t>
            </w:r>
            <w:r>
              <w:rPr>
                <w:color w:val="000000" w:themeColor="text1"/>
                <w:sz w:val="24"/>
                <w14:textFill>
                  <w14:solidFill>
                    <w14:schemeClr w14:val="tx1"/>
                  </w14:solidFill>
                </w14:textFill>
              </w:rPr>
              <w:t xml:space="preserve">-900-041-49”“- </w:t>
            </w:r>
            <w:r>
              <w:rPr>
                <w:rFonts w:hint="eastAsia"/>
                <w:color w:val="000000" w:themeColor="text1"/>
                <w:sz w:val="24"/>
                <w14:textFill>
                  <w14:solidFill>
                    <w14:schemeClr w14:val="tx1"/>
                  </w14:solidFill>
                </w14:textFill>
              </w:rPr>
              <w:t>含有或沾染毒性、感染性危险废物的废弃包装物、容器、过滤吸附介质</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，收集后</w:t>
            </w:r>
            <w:r>
              <w:rPr>
                <w:color w:val="000000" w:themeColor="text1"/>
                <w:sz w:val="24"/>
                <w14:textFill>
                  <w14:solidFill>
                    <w14:schemeClr w14:val="tx1"/>
                  </w14:solidFill>
                </w14:textFill>
              </w:rPr>
              <w:t>暂存于危险废物暂存区，定期危险废物交由有相关</w:t>
            </w:r>
            <w:r>
              <w:rPr>
                <w:rFonts w:hint="eastAsia"/>
                <w:color w:val="000000" w:themeColor="text1"/>
                <w:sz w:val="24"/>
                <w14:textFill>
                  <w14:solidFill>
                    <w14:schemeClr w14:val="tx1"/>
                  </w14:solidFill>
                </w14:textFill>
              </w:rPr>
              <w:t>危</w:t>
            </w:r>
            <w:r>
              <w:rPr>
                <w:color w:val="000000" w:themeColor="text1"/>
                <w:sz w:val="24"/>
                <w14:textFill>
                  <w14:solidFill>
                    <w14:schemeClr w14:val="tx1"/>
                  </w14:solidFill>
                </w14:textFill>
              </w:rPr>
              <w:t>险废物经营许可证的单位处置。</w:t>
            </w:r>
          </w:p>
          <w:p>
            <w:pPr>
              <w:numPr>
                <w:ilvl w:val="0"/>
                <w:numId w:val="15"/>
              </w:num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水帘柜更换废水</w:t>
            </w:r>
          </w:p>
          <w:p>
            <w:pPr>
              <w:adjustRightInd w:val="0"/>
              <w:spacing w:line="360" w:lineRule="auto"/>
              <w:ind w:firstLine="480" w:firstLineChars="200"/>
              <w:textAlignment w:val="baseline"/>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根据工程分析，项目的水帘柜更换废水的产生量为</w:t>
            </w:r>
            <w:r>
              <w:rPr>
                <w:color w:val="000000" w:themeColor="text1"/>
                <w:sz w:val="24"/>
                <w14:textFill>
                  <w14:solidFill>
                    <w14:schemeClr w14:val="tx1"/>
                  </w14:solidFill>
                </w14:textFill>
              </w:rPr>
              <w:t>15.36</w:t>
            </w:r>
            <w:r>
              <w:rPr>
                <w:rFonts w:hint="eastAsia"/>
                <w:color w:val="000000" w:themeColor="text1"/>
                <w:sz w:val="24"/>
                <w14:textFill>
                  <w14:solidFill>
                    <w14:schemeClr w14:val="tx1"/>
                  </w14:solidFill>
                </w14:textFill>
              </w:rPr>
              <w:t>t</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a。根据《国家危险废物名录》（</w:t>
            </w:r>
            <w:r>
              <w:rPr>
                <w:color w:val="000000" w:themeColor="text1"/>
                <w:sz w:val="24"/>
                <w14:textFill>
                  <w14:solidFill>
                    <w14:schemeClr w14:val="tx1"/>
                  </w14:solidFill>
                </w14:textFill>
              </w:rPr>
              <w:t>2016</w:t>
            </w:r>
            <w:r>
              <w:rPr>
                <w:rFonts w:hint="eastAsia"/>
                <w:color w:val="000000" w:themeColor="text1"/>
                <w:sz w:val="24"/>
                <w14:textFill>
                  <w14:solidFill>
                    <w14:schemeClr w14:val="tx1"/>
                  </w14:solidFill>
                </w14:textFill>
              </w:rPr>
              <w:t>年</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月</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日起施行），废物类别为</w:t>
            </w:r>
            <w:r>
              <w:rPr>
                <w:color w:val="000000" w:themeColor="text1"/>
                <w:sz w:val="24"/>
                <w14:textFill>
                  <w14:solidFill>
                    <w14:schemeClr w14:val="tx1"/>
                  </w14:solidFill>
                </w14:textFill>
              </w:rPr>
              <w:t>“HW49</w:t>
            </w:r>
            <w:r>
              <w:rPr>
                <w:rFonts w:hint="eastAsia"/>
                <w:color w:val="000000" w:themeColor="text1"/>
                <w:sz w:val="24"/>
                <w14:textFill>
                  <w14:solidFill>
                    <w14:schemeClr w14:val="tx1"/>
                  </w14:solidFill>
                </w14:textFill>
              </w:rPr>
              <w:t>其他废物</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非特定行业</w:t>
            </w:r>
            <w:r>
              <w:rPr>
                <w:color w:val="000000" w:themeColor="text1"/>
                <w:sz w:val="24"/>
                <w14:textFill>
                  <w14:solidFill>
                    <w14:schemeClr w14:val="tx1"/>
                  </w14:solidFill>
                </w14:textFill>
              </w:rPr>
              <w:t xml:space="preserve">-900-041-49”“- </w:t>
            </w:r>
            <w:r>
              <w:rPr>
                <w:rFonts w:hint="eastAsia"/>
                <w:color w:val="000000" w:themeColor="text1"/>
                <w:sz w:val="24"/>
                <w14:textFill>
                  <w14:solidFill>
                    <w14:schemeClr w14:val="tx1"/>
                  </w14:solidFill>
                </w14:textFill>
              </w:rPr>
              <w:t>含有或沾染毒性、感染性危险废物的废弃包装物、容器、过滤吸附介质</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，收集后</w:t>
            </w:r>
            <w:r>
              <w:rPr>
                <w:color w:val="000000" w:themeColor="text1"/>
                <w:sz w:val="24"/>
                <w14:textFill>
                  <w14:solidFill>
                    <w14:schemeClr w14:val="tx1"/>
                  </w14:solidFill>
                </w14:textFill>
              </w:rPr>
              <w:t>暂存于危险废物暂存区，定期危险废物交由有相关</w:t>
            </w:r>
            <w:r>
              <w:rPr>
                <w:rFonts w:hint="eastAsia"/>
                <w:color w:val="000000" w:themeColor="text1"/>
                <w:sz w:val="24"/>
                <w14:textFill>
                  <w14:solidFill>
                    <w14:schemeClr w14:val="tx1"/>
                  </w14:solidFill>
                </w14:textFill>
              </w:rPr>
              <w:t>危</w:t>
            </w:r>
            <w:r>
              <w:rPr>
                <w:color w:val="000000" w:themeColor="text1"/>
                <w:sz w:val="24"/>
                <w14:textFill>
                  <w14:solidFill>
                    <w14:schemeClr w14:val="tx1"/>
                  </w14:solidFill>
                </w14:textFill>
              </w:rPr>
              <w:t>险废物经营许可证的单位处置。</w:t>
            </w:r>
          </w:p>
          <w:p>
            <w:pPr>
              <w:numPr>
                <w:ilvl w:val="0"/>
                <w:numId w:val="15"/>
              </w:num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喷枪清洗废水</w:t>
            </w:r>
          </w:p>
          <w:p>
            <w:pPr>
              <w:adjustRightInd w:val="0"/>
              <w:spacing w:line="360" w:lineRule="auto"/>
              <w:ind w:firstLine="480" w:firstLineChars="200"/>
              <w:textAlignment w:val="baseline"/>
              <w:rPr>
                <w:bCs/>
                <w:color w:val="000000" w:themeColor="text1"/>
                <w:sz w:val="24"/>
                <w14:textFill>
                  <w14:solidFill>
                    <w14:schemeClr w14:val="tx1"/>
                  </w14:solidFill>
                </w14:textFill>
              </w:rPr>
            </w:pPr>
            <w:r>
              <w:rPr>
                <w:bCs/>
                <w:color w:val="000000" w:themeColor="text1"/>
                <w:sz w:val="24"/>
                <w14:textFill>
                  <w14:solidFill>
                    <w14:schemeClr w14:val="tx1"/>
                  </w14:solidFill>
                </w14:textFill>
              </w:rPr>
              <w:t>项目</w:t>
            </w:r>
            <w:r>
              <w:rPr>
                <w:rFonts w:hint="eastAsia"/>
                <w:bCs/>
                <w:color w:val="000000" w:themeColor="text1"/>
                <w:sz w:val="24"/>
                <w14:textFill>
                  <w14:solidFill>
                    <w14:schemeClr w14:val="tx1"/>
                  </w14:solidFill>
                </w14:textFill>
              </w:rPr>
              <w:t>清洗</w:t>
            </w:r>
            <w:r>
              <w:rPr>
                <w:bCs/>
                <w:color w:val="000000" w:themeColor="text1"/>
                <w:sz w:val="24"/>
                <w14:textFill>
                  <w14:solidFill>
                    <w14:schemeClr w14:val="tx1"/>
                  </w14:solidFill>
                </w14:textFill>
              </w:rPr>
              <w:t>喷枪</w:t>
            </w:r>
            <w:r>
              <w:rPr>
                <w:rFonts w:hint="eastAsia"/>
                <w:bCs/>
                <w:color w:val="000000" w:themeColor="text1"/>
                <w:sz w:val="24"/>
                <w14:textFill>
                  <w14:solidFill>
                    <w14:schemeClr w14:val="tx1"/>
                  </w14:solidFill>
                </w14:textFill>
              </w:rPr>
              <w:t>时会产生</w:t>
            </w:r>
            <w:r>
              <w:rPr>
                <w:bCs/>
                <w:color w:val="000000" w:themeColor="text1"/>
                <w:sz w:val="24"/>
                <w14:textFill>
                  <w14:solidFill>
                    <w14:schemeClr w14:val="tx1"/>
                  </w14:solidFill>
                </w14:textFill>
              </w:rPr>
              <w:t>清洗废水，产生量约为1.22t/a。喷枪清洗废水</w:t>
            </w:r>
            <w:r>
              <w:rPr>
                <w:color w:val="000000" w:themeColor="text1"/>
                <w:sz w:val="24"/>
                <w14:textFill>
                  <w14:solidFill>
                    <w14:schemeClr w14:val="tx1"/>
                  </w14:solidFill>
                </w14:textFill>
              </w:rPr>
              <w:t>根据《国家危险废物名录》（2021版），属于编号为HW12染料、涂料废物，废物代码为</w:t>
            </w:r>
            <w:r>
              <w:rPr>
                <w:color w:val="000000" w:themeColor="text1"/>
                <w:kern w:val="0"/>
                <w:sz w:val="24"/>
                <w14:textFill>
                  <w14:solidFill>
                    <w14:schemeClr w14:val="tx1"/>
                  </w14:solidFill>
                </w14:textFill>
              </w:rPr>
              <w:t>900-252-12</w:t>
            </w:r>
            <w:r>
              <w:rPr>
                <w:color w:val="000000" w:themeColor="text1"/>
                <w:sz w:val="24"/>
                <w14:textFill>
                  <w14:solidFill>
                    <w14:schemeClr w14:val="tx1"/>
                  </w14:solidFill>
                </w14:textFill>
              </w:rPr>
              <w:t>所列的危险废物，收集后暂存于危废暂存间，定期交由有危险废物处理资质的单位处理</w:t>
            </w:r>
            <w:r>
              <w:rPr>
                <w:bCs/>
                <w:color w:val="000000" w:themeColor="text1"/>
                <w:sz w:val="24"/>
                <w14:textFill>
                  <w14:solidFill>
                    <w14:schemeClr w14:val="tx1"/>
                  </w14:solidFill>
                </w14:textFill>
              </w:rPr>
              <w:t>作为危险废物，交由有资质的单位回收处理。</w:t>
            </w:r>
          </w:p>
          <w:p>
            <w:pPr>
              <w:numPr>
                <w:ilvl w:val="0"/>
                <w:numId w:val="15"/>
              </w:num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漆渣</w:t>
            </w:r>
          </w:p>
          <w:p>
            <w:pPr>
              <w:widowControl/>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根据建设单位提供的资料，项目</w:t>
            </w:r>
            <w:r>
              <w:rPr>
                <w:rFonts w:hint="eastAsia"/>
                <w:color w:val="000000" w:themeColor="text1"/>
                <w:sz w:val="24"/>
                <w14:textFill>
                  <w14:solidFill>
                    <w14:schemeClr w14:val="tx1"/>
                  </w14:solidFill>
                </w14:textFill>
              </w:rPr>
              <w:t>喷涂</w:t>
            </w:r>
            <w:r>
              <w:rPr>
                <w:color w:val="000000" w:themeColor="text1"/>
                <w:sz w:val="24"/>
                <w14:textFill>
                  <w14:solidFill>
                    <w14:schemeClr w14:val="tx1"/>
                  </w14:solidFill>
                </w14:textFill>
              </w:rPr>
              <w:t>房收集</w:t>
            </w:r>
            <w:r>
              <w:rPr>
                <w:rFonts w:hint="eastAsia"/>
                <w:color w:val="000000" w:themeColor="text1"/>
                <w:sz w:val="24"/>
                <w14:textFill>
                  <w14:solidFill>
                    <w14:schemeClr w14:val="tx1"/>
                  </w14:solidFill>
                </w14:textFill>
              </w:rPr>
              <w:t>喷涂</w:t>
            </w:r>
            <w:r>
              <w:rPr>
                <w:color w:val="000000" w:themeColor="text1"/>
                <w:sz w:val="24"/>
                <w14:textFill>
                  <w14:solidFill>
                    <w14:schemeClr w14:val="tx1"/>
                  </w14:solidFill>
                </w14:textFill>
              </w:rPr>
              <w:t>废气通过水喷淋处理漆雾。为了保证水喷淋设备的处理效果，需要定期清理漆渣，</w:t>
            </w:r>
            <w:r>
              <w:rPr>
                <w:rFonts w:hint="eastAsia"/>
                <w:color w:val="000000" w:themeColor="text1"/>
                <w:sz w:val="24"/>
                <w14:textFill>
                  <w14:solidFill>
                    <w14:schemeClr w14:val="tx1"/>
                  </w14:solidFill>
                </w14:textFill>
              </w:rPr>
              <w:t>本项目漆雾产生量</w:t>
            </w:r>
            <w:r>
              <w:rPr>
                <w:color w:val="000000" w:themeColor="text1"/>
                <w:sz w:val="24"/>
                <w14:textFill>
                  <w14:solidFill>
                    <w14:schemeClr w14:val="tx1"/>
                  </w14:solidFill>
                </w14:textFill>
              </w:rPr>
              <w:t>2.6840</w:t>
            </w:r>
            <w:r>
              <w:rPr>
                <w:rFonts w:hint="eastAsia"/>
                <w:color w:val="000000" w:themeColor="text1"/>
                <w:sz w:val="24"/>
                <w14:textFill>
                  <w14:solidFill>
                    <w14:schemeClr w14:val="tx1"/>
                  </w14:solidFill>
                </w14:textFill>
              </w:rPr>
              <w:t>t/a</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收集率</w:t>
            </w:r>
            <w:r>
              <w:rPr>
                <w:color w:val="000000" w:themeColor="text1"/>
                <w:sz w:val="24"/>
                <w14:textFill>
                  <w14:solidFill>
                    <w14:schemeClr w14:val="tx1"/>
                  </w14:solidFill>
                </w14:textFill>
              </w:rPr>
              <w:t>9</w:t>
            </w:r>
            <w:r>
              <w:rPr>
                <w:rFonts w:hint="eastAsia"/>
                <w:color w:val="000000" w:themeColor="text1"/>
                <w:sz w:val="24"/>
                <w14:textFill>
                  <w14:solidFill>
                    <w14:schemeClr w14:val="tx1"/>
                  </w14:solidFill>
                </w14:textFill>
              </w:rPr>
              <w:t>0</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，去除率</w:t>
            </w:r>
            <w:r>
              <w:rPr>
                <w:color w:val="000000" w:themeColor="text1"/>
                <w:sz w:val="24"/>
                <w14:textFill>
                  <w14:solidFill>
                    <w14:schemeClr w14:val="tx1"/>
                  </w14:solidFill>
                </w14:textFill>
              </w:rPr>
              <w:t>80%</w:t>
            </w:r>
            <w:r>
              <w:rPr>
                <w:rFonts w:hint="eastAsia"/>
                <w:color w:val="000000" w:themeColor="text1"/>
                <w:sz w:val="24"/>
                <w14:textFill>
                  <w14:solidFill>
                    <w14:schemeClr w14:val="tx1"/>
                  </w14:solidFill>
                </w14:textFill>
              </w:rPr>
              <w:t>，则漆渣产生量为</w:t>
            </w:r>
            <w:r>
              <w:rPr>
                <w:color w:val="000000" w:themeColor="text1"/>
                <w:sz w:val="24"/>
                <w14:textFill>
                  <w14:solidFill>
                    <w14:schemeClr w14:val="tx1"/>
                  </w14:solidFill>
                </w14:textFill>
              </w:rPr>
              <w:t>1.93t/a。</w:t>
            </w:r>
            <w:r>
              <w:rPr>
                <w:rFonts w:hint="eastAsia"/>
                <w:color w:val="000000" w:themeColor="text1"/>
                <w:sz w:val="24"/>
                <w14:textFill>
                  <w14:solidFill>
                    <w14:schemeClr w14:val="tx1"/>
                  </w14:solidFill>
                </w14:textFill>
              </w:rPr>
              <w:t>本项目使用水性涂料，根据《国家危险废物名录（2021年版）》</w:t>
            </w:r>
            <w:r>
              <w:rPr>
                <w:rFonts w:hint="eastAsia"/>
                <w:color w:val="000000" w:themeColor="text1"/>
                <w:kern w:val="0"/>
                <w:sz w:val="24"/>
                <w14:textFill>
                  <w14:solidFill>
                    <w14:schemeClr w14:val="tx1"/>
                  </w14:solidFill>
                </w14:textFill>
              </w:rPr>
              <w:t>，漆渣属于</w:t>
            </w:r>
            <w:r>
              <w:rPr>
                <w:color w:val="000000" w:themeColor="text1"/>
                <w:sz w:val="24"/>
                <w14:textFill>
                  <w14:solidFill>
                    <w14:schemeClr w14:val="tx1"/>
                  </w14:solidFill>
                </w14:textFill>
              </w:rPr>
              <w:t>HW12染料、涂料废物</w:t>
            </w:r>
            <w:r>
              <w:rPr>
                <w:rFonts w:hint="eastAsia"/>
                <w:color w:val="000000" w:themeColor="text1"/>
                <w:kern w:val="0"/>
                <w:sz w:val="24"/>
                <w14:textFill>
                  <w14:solidFill>
                    <w14:schemeClr w14:val="tx1"/>
                  </w14:solidFill>
                </w14:textFill>
              </w:rPr>
              <w:t>，</w:t>
            </w:r>
            <w:r>
              <w:rPr>
                <w:color w:val="000000" w:themeColor="text1"/>
                <w:sz w:val="24"/>
                <w14:textFill>
                  <w14:solidFill>
                    <w14:schemeClr w14:val="tx1"/>
                  </w14:solidFill>
                </w14:textFill>
              </w:rPr>
              <w:t>废物代码为</w:t>
            </w:r>
            <w:r>
              <w:rPr>
                <w:color w:val="000000" w:themeColor="text1"/>
                <w:kern w:val="0"/>
                <w:sz w:val="24"/>
                <w14:textFill>
                  <w14:solidFill>
                    <w14:schemeClr w14:val="tx1"/>
                  </w14:solidFill>
                </w14:textFill>
              </w:rPr>
              <w:t>900-252-12</w:t>
            </w:r>
            <w:r>
              <w:rPr>
                <w:color w:val="000000" w:themeColor="text1"/>
                <w:sz w:val="24"/>
                <w14:textFill>
                  <w14:solidFill>
                    <w14:schemeClr w14:val="tx1"/>
                  </w14:solidFill>
                </w14:textFill>
              </w:rPr>
              <w:t>所列的危险废物</w:t>
            </w:r>
            <w:r>
              <w:rPr>
                <w:rFonts w:hint="eastAsia"/>
                <w:color w:val="000000" w:themeColor="text1"/>
                <w:sz w:val="24"/>
                <w14:textFill>
                  <w14:solidFill>
                    <w14:schemeClr w14:val="tx1"/>
                  </w14:solidFill>
                </w14:textFill>
              </w:rPr>
              <w:t>，收集</w:t>
            </w:r>
            <w:r>
              <w:rPr>
                <w:color w:val="000000" w:themeColor="text1"/>
                <w:sz w:val="24"/>
                <w14:textFill>
                  <w14:solidFill>
                    <w14:schemeClr w14:val="tx1"/>
                  </w14:solidFill>
                </w14:textFill>
              </w:rPr>
              <w:t>后暂存于危废暂存间，定期交由有危险废物处理资质的单位处理</w:t>
            </w:r>
            <w:r>
              <w:rPr>
                <w:bCs/>
                <w:color w:val="000000" w:themeColor="text1"/>
                <w:sz w:val="24"/>
                <w14:textFill>
                  <w14:solidFill>
                    <w14:schemeClr w14:val="tx1"/>
                  </w14:solidFill>
                </w14:textFill>
              </w:rPr>
              <w:t>作为危险废物，交由有资质的单位回收处理</w:t>
            </w:r>
            <w:r>
              <w:rPr>
                <w:color w:val="000000" w:themeColor="text1"/>
                <w:sz w:val="24"/>
                <w14:textFill>
                  <w14:solidFill>
                    <w14:schemeClr w14:val="tx1"/>
                  </w14:solidFill>
                </w14:textFill>
              </w:rPr>
              <w:t>。</w:t>
            </w:r>
          </w:p>
          <w:p>
            <w:pPr>
              <w:numPr>
                <w:ilvl w:val="0"/>
                <w:numId w:val="15"/>
              </w:num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废包装桶</w:t>
            </w:r>
          </w:p>
          <w:p>
            <w:pPr>
              <w:widowControl/>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 xml:space="preserve">项目生产过程中使用水性涂料会产生废空桶，根据建设单位提供的资料，产生量约 </w:t>
            </w:r>
            <w:r>
              <w:rPr>
                <w:color w:val="000000" w:themeColor="text1"/>
                <w:sz w:val="24"/>
                <w14:textFill>
                  <w14:solidFill>
                    <w14:schemeClr w14:val="tx1"/>
                  </w14:solidFill>
                </w14:textFill>
              </w:rPr>
              <w:t>0.20t/a</w:t>
            </w:r>
            <w:r>
              <w:rPr>
                <w:rFonts w:hint="eastAsia"/>
                <w:color w:val="000000" w:themeColor="text1"/>
                <w:sz w:val="24"/>
                <w14:textFill>
                  <w14:solidFill>
                    <w14:schemeClr w14:val="tx1"/>
                  </w14:solidFill>
                </w14:textFill>
              </w:rPr>
              <w:t>。根据《国家危险废物名录》（</w:t>
            </w:r>
            <w:r>
              <w:rPr>
                <w:color w:val="000000" w:themeColor="text1"/>
                <w:sz w:val="24"/>
                <w14:textFill>
                  <w14:solidFill>
                    <w14:schemeClr w14:val="tx1"/>
                  </w14:solidFill>
                </w14:textFill>
              </w:rPr>
              <w:t>2016</w:t>
            </w:r>
            <w:r>
              <w:rPr>
                <w:rFonts w:hint="eastAsia"/>
                <w:color w:val="000000" w:themeColor="text1"/>
                <w:sz w:val="24"/>
                <w14:textFill>
                  <w14:solidFill>
                    <w14:schemeClr w14:val="tx1"/>
                  </w14:solidFill>
                </w14:textFill>
              </w:rPr>
              <w:t>年</w:t>
            </w:r>
            <w:r>
              <w:rPr>
                <w:color w:val="000000" w:themeColor="text1"/>
                <w:sz w:val="24"/>
                <w14:textFill>
                  <w14:solidFill>
                    <w14:schemeClr w14:val="tx1"/>
                  </w14:solidFill>
                </w14:textFill>
              </w:rPr>
              <w:t>8</w:t>
            </w:r>
            <w:r>
              <w:rPr>
                <w:rFonts w:hint="eastAsia"/>
                <w:color w:val="000000" w:themeColor="text1"/>
                <w:sz w:val="24"/>
                <w14:textFill>
                  <w14:solidFill>
                    <w14:schemeClr w14:val="tx1"/>
                  </w14:solidFill>
                </w14:textFill>
              </w:rPr>
              <w:t>月</w:t>
            </w: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日起施行），废包装桶归为</w:t>
            </w:r>
            <w:r>
              <w:rPr>
                <w:color w:val="000000" w:themeColor="text1"/>
                <w:sz w:val="24"/>
                <w14:textFill>
                  <w14:solidFill>
                    <w14:schemeClr w14:val="tx1"/>
                  </w14:solidFill>
                </w14:textFill>
              </w:rPr>
              <w:t>HW12染料、涂料废物</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废物代码为900-252-12所列的危险废物</w:t>
            </w:r>
            <w:r>
              <w:rPr>
                <w:rFonts w:hint="eastAsia"/>
                <w:color w:val="000000" w:themeColor="text1"/>
                <w:sz w:val="24"/>
                <w14:textFill>
                  <w14:solidFill>
                    <w14:schemeClr w14:val="tx1"/>
                  </w14:solidFill>
                </w14:textFill>
              </w:rPr>
              <w:t>，收集</w:t>
            </w:r>
            <w:r>
              <w:rPr>
                <w:color w:val="000000" w:themeColor="text1"/>
                <w:sz w:val="24"/>
                <w14:textFill>
                  <w14:solidFill>
                    <w14:schemeClr w14:val="tx1"/>
                  </w14:solidFill>
                </w14:textFill>
              </w:rPr>
              <w:t>后暂存于危废暂存间，定期交由有危险废物处理资质的单位处理</w:t>
            </w:r>
            <w:r>
              <w:rPr>
                <w:bCs/>
                <w:color w:val="000000" w:themeColor="text1"/>
                <w:sz w:val="24"/>
                <w14:textFill>
                  <w14:solidFill>
                    <w14:schemeClr w14:val="tx1"/>
                  </w14:solidFill>
                </w14:textFill>
              </w:rPr>
              <w:t>作为危险废物，交由有资质的单位回收处理</w:t>
            </w:r>
            <w:r>
              <w:rPr>
                <w:color w:val="000000" w:themeColor="text1"/>
                <w:sz w:val="24"/>
                <w14:textFill>
                  <w14:solidFill>
                    <w14:schemeClr w14:val="tx1"/>
                  </w14:solidFill>
                </w14:textFill>
              </w:rPr>
              <w:t>。</w:t>
            </w:r>
          </w:p>
          <w:p>
            <w:pPr>
              <w:widowControl/>
              <w:spacing w:before="156" w:beforeLines="50" w:line="360" w:lineRule="auto"/>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表4-</w:t>
            </w:r>
            <w:r>
              <w:rPr>
                <w:b/>
                <w:bCs/>
                <w:color w:val="000000" w:themeColor="text1"/>
                <w:szCs w:val="21"/>
                <w14:textFill>
                  <w14:solidFill>
                    <w14:schemeClr w14:val="tx1"/>
                  </w14:solidFill>
                </w14:textFill>
              </w:rPr>
              <w:t xml:space="preserve">16 </w:t>
            </w:r>
            <w:r>
              <w:rPr>
                <w:rFonts w:hint="eastAsia"/>
                <w:b/>
                <w:bCs/>
                <w:color w:val="000000" w:themeColor="text1"/>
                <w:szCs w:val="21"/>
                <w14:textFill>
                  <w14:solidFill>
                    <w14:schemeClr w14:val="tx1"/>
                  </w14:solidFill>
                </w14:textFill>
              </w:rPr>
              <w:t xml:space="preserve"> 项目</w:t>
            </w:r>
            <w:r>
              <w:rPr>
                <w:b/>
                <w:bCs/>
                <w:color w:val="000000" w:themeColor="text1"/>
                <w:szCs w:val="21"/>
                <w14:textFill>
                  <w14:solidFill>
                    <w14:schemeClr w14:val="tx1"/>
                  </w14:solidFill>
                </w14:textFill>
              </w:rPr>
              <w:t>固体废物</w:t>
            </w:r>
            <w:r>
              <w:rPr>
                <w:rFonts w:hint="eastAsia"/>
                <w:b/>
                <w:bCs/>
                <w:color w:val="000000" w:themeColor="text1"/>
                <w:szCs w:val="21"/>
                <w14:textFill>
                  <w14:solidFill>
                    <w14:schemeClr w14:val="tx1"/>
                  </w14:solidFill>
                </w14:textFill>
              </w:rPr>
              <w:t>汇总表</w:t>
            </w:r>
          </w:p>
          <w:tbl>
            <w:tblPr>
              <w:tblStyle w:val="39"/>
              <w:tblW w:w="0" w:type="auto"/>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28" w:type="dxa"/>
                <w:bottom w:w="0" w:type="dxa"/>
                <w:right w:w="28" w:type="dxa"/>
              </w:tblCellMar>
            </w:tblPr>
            <w:tblGrid>
              <w:gridCol w:w="396"/>
              <w:gridCol w:w="1378"/>
              <w:gridCol w:w="482"/>
              <w:gridCol w:w="674"/>
              <w:gridCol w:w="563"/>
              <w:gridCol w:w="483"/>
              <w:gridCol w:w="508"/>
              <w:gridCol w:w="564"/>
              <w:gridCol w:w="821"/>
              <w:gridCol w:w="568"/>
              <w:gridCol w:w="1083"/>
              <w:gridCol w:w="63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0" w:hRule="atLeast"/>
              </w:trPr>
              <w:tc>
                <w:tcPr>
                  <w:tcW w:w="0" w:type="auto"/>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产生环节</w:t>
                  </w:r>
                </w:p>
              </w:tc>
              <w:tc>
                <w:tcPr>
                  <w:tcW w:w="0" w:type="auto"/>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名称</w:t>
                  </w:r>
                </w:p>
              </w:tc>
              <w:tc>
                <w:tcPr>
                  <w:tcW w:w="0" w:type="auto"/>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属性</w:t>
                  </w:r>
                </w:p>
              </w:tc>
              <w:tc>
                <w:tcPr>
                  <w:tcW w:w="0" w:type="auto"/>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废物类别</w:t>
                  </w:r>
                </w:p>
              </w:tc>
              <w:tc>
                <w:tcPr>
                  <w:tcW w:w="0" w:type="auto"/>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废物代码</w:t>
                  </w:r>
                </w:p>
              </w:tc>
              <w:tc>
                <w:tcPr>
                  <w:tcW w:w="0" w:type="auto"/>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主要有害物质</w:t>
                  </w:r>
                </w:p>
              </w:tc>
              <w:tc>
                <w:tcPr>
                  <w:tcW w:w="508" w:type="dxa"/>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物理性状</w:t>
                  </w:r>
                </w:p>
              </w:tc>
              <w:tc>
                <w:tcPr>
                  <w:tcW w:w="564" w:type="dxa"/>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环境危险特性</w:t>
                  </w:r>
                </w:p>
              </w:tc>
              <w:tc>
                <w:tcPr>
                  <w:tcW w:w="821" w:type="dxa"/>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产生量（t</w:t>
                  </w:r>
                  <w:r>
                    <w:rPr>
                      <w:b/>
                      <w:bCs/>
                      <w:color w:val="000000" w:themeColor="text1"/>
                      <w:szCs w:val="21"/>
                      <w14:textFill>
                        <w14:solidFill>
                          <w14:schemeClr w14:val="tx1"/>
                        </w14:solidFill>
                      </w14:textFill>
                    </w:rPr>
                    <w:t>/a</w:t>
                  </w:r>
                  <w:r>
                    <w:rPr>
                      <w:rFonts w:hint="eastAsia"/>
                      <w:b/>
                      <w:bCs/>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贮存位置</w:t>
                  </w:r>
                </w:p>
              </w:tc>
              <w:tc>
                <w:tcPr>
                  <w:tcW w:w="0" w:type="auto"/>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利用处置方式和去向</w:t>
                  </w:r>
                </w:p>
              </w:tc>
              <w:tc>
                <w:tcPr>
                  <w:tcW w:w="0" w:type="auto"/>
                  <w:tcBorders>
                    <w:tl2br w:val="nil"/>
                    <w:tr2bl w:val="nil"/>
                  </w:tcBorders>
                  <w:shd w:val="clear" w:color="auto" w:fill="auto"/>
                  <w:vAlign w:val="center"/>
                </w:tcPr>
                <w:p>
                  <w:pPr>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处置量(t</w:t>
                  </w:r>
                  <w:r>
                    <w:rPr>
                      <w:b/>
                      <w:bCs/>
                      <w:color w:val="000000" w:themeColor="text1"/>
                      <w:szCs w:val="21"/>
                      <w14:textFill>
                        <w14:solidFill>
                          <w14:schemeClr w14:val="tx1"/>
                        </w14:solidFill>
                      </w14:textFill>
                    </w:rPr>
                    <w:t>/a)</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生活办公</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生活废物</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6.00</w:t>
                  </w:r>
                </w:p>
              </w:tc>
              <w:tc>
                <w:tcPr>
                  <w:tcW w:w="0" w:type="auto"/>
                  <w:vMerge w:val="restart"/>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一般固体废物仓库</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环卫部门</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97" w:hRule="atLeast"/>
              </w:trPr>
              <w:tc>
                <w:tcPr>
                  <w:tcW w:w="0" w:type="auto"/>
                  <w:vMerge w:val="restart"/>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生产过程</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木材边角料</w:t>
                  </w:r>
                </w:p>
              </w:tc>
              <w:tc>
                <w:tcPr>
                  <w:tcW w:w="0" w:type="auto"/>
                  <w:vMerge w:val="restart"/>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一般固体废物</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4.66</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restart"/>
                  <w:tcBorders>
                    <w:tl2br w:val="nil"/>
                    <w:tr2bl w:val="nil"/>
                  </w:tcBorders>
                  <w:shd w:val="clear" w:color="auto" w:fill="auto"/>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交由专业公司回收处理</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r>
                    <w:rPr>
                      <w:color w:val="000000" w:themeColor="text1"/>
                      <w:szCs w:val="21"/>
                      <w14:textFill>
                        <w14:solidFill>
                          <w14:schemeClr w14:val="tx1"/>
                        </w14:solidFill>
                      </w14:textFill>
                    </w:rPr>
                    <w:t>4.66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97" w:hRule="atLeast"/>
              </w:trPr>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金属边角料</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.50</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ind w:left="-84" w:leftChars="-40" w:right="-84" w:rightChars="-40"/>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.50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397" w:hRule="atLeast"/>
              </w:trPr>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包装废物</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0.02</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ind w:left="-84" w:leftChars="-40" w:right="-84" w:rightChars="-40"/>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车间地面及布袋除尘器收集到的粉尘</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4.79</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4.79</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焊接烟尘净化器收集到的粉尘</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0.002</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0.002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漆渣</w:t>
                  </w:r>
                </w:p>
              </w:tc>
              <w:tc>
                <w:tcPr>
                  <w:tcW w:w="0" w:type="auto"/>
                  <w:vMerge w:val="restart"/>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0" w:type="auto"/>
                  <w:tcBorders>
                    <w:tl2br w:val="nil"/>
                    <w:tr2bl w:val="nil"/>
                  </w:tcBorders>
                  <w:shd w:val="clear" w:color="auto" w:fill="auto"/>
                  <w:vAlign w:val="center"/>
                </w:tcPr>
                <w:p>
                  <w:pPr>
                    <w:spacing w:line="240" w:lineRule="atLeast"/>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900-252-12</w:t>
                  </w:r>
                </w:p>
              </w:tc>
              <w:tc>
                <w:tcPr>
                  <w:tcW w:w="0" w:type="auto"/>
                  <w:tcBorders>
                    <w:tl2br w:val="nil"/>
                    <w:tr2bl w:val="nil"/>
                  </w:tcBorders>
                  <w:shd w:val="clear" w:color="auto" w:fill="auto"/>
                  <w:vAlign w:val="center"/>
                </w:tcPr>
                <w:p>
                  <w:pPr>
                    <w:spacing w:line="240" w:lineRule="atLeas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tcBorders>
                    <w:tl2br w:val="nil"/>
                    <w:tr2bl w:val="nil"/>
                  </w:tcBorders>
                  <w:shd w:val="clear" w:color="auto" w:fill="auto"/>
                  <w:vAlign w:val="center"/>
                </w:tcPr>
                <w:p>
                  <w:pPr>
                    <w:spacing w:line="240" w:lineRule="atLeas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tcBorders>
                    <w:tl2br w:val="nil"/>
                    <w:tr2bl w:val="nil"/>
                  </w:tcBorders>
                  <w:shd w:val="clear" w:color="auto" w:fill="auto"/>
                  <w:vAlign w:val="center"/>
                </w:tcPr>
                <w:p>
                  <w:pPr>
                    <w:spacing w:line="240" w:lineRule="atLeast"/>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tcBorders>
                    <w:tl2br w:val="nil"/>
                    <w:tr2bl w:val="nil"/>
                  </w:tcBorders>
                  <w:shd w:val="clear" w:color="auto" w:fill="auto"/>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1.93</w:t>
                  </w:r>
                </w:p>
              </w:tc>
              <w:tc>
                <w:tcPr>
                  <w:tcW w:w="0" w:type="auto"/>
                  <w:vMerge w:val="restart"/>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危险废物仓库</w:t>
                  </w:r>
                </w:p>
              </w:tc>
              <w:tc>
                <w:tcPr>
                  <w:tcW w:w="0" w:type="auto"/>
                  <w:vMerge w:val="restart"/>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委托有相应危险废物处理资质的单位统一处置</w:t>
                  </w:r>
                </w:p>
              </w:tc>
              <w:tc>
                <w:tcPr>
                  <w:tcW w:w="0" w:type="auto"/>
                  <w:tcBorders>
                    <w:tl2br w:val="nil"/>
                    <w:tr2bl w:val="nil"/>
                  </w:tcBorders>
                  <w:shd w:val="clear" w:color="auto" w:fill="auto"/>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1.93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废包装桶</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900-252-12</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21" w:type="dxa"/>
                  <w:tcBorders>
                    <w:tl2br w:val="nil"/>
                    <w:tr2bl w:val="nil"/>
                  </w:tcBorders>
                  <w:shd w:val="clear" w:color="auto" w:fill="auto"/>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0.2</w:t>
                  </w:r>
                  <w:r>
                    <w:rPr>
                      <w:color w:val="000000" w:themeColor="text1"/>
                      <w:szCs w:val="21"/>
                      <w14:textFill>
                        <w14:solidFill>
                          <w14:schemeClr w14:val="tx1"/>
                        </w14:solidFill>
                      </w14:textFill>
                    </w:rPr>
                    <w:t>0</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0.2</w:t>
                  </w:r>
                  <w:r>
                    <w:rPr>
                      <w:color w:val="000000" w:themeColor="text1"/>
                      <w:szCs w:val="21"/>
                      <w14:textFill>
                        <w14:solidFill>
                          <w14:schemeClr w14:val="tx1"/>
                        </w14:solidFill>
                      </w14:textFill>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水帘柜更换废水</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900-041-49</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废涂料</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15.36</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15.36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喷枪清洗废水</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900-252-12</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废涂料</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1.22</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1.22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vMerge w:val="restart"/>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废气处理</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废活性炭</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HW49</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900-039-49</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活性炭</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7.25</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7.25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调漆、喷漆、晾干废气处理装置喷淋塔定期更换废水</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900-039-49</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废涂料</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6.68</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6.68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vMerge w:val="restart"/>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设备维护</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废机油</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HW08</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900-214-08</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矿物油</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液体</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T/In</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0.02</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废含机油抹布及手套、废含油漆抹布及手套</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900-041-49</w:t>
                  </w:r>
                </w:p>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矿物油</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T/In</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0.01</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废机油包装桶</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900-041-49</w:t>
                  </w: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矿物油</w:t>
                  </w:r>
                </w:p>
              </w:tc>
              <w:tc>
                <w:tcPr>
                  <w:tcW w:w="508"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564"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T/In</w:t>
                  </w:r>
                </w:p>
              </w:tc>
              <w:tc>
                <w:tcPr>
                  <w:tcW w:w="821" w:type="dxa"/>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0.01</w:t>
                  </w: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vMerge w:val="continue"/>
                  <w:tcBorders>
                    <w:tl2br w:val="nil"/>
                    <w:tr2bl w:val="nil"/>
                  </w:tcBorders>
                  <w:shd w:val="clear" w:color="auto" w:fill="auto"/>
                  <w:vAlign w:val="center"/>
                </w:tcPr>
                <w:p>
                  <w:pPr>
                    <w:jc w:val="center"/>
                    <w:rPr>
                      <w:color w:val="000000" w:themeColor="text1"/>
                      <w:szCs w:val="21"/>
                      <w14:textFill>
                        <w14:solidFill>
                          <w14:schemeClr w14:val="tx1"/>
                        </w14:solidFill>
                      </w14:textFill>
                    </w:rPr>
                  </w:pPr>
                </w:p>
              </w:tc>
              <w:tc>
                <w:tcPr>
                  <w:tcW w:w="0" w:type="auto"/>
                  <w:tcBorders>
                    <w:tl2br w:val="nil"/>
                    <w:tr2bl w:val="nil"/>
                  </w:tcBorders>
                  <w:shd w:val="clear" w:color="auto" w:fill="auto"/>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0.01</w:t>
                  </w:r>
                </w:p>
              </w:tc>
            </w:tr>
          </w:tbl>
          <w:p>
            <w:pPr>
              <w:spacing w:line="360" w:lineRule="auto"/>
              <w:ind w:firstLine="482" w:firstLineChars="200"/>
              <w:contextualSpacing/>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2 固体废物影响分析</w:t>
            </w:r>
          </w:p>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1</w:t>
            </w:r>
            <w:r>
              <w:rPr>
                <w:b/>
                <w:bCs/>
                <w:color w:val="000000" w:themeColor="text1"/>
                <w:sz w:val="24"/>
                <w14:textFill>
                  <w14:solidFill>
                    <w14:schemeClr w14:val="tx1"/>
                  </w14:solidFill>
                </w14:textFill>
              </w:rPr>
              <w:t>）一般工业固体废物</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对于一般工业废物，根据《一般工业固体废物贮存和填埋污染控制标准》（GB 18599-2020）及相关国家及地方法律法规，提出如下环保措施：</w:t>
            </w:r>
          </w:p>
          <w:p>
            <w:pPr>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①</w:t>
            </w:r>
            <w:r>
              <w:rPr>
                <w:color w:val="000000" w:themeColor="text1"/>
                <w:sz w:val="24"/>
                <w14:textFill>
                  <w14:solidFill>
                    <w14:schemeClr w14:val="tx1"/>
                  </w14:solidFill>
                </w14:textFill>
              </w:rPr>
              <w:t>为防止雨水径流进入贮存、处置场内，避免渗滤液量增加和滑坡，贮存、处置场周边应设置导流渠。</w:t>
            </w:r>
          </w:p>
          <w:p>
            <w:pPr>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②</w:t>
            </w:r>
            <w:r>
              <w:rPr>
                <w:color w:val="000000" w:themeColor="text1"/>
                <w:sz w:val="24"/>
                <w14:textFill>
                  <w14:solidFill>
                    <w14:schemeClr w14:val="tx1"/>
                  </w14:solidFill>
                </w14:textFill>
              </w:rPr>
              <w:t>为加强监督管理，贮存、处置场应按GB15562.2设置环境保护图形标志。</w:t>
            </w:r>
          </w:p>
          <w:p>
            <w:pPr>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③</w:t>
            </w:r>
            <w:r>
              <w:rPr>
                <w:color w:val="000000" w:themeColor="text1"/>
                <w:sz w:val="24"/>
                <w14:textFill>
                  <w14:solidFill>
                    <w14:schemeClr w14:val="tx1"/>
                  </w14:solidFill>
                </w14:textFill>
              </w:rPr>
              <w:t>贮存、处置场使用单位，应建立检查维护制度。定期检查维护堤、坝、挡土墙、导流渠等设施，发现有损坏可能或异常，应及时采取必要措施，以保障正常运行。</w:t>
            </w:r>
          </w:p>
          <w:p>
            <w:pPr>
              <w:spacing w:line="360" w:lineRule="auto"/>
              <w:ind w:firstLine="480" w:firstLineChars="200"/>
              <w:rPr>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④</w:t>
            </w:r>
            <w:r>
              <w:rPr>
                <w:color w:val="000000" w:themeColor="text1"/>
                <w:sz w:val="24"/>
                <w14:textFill>
                  <w14:solidFill>
                    <w14:schemeClr w14:val="tx1"/>
                  </w14:solidFill>
                </w14:textFill>
              </w:rPr>
              <w:t>贮存、处置场的使用单位，应建立档案制度。应将入场的一般工业固体废物的种类和数量以及下列资料。详细记录在案，长期保存，供随时查阅。</w:t>
            </w: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（2）危险废物</w:t>
            </w:r>
          </w:p>
          <w:p>
            <w:pPr>
              <w:pStyle w:val="154"/>
              <w:adjustRightInd w:val="0"/>
              <w:spacing w:line="360" w:lineRule="auto"/>
              <w:ind w:firstLine="480" w:firstLineChars="200"/>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厂区危险废物暂存区的设置须满足《危险废物贮存污染控制标准》（GB18597-2001）及2013年修改单的要求，须做好防渗、防风、防雨、防晒等措施，具体要求如下。</w:t>
            </w:r>
          </w:p>
          <w:p>
            <w:pPr>
              <w:pStyle w:val="90"/>
              <w:adjustRightInd w:val="0"/>
              <w:spacing w:line="360" w:lineRule="auto"/>
              <w:ind w:firstLine="480" w:firstLineChars="200"/>
              <w:rPr>
                <w:rFonts w:ascii="Times New Roman" w:hAnsi="Times New Roman" w:cs="Times New Roman"/>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①</w:t>
            </w:r>
            <w:r>
              <w:rPr>
                <w:rFonts w:ascii="Times New Roman" w:hAnsi="Times New Roman" w:cs="Times New Roman"/>
                <w:color w:val="000000" w:themeColor="text1"/>
                <w14:textFill>
                  <w14:solidFill>
                    <w14:schemeClr w14:val="tx1"/>
                  </w14:solidFill>
                </w14:textFill>
              </w:rPr>
              <w:t>危险固废储存区需设置明显的标记；</w:t>
            </w:r>
          </w:p>
          <w:p>
            <w:pPr>
              <w:pStyle w:val="90"/>
              <w:adjustRightInd w:val="0"/>
              <w:spacing w:line="360" w:lineRule="auto"/>
              <w:ind w:firstLine="480" w:firstLineChars="200"/>
              <w:rPr>
                <w:rFonts w:ascii="Times New Roman" w:hAnsi="Times New Roman" w:cs="Times New Roman"/>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②</w:t>
            </w:r>
            <w:r>
              <w:rPr>
                <w:rFonts w:ascii="Times New Roman" w:hAnsi="Times New Roman" w:cs="Times New Roman"/>
                <w:color w:val="000000" w:themeColor="text1"/>
                <w14:textFill>
                  <w14:solidFill>
                    <w14:schemeClr w14:val="tx1"/>
                  </w14:solidFill>
                </w14:textFill>
              </w:rPr>
              <w:t>危险固废储存区应按照《危险废物贮存污染控制标准》的要求建设，危险废物的贮存必须按《危险废物贮存污染控制标准》（GB18579-2001）及其修改单的要求进行，具体要求如下：</w:t>
            </w:r>
          </w:p>
          <w:p>
            <w:pPr>
              <w:pStyle w:val="155"/>
              <w:adjustRightInd w:val="0"/>
              <w:spacing w:line="360" w:lineRule="auto"/>
              <w:ind w:firstLine="512" w:firstLineChars="20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1）禁止将相互反应的危险废物在同一容器内混装；装载液体、半固体危险废物的容器内需留有足够的空间，容器顶部距液面之间的距离不得小于100mm。</w:t>
            </w:r>
          </w:p>
          <w:p>
            <w:pPr>
              <w:pStyle w:val="155"/>
              <w:adjustRightInd w:val="0"/>
              <w:spacing w:line="360" w:lineRule="auto"/>
              <w:ind w:firstLine="512" w:firstLineChars="20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2）应当使用符合标准的容器盛装危险废物，其材质强度应满足贮存要求，同时，选用的材质必须不能与危险废物产生化学反应。</w:t>
            </w:r>
          </w:p>
          <w:p>
            <w:pPr>
              <w:pStyle w:val="155"/>
              <w:adjustRightInd w:val="0"/>
              <w:spacing w:line="360" w:lineRule="auto"/>
              <w:ind w:firstLine="512" w:firstLineChars="20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3）危险废物贮存场所的地面与墙脚应采用坚固、防渗材料建造，同时材料不能与废物产生化学反应。防止其污染周边的环境和地下水源，贮存车间（危废间）上方应设有排气系统，以保证贮存间内的空气质量。</w:t>
            </w:r>
          </w:p>
          <w:p>
            <w:pPr>
              <w:pStyle w:val="155"/>
              <w:adjustRightInd w:val="0"/>
              <w:spacing w:line="360" w:lineRule="auto"/>
              <w:ind w:firstLine="512" w:firstLineChars="200"/>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4）应加强危险废物贮存设施的运行管理，作好危险废物的出入库管理记录和标识，定期检查危险废物包装容器的完好性，发现破损，应及时采取措施。</w:t>
            </w:r>
          </w:p>
          <w:p>
            <w:pPr>
              <w:adjustRightInd w:val="0"/>
              <w:spacing w:line="360" w:lineRule="auto"/>
              <w:ind w:firstLine="480" w:firstLineChars="200"/>
            </w:pPr>
            <w:r>
              <w:rPr>
                <w:color w:val="000000" w:themeColor="text1"/>
                <w:sz w:val="24"/>
                <w14:textFill>
                  <w14:solidFill>
                    <w14:schemeClr w14:val="tx1"/>
                  </w14:solidFill>
                </w14:textFill>
              </w:rPr>
              <w:t>在采取上述措施的情况下，项目营运期产生的固体废弃物对周围环境的影响较小。</w:t>
            </w:r>
          </w:p>
          <w:p>
            <w:pPr>
              <w:pStyle w:val="159"/>
              <w:spacing w:beforeLines="0" w:afterLines="0"/>
              <w:ind w:firstLine="0" w:firstLineChars="0"/>
              <w:jc w:val="center"/>
              <w:rPr>
                <w:b/>
                <w:bCs/>
                <w:color w:val="000000" w:themeColor="text1"/>
                <w:sz w:val="21"/>
                <w:szCs w:val="21"/>
                <w14:textFill>
                  <w14:solidFill>
                    <w14:schemeClr w14:val="tx1"/>
                  </w14:solidFill>
                </w14:textFill>
              </w:rPr>
            </w:pPr>
            <w:r>
              <w:rPr>
                <w:b/>
                <w:bCs/>
                <w:color w:val="000000" w:themeColor="text1"/>
                <w:sz w:val="21"/>
                <w:szCs w:val="21"/>
                <w14:textFill>
                  <w14:solidFill>
                    <w14:schemeClr w14:val="tx1"/>
                  </w14:solidFill>
                </w14:textFill>
              </w:rPr>
              <w:t>表4-17</w:t>
            </w:r>
            <w:r>
              <w:rPr>
                <w:rFonts w:hint="eastAsia"/>
                <w:b/>
                <w:bCs/>
                <w:color w:val="000000" w:themeColor="text1"/>
                <w:sz w:val="21"/>
                <w:szCs w:val="21"/>
                <w14:textFill>
                  <w14:solidFill>
                    <w14:schemeClr w14:val="tx1"/>
                  </w14:solidFill>
                </w14:textFill>
              </w:rPr>
              <w:t xml:space="preserve">  </w:t>
            </w:r>
            <w:r>
              <w:rPr>
                <w:b/>
                <w:bCs/>
                <w:color w:val="000000" w:themeColor="text1"/>
                <w:sz w:val="21"/>
                <w:szCs w:val="21"/>
                <w14:textFill>
                  <w14:solidFill>
                    <w14:schemeClr w14:val="tx1"/>
                  </w14:solidFill>
                </w14:textFill>
              </w:rPr>
              <w:t>建设项目危险废物贮存场所（设施）基本情况样表</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6"/>
              <w:gridCol w:w="872"/>
              <w:gridCol w:w="1555"/>
              <w:gridCol w:w="989"/>
              <w:gridCol w:w="837"/>
              <w:gridCol w:w="686"/>
              <w:gridCol w:w="710"/>
              <w:gridCol w:w="671"/>
              <w:gridCol w:w="671"/>
              <w:gridCol w:w="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trPr>
              <w:tc>
                <w:tcPr>
                  <w:tcW w:w="520"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942" w:type="dxa"/>
                  <w:vAlign w:val="center"/>
                </w:tcPr>
                <w:p>
                  <w:pPr>
                    <w:jc w:val="center"/>
                    <w:rPr>
                      <w:b/>
                      <w:color w:val="000000" w:themeColor="text1"/>
                      <w:szCs w:val="21"/>
                      <w14:textFill>
                        <w14:solidFill>
                          <w14:schemeClr w14:val="tx1"/>
                        </w14:solidFill>
                      </w14:textFill>
                    </w:rPr>
                  </w:pPr>
                  <w:r>
                    <w:rPr>
                      <w:b/>
                      <w:color w:val="000000" w:themeColor="text1"/>
                      <w:kern w:val="0"/>
                      <w:szCs w:val="21"/>
                      <w14:textFill>
                        <w14:solidFill>
                          <w14:schemeClr w14:val="tx1"/>
                        </w14:solidFill>
                      </w14:textFill>
                    </w:rPr>
                    <w:t>贮存场所</w:t>
                  </w:r>
                  <w:r>
                    <w:rPr>
                      <w:rFonts w:hint="eastAsia"/>
                      <w:b/>
                      <w:color w:val="000000" w:themeColor="text1"/>
                      <w:kern w:val="0"/>
                      <w:szCs w:val="21"/>
                      <w14:textFill>
                        <w14:solidFill>
                          <w14:schemeClr w14:val="tx1"/>
                        </w14:solidFill>
                      </w14:textFill>
                    </w:rPr>
                    <w:t>/</w:t>
                  </w:r>
                  <w:r>
                    <w:rPr>
                      <w:b/>
                      <w:color w:val="000000" w:themeColor="text1"/>
                      <w:kern w:val="0"/>
                      <w:szCs w:val="21"/>
                      <w14:textFill>
                        <w14:solidFill>
                          <w14:schemeClr w14:val="tx1"/>
                        </w14:solidFill>
                      </w14:textFill>
                    </w:rPr>
                    <w:t>设施名称</w:t>
                  </w:r>
                </w:p>
              </w:tc>
              <w:tc>
                <w:tcPr>
                  <w:tcW w:w="1725"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废物名称</w:t>
                  </w:r>
                </w:p>
              </w:tc>
              <w:tc>
                <w:tcPr>
                  <w:tcW w:w="1049" w:type="dxa"/>
                  <w:vAlign w:val="center"/>
                </w:tcPr>
                <w:p>
                  <w:pPr>
                    <w:jc w:val="center"/>
                    <w:rPr>
                      <w:b/>
                      <w:color w:val="000000" w:themeColor="text1"/>
                      <w:szCs w:val="21"/>
                      <w14:textFill>
                        <w14:solidFill>
                          <w14:schemeClr w14:val="tx1"/>
                        </w14:solidFill>
                      </w14:textFill>
                    </w:rPr>
                  </w:pPr>
                  <w:r>
                    <w:rPr>
                      <w:b/>
                      <w:color w:val="000000" w:themeColor="text1"/>
                      <w:kern w:val="0"/>
                      <w:szCs w:val="21"/>
                      <w14:textFill>
                        <w14:solidFill>
                          <w14:schemeClr w14:val="tx1"/>
                        </w14:solidFill>
                      </w14:textFill>
                    </w:rPr>
                    <w:t>危险废类别</w:t>
                  </w:r>
                </w:p>
              </w:tc>
              <w:tc>
                <w:tcPr>
                  <w:tcW w:w="900"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危险废物代码</w:t>
                  </w:r>
                </w:p>
              </w:tc>
              <w:tc>
                <w:tcPr>
                  <w:tcW w:w="726"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位置</w:t>
                  </w:r>
                </w:p>
              </w:tc>
              <w:tc>
                <w:tcPr>
                  <w:tcW w:w="744" w:type="dxa"/>
                  <w:vAlign w:val="center"/>
                </w:tcPr>
                <w:p>
                  <w:pPr>
                    <w:jc w:val="center"/>
                    <w:rPr>
                      <w:b/>
                      <w:color w:val="000000" w:themeColor="text1"/>
                      <w:szCs w:val="21"/>
                      <w14:textFill>
                        <w14:solidFill>
                          <w14:schemeClr w14:val="tx1"/>
                        </w14:solidFill>
                      </w14:textFill>
                    </w:rPr>
                  </w:pPr>
                  <w:r>
                    <w:rPr>
                      <w:b/>
                      <w:color w:val="000000" w:themeColor="text1"/>
                      <w:kern w:val="0"/>
                      <w:szCs w:val="21"/>
                      <w14:textFill>
                        <w14:solidFill>
                          <w14:schemeClr w14:val="tx1"/>
                        </w14:solidFill>
                      </w14:textFill>
                    </w:rPr>
                    <w:t>占地面积</w:t>
                  </w:r>
                </w:p>
              </w:tc>
              <w:tc>
                <w:tcPr>
                  <w:tcW w:w="709"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暂存方式</w:t>
                  </w:r>
                </w:p>
              </w:tc>
              <w:tc>
                <w:tcPr>
                  <w:tcW w:w="709"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储存能力</w:t>
                  </w:r>
                </w:p>
              </w:tc>
              <w:tc>
                <w:tcPr>
                  <w:tcW w:w="709"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储存周期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52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942" w:type="dxa"/>
                  <w:vMerge w:val="restart"/>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危险废物仓库</w:t>
                  </w:r>
                </w:p>
              </w:tc>
              <w:tc>
                <w:tcPr>
                  <w:tcW w:w="1725"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水帘柜更换废水</w:t>
                  </w:r>
                </w:p>
              </w:tc>
              <w:tc>
                <w:tcPr>
                  <w:tcW w:w="1049"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900"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900-041-49</w:t>
                  </w:r>
                </w:p>
              </w:tc>
              <w:tc>
                <w:tcPr>
                  <w:tcW w:w="726" w:type="dxa"/>
                  <w:vMerge w:val="restart"/>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厂房右上角</w:t>
                  </w:r>
                </w:p>
              </w:tc>
              <w:tc>
                <w:tcPr>
                  <w:tcW w:w="744" w:type="dxa"/>
                  <w:vMerge w:val="restart"/>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20m</w:t>
                  </w:r>
                  <w:r>
                    <w:rPr>
                      <w:rFonts w:hint="eastAsia"/>
                      <w:color w:val="000000" w:themeColor="text1"/>
                      <w:szCs w:val="21"/>
                      <w:vertAlign w:val="superscript"/>
                      <w14:textFill>
                        <w14:solidFill>
                          <w14:schemeClr w14:val="tx1"/>
                        </w14:solidFill>
                      </w14:textFill>
                    </w:rPr>
                    <w:t>2</w:t>
                  </w: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桶装</w:t>
                  </w:r>
                </w:p>
              </w:tc>
              <w:tc>
                <w:tcPr>
                  <w:tcW w:w="709" w:type="dxa"/>
                  <w:vMerge w:val="restart"/>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15吨</w:t>
                  </w: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942"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725"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喷枪清洗废水</w:t>
                  </w:r>
                </w:p>
              </w:tc>
              <w:tc>
                <w:tcPr>
                  <w:tcW w:w="104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900"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900-252-12</w:t>
                  </w:r>
                </w:p>
              </w:tc>
              <w:tc>
                <w:tcPr>
                  <w:tcW w:w="726"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44"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桶装</w:t>
                  </w:r>
                </w:p>
              </w:tc>
              <w:tc>
                <w:tcPr>
                  <w:tcW w:w="709"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rPr>
              <w:tc>
                <w:tcPr>
                  <w:tcW w:w="52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942"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725"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废活性炭</w:t>
                  </w:r>
                </w:p>
              </w:tc>
              <w:tc>
                <w:tcPr>
                  <w:tcW w:w="104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HW49</w:t>
                  </w:r>
                </w:p>
              </w:tc>
              <w:tc>
                <w:tcPr>
                  <w:tcW w:w="90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900-039-49</w:t>
                  </w:r>
                </w:p>
              </w:tc>
              <w:tc>
                <w:tcPr>
                  <w:tcW w:w="726"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44"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袋装</w:t>
                  </w:r>
                </w:p>
              </w:tc>
              <w:tc>
                <w:tcPr>
                  <w:tcW w:w="709"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942"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725"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调漆、喷漆、晾干废气处理装置喷淋塔定期更换废水</w:t>
                  </w:r>
                </w:p>
              </w:tc>
              <w:tc>
                <w:tcPr>
                  <w:tcW w:w="1049"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900"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900-039-49</w:t>
                  </w:r>
                </w:p>
              </w:tc>
              <w:tc>
                <w:tcPr>
                  <w:tcW w:w="726"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44"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桶装</w:t>
                  </w:r>
                </w:p>
              </w:tc>
              <w:tc>
                <w:tcPr>
                  <w:tcW w:w="709"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942"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725"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废机油</w:t>
                  </w:r>
                </w:p>
              </w:tc>
              <w:tc>
                <w:tcPr>
                  <w:tcW w:w="1049"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HW08</w:t>
                  </w:r>
                </w:p>
              </w:tc>
              <w:tc>
                <w:tcPr>
                  <w:tcW w:w="90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900-214-08</w:t>
                  </w:r>
                </w:p>
              </w:tc>
              <w:tc>
                <w:tcPr>
                  <w:tcW w:w="726"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44"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桶装</w:t>
                  </w:r>
                </w:p>
              </w:tc>
              <w:tc>
                <w:tcPr>
                  <w:tcW w:w="709"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942"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725"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废含机油抹布及手套、废含油漆抹布及手套</w:t>
                  </w:r>
                </w:p>
              </w:tc>
              <w:tc>
                <w:tcPr>
                  <w:tcW w:w="1049"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90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900-041-49</w:t>
                  </w:r>
                </w:p>
              </w:tc>
              <w:tc>
                <w:tcPr>
                  <w:tcW w:w="726"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44"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袋装</w:t>
                  </w:r>
                </w:p>
              </w:tc>
              <w:tc>
                <w:tcPr>
                  <w:tcW w:w="709"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w:t>
                  </w:r>
                </w:p>
              </w:tc>
              <w:tc>
                <w:tcPr>
                  <w:tcW w:w="942"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72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废机油包装桶</w:t>
                  </w:r>
                </w:p>
              </w:tc>
              <w:tc>
                <w:tcPr>
                  <w:tcW w:w="1049"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HW49</w:t>
                  </w:r>
                </w:p>
              </w:tc>
              <w:tc>
                <w:tcPr>
                  <w:tcW w:w="90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900-041-49</w:t>
                  </w:r>
                </w:p>
              </w:tc>
              <w:tc>
                <w:tcPr>
                  <w:tcW w:w="726"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44"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桶装</w:t>
                  </w:r>
                </w:p>
              </w:tc>
              <w:tc>
                <w:tcPr>
                  <w:tcW w:w="709"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p>
              </w:tc>
              <w:tc>
                <w:tcPr>
                  <w:tcW w:w="942"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72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漆渣</w:t>
                  </w:r>
                </w:p>
              </w:tc>
              <w:tc>
                <w:tcPr>
                  <w:tcW w:w="104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900"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900-252-12</w:t>
                  </w:r>
                </w:p>
              </w:tc>
              <w:tc>
                <w:tcPr>
                  <w:tcW w:w="726"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44"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袋装</w:t>
                  </w:r>
                </w:p>
              </w:tc>
              <w:tc>
                <w:tcPr>
                  <w:tcW w:w="709"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20"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w:t>
                  </w:r>
                </w:p>
              </w:tc>
              <w:tc>
                <w:tcPr>
                  <w:tcW w:w="942"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725"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废包装桶</w:t>
                  </w:r>
                </w:p>
              </w:tc>
              <w:tc>
                <w:tcPr>
                  <w:tcW w:w="104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HW12</w:t>
                  </w:r>
                </w:p>
              </w:tc>
              <w:tc>
                <w:tcPr>
                  <w:tcW w:w="900"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900-252-12</w:t>
                  </w:r>
                </w:p>
              </w:tc>
              <w:tc>
                <w:tcPr>
                  <w:tcW w:w="726"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44"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袋装</w:t>
                  </w:r>
                </w:p>
              </w:tc>
              <w:tc>
                <w:tcPr>
                  <w:tcW w:w="709"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709"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3个月</w:t>
                  </w:r>
                </w:p>
              </w:tc>
            </w:tr>
          </w:tbl>
          <w:p>
            <w:pPr>
              <w:adjustRightInd w:val="0"/>
              <w:snapToGrid w:val="0"/>
              <w:spacing w:before="156" w:beforeLines="50"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综上所述，建设单位按照环评要求处置固体废物后，项目固体废物对周边环境产生的影响较小。</w:t>
            </w:r>
          </w:p>
          <w:p>
            <w:pPr>
              <w:spacing w:line="360" w:lineRule="auto"/>
              <w:ind w:firstLine="482" w:firstLineChars="200"/>
              <w:contextualSpacing/>
              <w:rPr>
                <w:b/>
                <w:color w:val="000000" w:themeColor="text1"/>
                <w:sz w:val="24"/>
                <w14:textFill>
                  <w14:solidFill>
                    <w14:schemeClr w14:val="tx1"/>
                  </w14:solidFill>
                </w14:textFill>
              </w:rPr>
            </w:pPr>
            <w:r>
              <w:rPr>
                <w:b/>
                <w:color w:val="000000" w:themeColor="text1"/>
                <w:sz w:val="24"/>
                <w14:textFill>
                  <w14:solidFill>
                    <w14:schemeClr w14:val="tx1"/>
                  </w14:solidFill>
                </w14:textFill>
              </w:rPr>
              <w:t>五、地下水</w:t>
            </w:r>
            <w:r>
              <w:rPr>
                <w:rFonts w:hint="eastAsia"/>
                <w:b/>
                <w:color w:val="000000" w:themeColor="text1"/>
                <w:sz w:val="24"/>
                <w14:textFill>
                  <w14:solidFill>
                    <w14:schemeClr w14:val="tx1"/>
                  </w14:solidFill>
                </w14:textFill>
              </w:rPr>
              <w:t>、</w:t>
            </w:r>
            <w:r>
              <w:rPr>
                <w:b/>
                <w:color w:val="000000" w:themeColor="text1"/>
                <w:sz w:val="24"/>
                <w14:textFill>
                  <w14:solidFill>
                    <w14:schemeClr w14:val="tx1"/>
                  </w14:solidFill>
                </w14:textFill>
              </w:rPr>
              <w:t>土壤</w:t>
            </w:r>
            <w:r>
              <w:rPr>
                <w:rFonts w:hint="eastAsia"/>
                <w:b/>
                <w:color w:val="000000" w:themeColor="text1"/>
                <w:sz w:val="24"/>
                <w14:textFill>
                  <w14:solidFill>
                    <w14:schemeClr w14:val="tx1"/>
                  </w14:solidFill>
                </w14:textFill>
              </w:rPr>
              <w:t>环境</w:t>
            </w:r>
            <w:r>
              <w:rPr>
                <w:b/>
                <w:color w:val="000000" w:themeColor="text1"/>
                <w:sz w:val="24"/>
                <w14:textFill>
                  <w14:solidFill>
                    <w14:schemeClr w14:val="tx1"/>
                  </w14:solidFill>
                </w14:textFill>
              </w:rPr>
              <w:t>影响分析</w:t>
            </w:r>
          </w:p>
          <w:p>
            <w:pPr>
              <w:spacing w:line="360" w:lineRule="auto"/>
              <w:ind w:firstLine="482" w:firstLineChars="200"/>
              <w:contextualSpacing/>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 xml:space="preserve">1、污染源、污染物类型和污染途径 </w:t>
            </w:r>
          </w:p>
          <w:p>
            <w:pPr>
              <w:adjustRightInd w:val="0"/>
              <w:snapToGrid w:val="0"/>
              <w:spacing w:before="156" w:beforeLines="50" w:line="360" w:lineRule="auto"/>
              <w:ind w:firstLine="480" w:firstLineChars="200"/>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根据《环境影响评价技术导则地下水环境》（</w:t>
            </w:r>
            <w:r>
              <w:rPr>
                <w:color w:val="000000" w:themeColor="text1"/>
                <w:sz w:val="24"/>
                <w14:textFill>
                  <w14:solidFill>
                    <w14:schemeClr w14:val="tx1"/>
                  </w14:solidFill>
                </w14:textFill>
              </w:rPr>
              <w:t>HJ610-2016</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5.3</w:t>
            </w:r>
            <w:r>
              <w:rPr>
                <w:rFonts w:hint="eastAsia"/>
                <w:color w:val="000000" w:themeColor="text1"/>
                <w:sz w:val="24"/>
                <w14:textFill>
                  <w14:solidFill>
                    <w14:schemeClr w14:val="tx1"/>
                  </w14:solidFill>
                </w14:textFill>
              </w:rPr>
              <w:t>，进行地下水影响识别，根据识别结果，在做好防渗处理的情况下，本项目不存在地下水、土壤污染影响途径。由于本项目不产生重金属、持久性有机物污染物，生活污水化粪池、生产车间、原料仓库、危险废物仓库按一般防渗分区提出防渗技术要求</w:t>
            </w:r>
            <w:r>
              <w:rPr>
                <w:rFonts w:hint="eastAsia" w:ascii="宋体" w:hAnsi="宋体"/>
                <w:color w:val="000000" w:themeColor="text1"/>
                <w:sz w:val="24"/>
                <w14:textFill>
                  <w14:solidFill>
                    <w14:schemeClr w14:val="tx1"/>
                  </w14:solidFill>
                </w14:textFill>
              </w:rPr>
              <w:t>：</w:t>
            </w:r>
          </w:p>
          <w:p>
            <w:pPr>
              <w:pStyle w:val="159"/>
              <w:spacing w:beforeLines="0" w:afterLines="0"/>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表4-</w:t>
            </w:r>
            <w:r>
              <w:rPr>
                <w:b/>
                <w:bCs/>
                <w:color w:val="000000" w:themeColor="text1"/>
                <w:sz w:val="21"/>
                <w:szCs w:val="21"/>
                <w14:textFill>
                  <w14:solidFill>
                    <w14:schemeClr w14:val="tx1"/>
                  </w14:solidFill>
                </w14:textFill>
              </w:rPr>
              <w:t>18</w:t>
            </w:r>
            <w:r>
              <w:rPr>
                <w:rFonts w:hint="eastAsia"/>
                <w:b/>
                <w:bCs/>
                <w:color w:val="000000" w:themeColor="text1"/>
                <w:sz w:val="21"/>
                <w:szCs w:val="21"/>
                <w14:textFill>
                  <w14:solidFill>
                    <w14:schemeClr w14:val="tx1"/>
                  </w14:solidFill>
                </w14:textFill>
              </w:rPr>
              <w:t xml:space="preserve"> 地下水污染影响类型与影响途径表</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3"/>
              <w:gridCol w:w="1149"/>
              <w:gridCol w:w="683"/>
              <w:gridCol w:w="1114"/>
              <w:gridCol w:w="3511"/>
              <w:gridCol w:w="7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955"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时段</w:t>
                  </w:r>
                </w:p>
              </w:tc>
              <w:tc>
                <w:tcPr>
                  <w:tcW w:w="6735" w:type="dxa"/>
                  <w:gridSpan w:val="4"/>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装置、设施</w:t>
                  </w:r>
                </w:p>
              </w:tc>
              <w:tc>
                <w:tcPr>
                  <w:tcW w:w="832" w:type="dxa"/>
                  <w:vMerge w:val="restart"/>
                  <w:vAlign w:val="center"/>
                </w:tcPr>
                <w:p>
                  <w:pPr>
                    <w:ind w:left="-84" w:leftChars="-40" w:right="-84" w:rightChars="-4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是否存在污染途径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5"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建设期</w:t>
                  </w:r>
                </w:p>
              </w:tc>
              <w:tc>
                <w:tcPr>
                  <w:tcW w:w="1207"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位置</w:t>
                  </w:r>
                </w:p>
              </w:tc>
              <w:tc>
                <w:tcPr>
                  <w:tcW w:w="704"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规模</w:t>
                  </w:r>
                </w:p>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m</w:t>
                  </w:r>
                  <w:r>
                    <w:rPr>
                      <w:rFonts w:hint="eastAsia"/>
                      <w:b/>
                      <w:bCs/>
                      <w:color w:val="000000" w:themeColor="text1"/>
                      <w:szCs w:val="21"/>
                      <w:vertAlign w:val="superscript"/>
                      <w14:textFill>
                        <w14:solidFill>
                          <w14:schemeClr w14:val="tx1"/>
                        </w14:solidFill>
                      </w14:textFill>
                    </w:rPr>
                    <w:t>2</w:t>
                  </w:r>
                </w:p>
              </w:tc>
              <w:tc>
                <w:tcPr>
                  <w:tcW w:w="1156"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材质</w:t>
                  </w:r>
                </w:p>
              </w:tc>
              <w:tc>
                <w:tcPr>
                  <w:tcW w:w="3668"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防渗技术要求</w:t>
                  </w:r>
                </w:p>
              </w:tc>
              <w:tc>
                <w:tcPr>
                  <w:tcW w:w="832" w:type="dxa"/>
                  <w:vMerge w:val="continue"/>
                  <w:vAlign w:val="center"/>
                </w:tcPr>
                <w:p>
                  <w:pPr>
                    <w:ind w:left="-84" w:leftChars="-40" w:right="-84" w:rightChars="-40"/>
                    <w:jc w:val="center"/>
                    <w:rPr>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955" w:type="dxa"/>
                  <w:vMerge w:val="restart"/>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运营期</w:t>
                  </w:r>
                </w:p>
              </w:tc>
              <w:tc>
                <w:tcPr>
                  <w:tcW w:w="1207"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生活污水化粪池</w:t>
                  </w:r>
                </w:p>
              </w:tc>
              <w:tc>
                <w:tcPr>
                  <w:tcW w:w="704"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156"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砖石、水泥</w:t>
                  </w:r>
                </w:p>
              </w:tc>
              <w:tc>
                <w:tcPr>
                  <w:tcW w:w="3668" w:type="dxa"/>
                  <w:vMerge w:val="restart"/>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等效黏土防渗层 Mb≥1.5m，K≤1.0 ×10-7cm/s；或参照 GB16889 执行</w:t>
                  </w:r>
                </w:p>
              </w:tc>
              <w:tc>
                <w:tcPr>
                  <w:tcW w:w="832"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955"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207"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w:t>
                  </w:r>
                  <w:r>
                    <w:rPr>
                      <w:color w:val="000000" w:themeColor="text1"/>
                      <w:szCs w:val="21"/>
                      <w14:textFill>
                        <w14:solidFill>
                          <w14:schemeClr w14:val="tx1"/>
                        </w14:solidFill>
                      </w14:textFill>
                    </w:rPr>
                    <w:t>车间</w:t>
                  </w:r>
                </w:p>
              </w:tc>
              <w:tc>
                <w:tcPr>
                  <w:tcW w:w="704"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600</w:t>
                  </w:r>
                </w:p>
              </w:tc>
              <w:tc>
                <w:tcPr>
                  <w:tcW w:w="1156"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环氧树脂地坪漆</w:t>
                  </w:r>
                </w:p>
              </w:tc>
              <w:tc>
                <w:tcPr>
                  <w:tcW w:w="3668"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832"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5"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207"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原料</w:t>
                  </w:r>
                  <w:r>
                    <w:rPr>
                      <w:color w:val="000000" w:themeColor="text1"/>
                      <w:szCs w:val="21"/>
                      <w14:textFill>
                        <w14:solidFill>
                          <w14:schemeClr w14:val="tx1"/>
                        </w14:solidFill>
                      </w14:textFill>
                    </w:rPr>
                    <w:t>仓库</w:t>
                  </w:r>
                </w:p>
              </w:tc>
              <w:tc>
                <w:tcPr>
                  <w:tcW w:w="704"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100</w:t>
                  </w:r>
                </w:p>
              </w:tc>
              <w:tc>
                <w:tcPr>
                  <w:tcW w:w="1156"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环氧树脂地坪漆</w:t>
                  </w:r>
                </w:p>
              </w:tc>
              <w:tc>
                <w:tcPr>
                  <w:tcW w:w="3668"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832"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5"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207"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危险废物仓库</w:t>
                  </w:r>
                </w:p>
              </w:tc>
              <w:tc>
                <w:tcPr>
                  <w:tcW w:w="704"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w:t>
                  </w:r>
                </w:p>
              </w:tc>
              <w:tc>
                <w:tcPr>
                  <w:tcW w:w="1156"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环氧树脂地坪漆</w:t>
                  </w:r>
                </w:p>
              </w:tc>
              <w:tc>
                <w:tcPr>
                  <w:tcW w:w="3668"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832"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55"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服务期满后</w:t>
                  </w:r>
                </w:p>
              </w:tc>
              <w:tc>
                <w:tcPr>
                  <w:tcW w:w="1207"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04"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156"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3668"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832"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r>
          </w:tbl>
          <w:p>
            <w:pPr>
              <w:adjustRightInd w:val="0"/>
              <w:snapToGrid w:val="0"/>
              <w:spacing w:before="156" w:beforeLines="50"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根据《环境影响评价技术导则土壤环境（试行）》（</w:t>
            </w:r>
            <w:r>
              <w:rPr>
                <w:color w:val="000000" w:themeColor="text1"/>
                <w:sz w:val="24"/>
                <w14:textFill>
                  <w14:solidFill>
                    <w14:schemeClr w14:val="tx1"/>
                  </w14:solidFill>
                </w14:textFill>
              </w:rPr>
              <w:t>HJ964</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2018</w:t>
            </w:r>
            <w:r>
              <w:rPr>
                <w:rFonts w:hint="eastAsia"/>
                <w:color w:val="000000" w:themeColor="text1"/>
                <w:sz w:val="24"/>
                <w14:textFill>
                  <w14:solidFill>
                    <w14:schemeClr w14:val="tx1"/>
                  </w14:solidFill>
                </w14:textFill>
              </w:rPr>
              <w:t xml:space="preserve">）附录 </w:t>
            </w:r>
            <w:r>
              <w:rPr>
                <w:color w:val="000000" w:themeColor="text1"/>
                <w:sz w:val="24"/>
                <w14:textFill>
                  <w14:solidFill>
                    <w14:schemeClr w14:val="tx1"/>
                  </w14:solidFill>
                </w14:textFill>
              </w:rPr>
              <w:t>B</w:t>
            </w:r>
            <w:r>
              <w:rPr>
                <w:rFonts w:hint="eastAsia"/>
                <w:color w:val="000000" w:themeColor="text1"/>
                <w:sz w:val="24"/>
                <w14:textFill>
                  <w14:solidFill>
                    <w14:schemeClr w14:val="tx1"/>
                  </w14:solidFill>
                </w14:textFill>
              </w:rPr>
              <w:t>，进行土壤影响途径识别。</w:t>
            </w:r>
          </w:p>
          <w:p>
            <w:pPr>
              <w:pStyle w:val="159"/>
              <w:spacing w:beforeLines="0" w:afterLines="0"/>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表4-</w:t>
            </w:r>
            <w:r>
              <w:rPr>
                <w:b/>
                <w:bCs/>
                <w:color w:val="000000" w:themeColor="text1"/>
                <w:sz w:val="21"/>
                <w:szCs w:val="21"/>
                <w14:textFill>
                  <w14:solidFill>
                    <w14:schemeClr w14:val="tx1"/>
                  </w14:solidFill>
                </w14:textFill>
              </w:rPr>
              <w:t xml:space="preserve">19 </w:t>
            </w:r>
            <w:r>
              <w:rPr>
                <w:rFonts w:hint="eastAsia"/>
                <w:b/>
                <w:bCs/>
                <w:color w:val="000000" w:themeColor="text1"/>
                <w:sz w:val="21"/>
                <w:szCs w:val="21"/>
                <w14:textFill>
                  <w14:solidFill>
                    <w14:schemeClr w14:val="tx1"/>
                  </w14:solidFill>
                </w14:textFill>
              </w:rPr>
              <w:t>土壤污染影响类型与影响途径表</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9"/>
              <w:gridCol w:w="1530"/>
              <w:gridCol w:w="1091"/>
              <w:gridCol w:w="992"/>
              <w:gridCol w:w="703"/>
              <w:gridCol w:w="678"/>
              <w:gridCol w:w="666"/>
              <w:gridCol w:w="640"/>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3" w:hRule="atLeast"/>
              </w:trPr>
              <w:tc>
                <w:tcPr>
                  <w:tcW w:w="1234" w:type="dxa"/>
                  <w:vMerge w:val="restart"/>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时段</w:t>
                  </w:r>
                </w:p>
              </w:tc>
              <w:tc>
                <w:tcPr>
                  <w:tcW w:w="4513" w:type="dxa"/>
                  <w:gridSpan w:val="4"/>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污染影响型</w:t>
                  </w:r>
                </w:p>
              </w:tc>
              <w:tc>
                <w:tcPr>
                  <w:tcW w:w="2772" w:type="dxa"/>
                  <w:gridSpan w:val="4"/>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生态影响型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234" w:type="dxa"/>
                  <w:vMerge w:val="continue"/>
                  <w:vAlign w:val="center"/>
                </w:tcPr>
                <w:p>
                  <w:pPr>
                    <w:ind w:left="-84" w:leftChars="-40" w:right="-84" w:rightChars="-40"/>
                    <w:jc w:val="center"/>
                    <w:rPr>
                      <w:color w:val="000000" w:themeColor="text1"/>
                      <w:szCs w:val="21"/>
                      <w14:textFill>
                        <w14:solidFill>
                          <w14:schemeClr w14:val="tx1"/>
                        </w14:solidFill>
                      </w14:textFill>
                    </w:rPr>
                  </w:pPr>
                </w:p>
              </w:tc>
              <w:tc>
                <w:tcPr>
                  <w:tcW w:w="1606"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大气沉降</w:t>
                  </w:r>
                </w:p>
              </w:tc>
              <w:tc>
                <w:tcPr>
                  <w:tcW w:w="1141"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地面漫流</w:t>
                  </w:r>
                </w:p>
              </w:tc>
              <w:tc>
                <w:tcPr>
                  <w:tcW w:w="1036"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垂直入渗</w:t>
                  </w:r>
                </w:p>
              </w:tc>
              <w:tc>
                <w:tcPr>
                  <w:tcW w:w="730"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其他</w:t>
                  </w:r>
                </w:p>
              </w:tc>
              <w:tc>
                <w:tcPr>
                  <w:tcW w:w="703"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盐化</w:t>
                  </w:r>
                </w:p>
              </w:tc>
              <w:tc>
                <w:tcPr>
                  <w:tcW w:w="691"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碱化</w:t>
                  </w:r>
                </w:p>
              </w:tc>
              <w:tc>
                <w:tcPr>
                  <w:tcW w:w="663"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酸化</w:t>
                  </w:r>
                </w:p>
              </w:tc>
              <w:tc>
                <w:tcPr>
                  <w:tcW w:w="715"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1234"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建设期</w:t>
                  </w:r>
                </w:p>
              </w:tc>
              <w:tc>
                <w:tcPr>
                  <w:tcW w:w="1606"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141"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036"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3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03"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91"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63"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1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34"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运营期</w:t>
                  </w:r>
                </w:p>
              </w:tc>
              <w:tc>
                <w:tcPr>
                  <w:tcW w:w="1606"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141"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036"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73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03"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91"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63"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1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34"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服务期满后</w:t>
                  </w:r>
                </w:p>
              </w:tc>
              <w:tc>
                <w:tcPr>
                  <w:tcW w:w="1606"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141"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036"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3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03"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91"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63"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1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bl>
          <w:p>
            <w:pPr>
              <w:pStyle w:val="159"/>
              <w:spacing w:before="156" w:afterLines="0"/>
              <w:ind w:firstLine="0" w:firstLineChars="0"/>
              <w:jc w:val="center"/>
              <w:rPr>
                <w:b/>
                <w:bCs/>
                <w:color w:val="000000" w:themeColor="text1"/>
                <w:sz w:val="21"/>
                <w:szCs w:val="21"/>
                <w14:textFill>
                  <w14:solidFill>
                    <w14:schemeClr w14:val="tx1"/>
                  </w14:solidFill>
                </w14:textFill>
              </w:rPr>
            </w:pPr>
            <w:r>
              <w:rPr>
                <w:rFonts w:hint="eastAsia"/>
                <w:b/>
                <w:bCs/>
                <w:color w:val="000000" w:themeColor="text1"/>
                <w:sz w:val="21"/>
                <w:szCs w:val="21"/>
                <w14:textFill>
                  <w14:solidFill>
                    <w14:schemeClr w14:val="tx1"/>
                  </w14:solidFill>
                </w14:textFill>
              </w:rPr>
              <w:t>表4-2</w:t>
            </w:r>
            <w:r>
              <w:rPr>
                <w:b/>
                <w:bCs/>
                <w:color w:val="000000" w:themeColor="text1"/>
                <w:sz w:val="21"/>
                <w:szCs w:val="21"/>
                <w14:textFill>
                  <w14:solidFill>
                    <w14:schemeClr w14:val="tx1"/>
                  </w14:solidFill>
                </w14:textFill>
              </w:rPr>
              <w:t xml:space="preserve">0 </w:t>
            </w:r>
            <w:r>
              <w:rPr>
                <w:rFonts w:hint="eastAsia"/>
                <w:b/>
                <w:bCs/>
                <w:color w:val="000000" w:themeColor="text1"/>
                <w:sz w:val="21"/>
                <w:szCs w:val="21"/>
                <w14:textFill>
                  <w14:solidFill>
                    <w14:schemeClr w14:val="tx1"/>
                  </w14:solidFill>
                </w14:textFill>
              </w:rPr>
              <w:t>污染影响型建设项目土壤环境影响源及影响因素识别表</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5"/>
              <w:gridCol w:w="2723"/>
              <w:gridCol w:w="766"/>
              <w:gridCol w:w="2247"/>
              <w:gridCol w:w="732"/>
              <w:gridCol w:w="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127" w:type="dxa"/>
                  <w:vAlign w:val="center"/>
                </w:tcPr>
                <w:p>
                  <w:pPr>
                    <w:ind w:left="-84" w:leftChars="-40" w:right="-84" w:rightChars="-4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w:t>
                  </w:r>
                </w:p>
              </w:tc>
              <w:tc>
                <w:tcPr>
                  <w:tcW w:w="2801"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工艺流程</w:t>
                  </w:r>
                  <w:r>
                    <w:rPr>
                      <w:b/>
                      <w:bCs/>
                      <w:color w:val="000000" w:themeColor="text1"/>
                      <w:szCs w:val="21"/>
                      <w14:textFill>
                        <w14:solidFill>
                          <w14:schemeClr w14:val="tx1"/>
                        </w14:solidFill>
                      </w14:textFill>
                    </w:rPr>
                    <w:t>/</w:t>
                  </w:r>
                  <w:r>
                    <w:rPr>
                      <w:rFonts w:hint="eastAsia"/>
                      <w:b/>
                      <w:bCs/>
                      <w:color w:val="000000" w:themeColor="text1"/>
                      <w:szCs w:val="21"/>
                      <w14:textFill>
                        <w14:solidFill>
                          <w14:schemeClr w14:val="tx1"/>
                        </w14:solidFill>
                      </w14:textFill>
                    </w:rPr>
                    <w:t>节点</w:t>
                  </w:r>
                </w:p>
              </w:tc>
              <w:tc>
                <w:tcPr>
                  <w:tcW w:w="785"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污染途径</w:t>
                  </w:r>
                </w:p>
              </w:tc>
              <w:tc>
                <w:tcPr>
                  <w:tcW w:w="2295"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 xml:space="preserve">全部污染物指标 </w:t>
                  </w:r>
                  <w:r>
                    <w:rPr>
                      <w:b/>
                      <w:bCs/>
                      <w:color w:val="000000" w:themeColor="text1"/>
                      <w:szCs w:val="21"/>
                      <w14:textFill>
                        <w14:solidFill>
                          <w14:schemeClr w14:val="tx1"/>
                        </w14:solidFill>
                      </w14:textFill>
                    </w:rPr>
                    <w:t>a</w:t>
                  </w:r>
                </w:p>
              </w:tc>
              <w:tc>
                <w:tcPr>
                  <w:tcW w:w="750"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特质因子</w:t>
                  </w:r>
                </w:p>
              </w:tc>
              <w:tc>
                <w:tcPr>
                  <w:tcW w:w="618" w:type="dxa"/>
                  <w:vAlign w:val="center"/>
                </w:tcPr>
                <w:p>
                  <w:pPr>
                    <w:ind w:left="-84" w:leftChars="-40" w:right="-84" w:rightChars="-40"/>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备注</w:t>
                  </w:r>
                  <w:r>
                    <w:rPr>
                      <w:b/>
                      <w:bCs/>
                      <w:color w:val="000000" w:themeColor="text1"/>
                      <w:szCs w:val="21"/>
                      <w14:textFill>
                        <w14:solidFill>
                          <w14:schemeClr w14:val="tx1"/>
                        </w14:solidFill>
                      </w14:textFill>
                    </w:rPr>
                    <w:t>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7"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2801"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水帘柜</w:t>
                  </w:r>
                </w:p>
              </w:tc>
              <w:tc>
                <w:tcPr>
                  <w:tcW w:w="78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垂直下渗</w:t>
                  </w:r>
                </w:p>
              </w:tc>
              <w:tc>
                <w:tcPr>
                  <w:tcW w:w="229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r>
                    <w:rPr>
                      <w:color w:val="000000" w:themeColor="text1"/>
                      <w:szCs w:val="21"/>
                      <w:vertAlign w:val="subscript"/>
                      <w14:textFill>
                        <w14:solidFill>
                          <w14:schemeClr w14:val="tx1"/>
                        </w14:solidFill>
                      </w14:textFill>
                    </w:rPr>
                    <w:t>Cr</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SS</w:t>
                  </w:r>
                  <w:r>
                    <w:rPr>
                      <w:rFonts w:hint="eastAsia"/>
                      <w:color w:val="000000" w:themeColor="text1"/>
                      <w:szCs w:val="21"/>
                      <w14:textFill>
                        <w14:solidFill>
                          <w14:schemeClr w14:val="tx1"/>
                        </w14:solidFill>
                      </w14:textFill>
                    </w:rPr>
                    <w:t>、石油类</w:t>
                  </w:r>
                </w:p>
              </w:tc>
              <w:tc>
                <w:tcPr>
                  <w:tcW w:w="75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18"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1127"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原料仓库</w:t>
                  </w:r>
                </w:p>
              </w:tc>
              <w:tc>
                <w:tcPr>
                  <w:tcW w:w="2801"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水性涂料贮存</w:t>
                  </w:r>
                </w:p>
              </w:tc>
              <w:tc>
                <w:tcPr>
                  <w:tcW w:w="78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垂直下渗</w:t>
                  </w:r>
                </w:p>
              </w:tc>
              <w:tc>
                <w:tcPr>
                  <w:tcW w:w="229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r>
                    <w:rPr>
                      <w:color w:val="000000" w:themeColor="text1"/>
                      <w:szCs w:val="21"/>
                      <w:vertAlign w:val="subscript"/>
                      <w14:textFill>
                        <w14:solidFill>
                          <w14:schemeClr w14:val="tx1"/>
                        </w14:solidFill>
                      </w14:textFill>
                    </w:rPr>
                    <w:t>Cr</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SS</w:t>
                  </w:r>
                  <w:r>
                    <w:rPr>
                      <w:rFonts w:hint="eastAsia"/>
                      <w:color w:val="000000" w:themeColor="text1"/>
                      <w:szCs w:val="21"/>
                      <w14:textFill>
                        <w14:solidFill>
                          <w14:schemeClr w14:val="tx1"/>
                        </w14:solidFill>
                      </w14:textFill>
                    </w:rPr>
                    <w:t>、石油类</w:t>
                  </w:r>
                </w:p>
              </w:tc>
              <w:tc>
                <w:tcPr>
                  <w:tcW w:w="75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18"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7"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危险废物仓库</w:t>
                  </w:r>
                </w:p>
              </w:tc>
              <w:tc>
                <w:tcPr>
                  <w:tcW w:w="2801"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危废贮存</w:t>
                  </w:r>
                </w:p>
              </w:tc>
              <w:tc>
                <w:tcPr>
                  <w:tcW w:w="78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垂直下渗</w:t>
                  </w:r>
                </w:p>
              </w:tc>
              <w:tc>
                <w:tcPr>
                  <w:tcW w:w="229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r>
                    <w:rPr>
                      <w:color w:val="000000" w:themeColor="text1"/>
                      <w:szCs w:val="21"/>
                      <w:vertAlign w:val="subscript"/>
                      <w14:textFill>
                        <w14:solidFill>
                          <w14:schemeClr w14:val="tx1"/>
                        </w14:solidFill>
                      </w14:textFill>
                    </w:rPr>
                    <w:t>Cr</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SS</w:t>
                  </w:r>
                  <w:r>
                    <w:rPr>
                      <w:rFonts w:hint="eastAsia"/>
                      <w:color w:val="000000" w:themeColor="text1"/>
                      <w:szCs w:val="21"/>
                      <w14:textFill>
                        <w14:solidFill>
                          <w14:schemeClr w14:val="tx1"/>
                        </w14:solidFill>
                      </w14:textFill>
                    </w:rPr>
                    <w:t>、石油类</w:t>
                  </w:r>
                </w:p>
              </w:tc>
              <w:tc>
                <w:tcPr>
                  <w:tcW w:w="75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18"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7"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废气处理设施</w:t>
                  </w:r>
                </w:p>
              </w:tc>
              <w:tc>
                <w:tcPr>
                  <w:tcW w:w="2801"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喷涂废气、</w:t>
                  </w:r>
                  <w:r>
                    <w:rPr>
                      <w:color w:val="000000" w:themeColor="text1"/>
                      <w:szCs w:val="21"/>
                      <w14:textFill>
                        <w14:solidFill>
                          <w14:schemeClr w14:val="tx1"/>
                        </w14:solidFill>
                      </w14:textFill>
                    </w:rPr>
                    <w:t>颗粒物</w:t>
                  </w:r>
                </w:p>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（漆雾）、烘干固化</w:t>
                  </w:r>
                </w:p>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废气、印刷废气</w:t>
                  </w:r>
                </w:p>
              </w:tc>
              <w:tc>
                <w:tcPr>
                  <w:tcW w:w="785"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大气沉降</w:t>
                  </w:r>
                </w:p>
              </w:tc>
              <w:tc>
                <w:tcPr>
                  <w:tcW w:w="229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TVOC</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颗粒物</w:t>
                  </w:r>
                </w:p>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（漆雾）</w:t>
                  </w:r>
                </w:p>
              </w:tc>
              <w:tc>
                <w:tcPr>
                  <w:tcW w:w="75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18"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7"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化粪池</w:t>
                  </w:r>
                </w:p>
              </w:tc>
              <w:tc>
                <w:tcPr>
                  <w:tcW w:w="2801"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w:t>
                  </w:r>
                </w:p>
              </w:tc>
              <w:tc>
                <w:tcPr>
                  <w:tcW w:w="785"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渗漏</w:t>
                  </w:r>
                </w:p>
              </w:tc>
              <w:tc>
                <w:tcPr>
                  <w:tcW w:w="2295"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r>
                    <w:rPr>
                      <w:color w:val="000000" w:themeColor="text1"/>
                      <w:szCs w:val="21"/>
                      <w:vertAlign w:val="subscript"/>
                      <w14:textFill>
                        <w14:solidFill>
                          <w14:schemeClr w14:val="tx1"/>
                        </w14:solidFill>
                      </w14:textFill>
                    </w:rPr>
                    <w:t>Cr</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SS</w:t>
                  </w:r>
                  <w:r>
                    <w:rPr>
                      <w:rFonts w:hint="eastAsia"/>
                      <w:color w:val="000000" w:themeColor="text1"/>
                      <w:szCs w:val="21"/>
                      <w14:textFill>
                        <w14:solidFill>
                          <w14:schemeClr w14:val="tx1"/>
                        </w14:solidFill>
                      </w14:textFill>
                    </w:rPr>
                    <w:t>、氨氮</w:t>
                  </w:r>
                </w:p>
              </w:tc>
              <w:tc>
                <w:tcPr>
                  <w:tcW w:w="750" w:type="dxa"/>
                  <w:vAlign w:val="center"/>
                </w:tcPr>
                <w:p>
                  <w:pPr>
                    <w:ind w:left="-84" w:leftChars="-40" w:right="-84" w:rightChars="-4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618" w:type="dxa"/>
                  <w:vAlign w:val="center"/>
                </w:tcPr>
                <w:p>
                  <w:pPr>
                    <w:ind w:left="-84" w:leftChars="-40" w:right="-84" w:rightChars="-4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261" w:type="dxa"/>
                  <w:gridSpan w:val="6"/>
                  <w:vAlign w:val="center"/>
                </w:tcPr>
                <w:p>
                  <w:pPr>
                    <w:ind w:left="-84" w:leftChars="-40" w:right="-84" w:rightChars="-4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a 根据工程分析结果填写。</w:t>
                  </w:r>
                </w:p>
                <w:p>
                  <w:pPr>
                    <w:ind w:left="-84" w:leftChars="-40" w:right="-84" w:rightChars="-4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b 应描述污染源特征，如连续、间断、正常、事故等；涉及大气沉降途径的，应识别建设项目周边的土壤环境敏感目标。</w:t>
                  </w:r>
                </w:p>
              </w:tc>
            </w:tr>
          </w:tbl>
          <w:p>
            <w:pPr>
              <w:spacing w:before="156" w:beforeLines="50" w:line="360" w:lineRule="auto"/>
              <w:ind w:left="482"/>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防护措施</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项目拟采用的分区保护措施如下表：</w:t>
            </w:r>
          </w:p>
          <w:p>
            <w:pPr>
              <w:pStyle w:val="6"/>
              <w:spacing w:before="0" w:after="0" w:line="360" w:lineRule="auto"/>
              <w:jc w:val="center"/>
              <w:rPr>
                <w:rFonts w:ascii="Times New Roman" w:hAnsi="Times New Roman" w:eastAsia="宋体"/>
                <w:color w:val="000000" w:themeColor="text1"/>
                <w:sz w:val="21"/>
                <w:szCs w:val="21"/>
                <w14:textFill>
                  <w14:solidFill>
                    <w14:schemeClr w14:val="tx1"/>
                  </w14:solidFill>
                </w14:textFill>
              </w:rPr>
            </w:pPr>
            <w:r>
              <w:rPr>
                <w:rFonts w:hint="eastAsia" w:ascii="Times New Roman" w:hAnsi="Times New Roman" w:eastAsia="宋体"/>
                <w:color w:val="000000" w:themeColor="text1"/>
                <w:sz w:val="21"/>
                <w:szCs w:val="21"/>
                <w14:textFill>
                  <w14:solidFill>
                    <w14:schemeClr w14:val="tx1"/>
                  </w14:solidFill>
                </w14:textFill>
              </w:rPr>
              <w:t>表4-</w:t>
            </w:r>
            <w:r>
              <w:rPr>
                <w:rFonts w:ascii="Times New Roman" w:hAnsi="Times New Roman" w:eastAsia="宋体"/>
                <w:color w:val="000000" w:themeColor="text1"/>
                <w:sz w:val="21"/>
                <w:szCs w:val="21"/>
                <w14:textFill>
                  <w14:solidFill>
                    <w14:schemeClr w14:val="tx1"/>
                  </w14:solidFill>
                </w14:textFill>
              </w:rPr>
              <w:t xml:space="preserve">21 </w:t>
            </w:r>
            <w:r>
              <w:rPr>
                <w:rFonts w:hint="eastAsia" w:ascii="Times New Roman" w:hAnsi="Times New Roman" w:eastAsia="宋体"/>
                <w:color w:val="000000" w:themeColor="text1"/>
                <w:sz w:val="21"/>
                <w:szCs w:val="21"/>
                <w14:textFill>
                  <w14:solidFill>
                    <w14:schemeClr w14:val="tx1"/>
                  </w14:solidFill>
                </w14:textFill>
              </w:rPr>
              <w:t xml:space="preserve"> 地下水、土壤分区防护措施一览表</w:t>
            </w:r>
          </w:p>
          <w:tbl>
            <w:tblPr>
              <w:tblStyle w:val="39"/>
              <w:tblW w:w="5000" w:type="pct"/>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28" w:type="dxa"/>
                <w:bottom w:w="0" w:type="dxa"/>
                <w:right w:w="28" w:type="dxa"/>
              </w:tblCellMar>
            </w:tblPr>
            <w:tblGrid>
              <w:gridCol w:w="579"/>
              <w:gridCol w:w="708"/>
              <w:gridCol w:w="708"/>
              <w:gridCol w:w="1274"/>
              <w:gridCol w:w="488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47" w:hRule="atLeast"/>
              </w:trPr>
              <w:tc>
                <w:tcPr>
                  <w:tcW w:w="355" w:type="pct"/>
                  <w:tcBorders>
                    <w:tl2br w:val="nil"/>
                    <w:tr2bl w:val="nil"/>
                  </w:tcBorders>
                  <w:vAlign w:val="center"/>
                </w:tcPr>
                <w:p>
                  <w:pPr>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14:textFill>
                        <w14:solidFill>
                          <w14:schemeClr w14:val="tx1"/>
                        </w14:solidFill>
                      </w14:textFill>
                    </w:rPr>
                    <w:t>序号</w:t>
                  </w:r>
                </w:p>
              </w:tc>
              <w:tc>
                <w:tcPr>
                  <w:tcW w:w="868" w:type="pct"/>
                  <w:gridSpan w:val="2"/>
                  <w:tcBorders>
                    <w:tl2br w:val="nil"/>
                    <w:tr2bl w:val="nil"/>
                  </w:tcBorders>
                  <w:vAlign w:val="center"/>
                </w:tcPr>
                <w:p>
                  <w:pPr>
                    <w:jc w:val="center"/>
                    <w:rPr>
                      <w:rFonts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区域</w:t>
                  </w:r>
                </w:p>
              </w:tc>
              <w:tc>
                <w:tcPr>
                  <w:tcW w:w="781" w:type="pct"/>
                  <w:tcBorders>
                    <w:tl2br w:val="nil"/>
                    <w:tr2bl w:val="nil"/>
                  </w:tcBorders>
                  <w:vAlign w:val="center"/>
                </w:tcPr>
                <w:p>
                  <w:pPr>
                    <w:jc w:val="center"/>
                    <w:rPr>
                      <w:rFonts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潜在污染源</w:t>
                  </w:r>
                </w:p>
              </w:tc>
              <w:tc>
                <w:tcPr>
                  <w:tcW w:w="2996" w:type="pct"/>
                  <w:tcBorders>
                    <w:tl2br w:val="nil"/>
                    <w:tr2bl w:val="nil"/>
                  </w:tcBorders>
                  <w:vAlign w:val="center"/>
                </w:tcPr>
                <w:p>
                  <w:pPr>
                    <w:jc w:val="center"/>
                    <w:rPr>
                      <w:rFonts w:ascii="宋体" w:hAnsi="宋体"/>
                      <w:b/>
                      <w:bCs/>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防护措施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0" w:hRule="atLeast"/>
              </w:trPr>
              <w:tc>
                <w:tcPr>
                  <w:tcW w:w="355" w:type="pct"/>
                  <w:vMerge w:val="restart"/>
                  <w:tcBorders>
                    <w:tl2br w:val="nil"/>
                    <w:tr2bl w:val="nil"/>
                  </w:tcBorders>
                  <w:vAlign w:val="center"/>
                </w:tcPr>
                <w:p>
                  <w:pPr>
                    <w:jc w:val="center"/>
                    <w:rPr>
                      <w:rFonts w:ascii="宋体" w:hAnsi="宋体"/>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434" w:type="pct"/>
                  <w:vMerge w:val="restart"/>
                  <w:tcBorders>
                    <w:tl2br w:val="nil"/>
                    <w:tr2bl w:val="nil"/>
                  </w:tcBorders>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重点防渗区</w:t>
                  </w:r>
                </w:p>
              </w:tc>
              <w:tc>
                <w:tcPr>
                  <w:tcW w:w="434" w:type="pct"/>
                  <w:vMerge w:val="restart"/>
                  <w:tcBorders>
                    <w:tl2br w:val="nil"/>
                    <w:tr2bl w:val="nil"/>
                  </w:tcBorders>
                  <w:vAlign w:val="center"/>
                </w:tcPr>
                <w:p>
                  <w:pPr>
                    <w:jc w:val="center"/>
                    <w:rPr>
                      <w:rFonts w:ascii="宋体" w:hAnsi="宋体"/>
                      <w:color w:val="000000" w:themeColor="text1"/>
                      <w14:textFill>
                        <w14:solidFill>
                          <w14:schemeClr w14:val="tx1"/>
                        </w14:solidFill>
                      </w14:textFill>
                    </w:rPr>
                  </w:pPr>
                  <w:r>
                    <w:rPr>
                      <w:rFonts w:hint="eastAsia"/>
                      <w:color w:val="000000" w:themeColor="text1"/>
                      <w:szCs w:val="21"/>
                      <w14:textFill>
                        <w14:solidFill>
                          <w14:schemeClr w14:val="tx1"/>
                        </w14:solidFill>
                      </w14:textFill>
                    </w:rPr>
                    <w:t>生产车间</w:t>
                  </w:r>
                </w:p>
              </w:tc>
              <w:tc>
                <w:tcPr>
                  <w:tcW w:w="781" w:type="pct"/>
                  <w:tcBorders>
                    <w:tl2br w:val="nil"/>
                    <w:tr2bl w:val="nil"/>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水性涂料</w:t>
                  </w:r>
                </w:p>
              </w:tc>
              <w:tc>
                <w:tcPr>
                  <w:tcW w:w="2996" w:type="pct"/>
                  <w:tcBorders>
                    <w:tl2br w:val="nil"/>
                    <w:tr2bl w:val="nil"/>
                  </w:tcBorders>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铺设配筋混凝土加防渗剂的防渗地坪，车间地面采用防渗钢筋混凝土结构，内部采用水泥基渗透结晶型防渗材料涂层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355" w:type="pct"/>
                  <w:vMerge w:val="continue"/>
                  <w:tcBorders>
                    <w:tl2br w:val="nil"/>
                    <w:tr2bl w:val="nil"/>
                  </w:tcBorders>
                  <w:vAlign w:val="center"/>
                </w:tcPr>
                <w:p>
                  <w:pPr>
                    <w:widowControl/>
                    <w:jc w:val="left"/>
                    <w:rPr>
                      <w:rFonts w:ascii="宋体" w:hAnsi="宋体"/>
                      <w:color w:val="000000" w:themeColor="text1"/>
                      <w:szCs w:val="21"/>
                      <w14:textFill>
                        <w14:solidFill>
                          <w14:schemeClr w14:val="tx1"/>
                        </w14:solidFill>
                      </w14:textFill>
                    </w:rPr>
                  </w:pPr>
                </w:p>
              </w:tc>
              <w:tc>
                <w:tcPr>
                  <w:tcW w:w="434" w:type="pct"/>
                  <w:vMerge w:val="continue"/>
                  <w:tcBorders>
                    <w:tl2br w:val="nil"/>
                    <w:tr2bl w:val="nil"/>
                  </w:tcBorders>
                  <w:vAlign w:val="center"/>
                </w:tcPr>
                <w:p>
                  <w:pPr>
                    <w:widowControl/>
                    <w:jc w:val="left"/>
                    <w:rPr>
                      <w:rFonts w:ascii="宋体" w:hAnsi="宋体"/>
                      <w:color w:val="000000" w:themeColor="text1"/>
                      <w:szCs w:val="21"/>
                      <w14:textFill>
                        <w14:solidFill>
                          <w14:schemeClr w14:val="tx1"/>
                        </w14:solidFill>
                      </w14:textFill>
                    </w:rPr>
                  </w:pPr>
                </w:p>
              </w:tc>
              <w:tc>
                <w:tcPr>
                  <w:tcW w:w="434" w:type="pct"/>
                  <w:vMerge w:val="continue"/>
                  <w:tcBorders>
                    <w:tl2br w:val="nil"/>
                    <w:tr2bl w:val="nil"/>
                  </w:tcBorders>
                  <w:vAlign w:val="center"/>
                </w:tcPr>
                <w:p>
                  <w:pPr>
                    <w:widowControl/>
                    <w:jc w:val="left"/>
                    <w:rPr>
                      <w:rFonts w:ascii="宋体" w:hAnsi="宋体"/>
                      <w:color w:val="000000" w:themeColor="text1"/>
                      <w:szCs w:val="21"/>
                      <w14:textFill>
                        <w14:solidFill>
                          <w14:schemeClr w14:val="tx1"/>
                        </w14:solidFill>
                      </w14:textFill>
                    </w:rPr>
                  </w:pPr>
                </w:p>
              </w:tc>
              <w:tc>
                <w:tcPr>
                  <w:tcW w:w="781" w:type="pct"/>
                  <w:tcBorders>
                    <w:tl2br w:val="nil"/>
                    <w:tr2bl w:val="nil"/>
                  </w:tcBorders>
                  <w:vAlign w:val="center"/>
                </w:tcPr>
                <w:p>
                  <w:pPr>
                    <w:pStyle w:val="156"/>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生产废气</w:t>
                  </w:r>
                </w:p>
              </w:tc>
              <w:tc>
                <w:tcPr>
                  <w:tcW w:w="2996" w:type="pct"/>
                  <w:tcBorders>
                    <w:tl2br w:val="nil"/>
                    <w:tr2bl w:val="nil"/>
                  </w:tcBorders>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加强车间管理，定期检查废气处理设施，确保设施正常运行</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355" w:type="pct"/>
                  <w:vMerge w:val="continue"/>
                  <w:tcBorders>
                    <w:tl2br w:val="nil"/>
                    <w:tr2bl w:val="nil"/>
                  </w:tcBorders>
                  <w:vAlign w:val="center"/>
                </w:tcPr>
                <w:p>
                  <w:pPr>
                    <w:widowControl/>
                    <w:jc w:val="left"/>
                    <w:rPr>
                      <w:rFonts w:ascii="宋体" w:hAnsi="宋体"/>
                      <w:color w:val="000000" w:themeColor="text1"/>
                      <w:szCs w:val="21"/>
                      <w14:textFill>
                        <w14:solidFill>
                          <w14:schemeClr w14:val="tx1"/>
                        </w14:solidFill>
                      </w14:textFill>
                    </w:rPr>
                  </w:pPr>
                </w:p>
              </w:tc>
              <w:tc>
                <w:tcPr>
                  <w:tcW w:w="434" w:type="pct"/>
                  <w:vMerge w:val="continue"/>
                  <w:tcBorders>
                    <w:tl2br w:val="nil"/>
                    <w:tr2bl w:val="nil"/>
                  </w:tcBorders>
                  <w:vAlign w:val="center"/>
                </w:tcPr>
                <w:p>
                  <w:pPr>
                    <w:widowControl/>
                    <w:jc w:val="left"/>
                    <w:rPr>
                      <w:rFonts w:ascii="宋体" w:hAnsi="宋体"/>
                      <w:color w:val="000000" w:themeColor="text1"/>
                      <w:szCs w:val="21"/>
                      <w14:textFill>
                        <w14:solidFill>
                          <w14:schemeClr w14:val="tx1"/>
                        </w14:solidFill>
                      </w14:textFill>
                    </w:rPr>
                  </w:pPr>
                </w:p>
              </w:tc>
              <w:tc>
                <w:tcPr>
                  <w:tcW w:w="434" w:type="pct"/>
                  <w:tcBorders>
                    <w:tl2br w:val="nil"/>
                    <w:tr2bl w:val="nil"/>
                  </w:tcBorders>
                  <w:vAlign w:val="center"/>
                </w:tcPr>
                <w:p>
                  <w:pPr>
                    <w:jc w:val="center"/>
                    <w:rPr>
                      <w:rFonts w:ascii="宋体" w:hAnsi="宋体"/>
                      <w:color w:val="000000" w:themeColor="text1"/>
                      <w14:textFill>
                        <w14:solidFill>
                          <w14:schemeClr w14:val="tx1"/>
                        </w14:solidFill>
                      </w14:textFill>
                    </w:rPr>
                  </w:pPr>
                  <w:r>
                    <w:rPr>
                      <w:rFonts w:hint="eastAsia"/>
                      <w:color w:val="000000" w:themeColor="text1"/>
                      <w:szCs w:val="21"/>
                      <w14:textFill>
                        <w14:solidFill>
                          <w14:schemeClr w14:val="tx1"/>
                        </w14:solidFill>
                      </w14:textFill>
                    </w:rPr>
                    <w:t>原料仓库</w:t>
                  </w:r>
                </w:p>
              </w:tc>
              <w:tc>
                <w:tcPr>
                  <w:tcW w:w="781" w:type="pct"/>
                  <w:tcBorders>
                    <w:tl2br w:val="nil"/>
                    <w:tr2bl w:val="nil"/>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水性涂料</w:t>
                  </w:r>
                </w:p>
              </w:tc>
              <w:tc>
                <w:tcPr>
                  <w:tcW w:w="2996" w:type="pct"/>
                  <w:tcBorders>
                    <w:tl2br w:val="nil"/>
                    <w:tr2bl w:val="nil"/>
                  </w:tcBorders>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地面做好防腐、防渗措施</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696" w:hRule="atLeast"/>
              </w:trPr>
              <w:tc>
                <w:tcPr>
                  <w:tcW w:w="355" w:type="pct"/>
                  <w:vMerge w:val="continue"/>
                  <w:tcBorders>
                    <w:tl2br w:val="nil"/>
                    <w:tr2bl w:val="nil"/>
                  </w:tcBorders>
                  <w:vAlign w:val="center"/>
                </w:tcPr>
                <w:p>
                  <w:pPr>
                    <w:widowControl/>
                    <w:jc w:val="left"/>
                    <w:rPr>
                      <w:rFonts w:ascii="宋体" w:hAnsi="宋体"/>
                      <w:color w:val="000000" w:themeColor="text1"/>
                      <w:szCs w:val="21"/>
                      <w14:textFill>
                        <w14:solidFill>
                          <w14:schemeClr w14:val="tx1"/>
                        </w14:solidFill>
                      </w14:textFill>
                    </w:rPr>
                  </w:pPr>
                </w:p>
              </w:tc>
              <w:tc>
                <w:tcPr>
                  <w:tcW w:w="434" w:type="pct"/>
                  <w:vMerge w:val="continue"/>
                  <w:tcBorders>
                    <w:tl2br w:val="nil"/>
                    <w:tr2bl w:val="nil"/>
                  </w:tcBorders>
                  <w:vAlign w:val="center"/>
                </w:tcPr>
                <w:p>
                  <w:pPr>
                    <w:widowControl/>
                    <w:jc w:val="left"/>
                    <w:rPr>
                      <w:rFonts w:ascii="宋体" w:hAnsi="宋体"/>
                      <w:color w:val="000000" w:themeColor="text1"/>
                      <w:szCs w:val="21"/>
                      <w14:textFill>
                        <w14:solidFill>
                          <w14:schemeClr w14:val="tx1"/>
                        </w14:solidFill>
                      </w14:textFill>
                    </w:rPr>
                  </w:pPr>
                </w:p>
              </w:tc>
              <w:tc>
                <w:tcPr>
                  <w:tcW w:w="434" w:type="pct"/>
                  <w:tcBorders>
                    <w:tl2br w:val="nil"/>
                    <w:tr2bl w:val="nil"/>
                  </w:tcBorders>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危险废物仓库</w:t>
                  </w:r>
                </w:p>
              </w:tc>
              <w:tc>
                <w:tcPr>
                  <w:tcW w:w="781" w:type="pct"/>
                  <w:tcBorders>
                    <w:tl2br w:val="nil"/>
                    <w:tr2bl w:val="nil"/>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危废废物</w:t>
                  </w:r>
                </w:p>
              </w:tc>
              <w:tc>
                <w:tcPr>
                  <w:tcW w:w="2996" w:type="pct"/>
                  <w:tcBorders>
                    <w:tl2br w:val="nil"/>
                    <w:tr2bl w:val="nil"/>
                  </w:tcBorders>
                  <w:vAlign w:val="center"/>
                </w:tcPr>
                <w:p>
                  <w:pPr>
                    <w:widowControl/>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危险废物严格按要求进行处理处置，严禁随意倾倒、丢弃，建设单位及时联系危废单位回收，在危废处理单位未回收期间，应集中收集，专人管理，集中贮存，各类危险废物按性质不同分类进行贮存。危废暂存处应满足《危险废物贮存污染控制标准》（</w:t>
                  </w:r>
                  <w:r>
                    <w:rPr>
                      <w:rFonts w:ascii="宋体" w:hAnsi="宋体"/>
                      <w:color w:val="000000" w:themeColor="text1"/>
                      <w14:textFill>
                        <w14:solidFill>
                          <w14:schemeClr w14:val="tx1"/>
                        </w14:solidFill>
                      </w14:textFill>
                    </w:rPr>
                    <w:t>GB18597-2001</w:t>
                  </w:r>
                  <w:r>
                    <w:rPr>
                      <w:rFonts w:hint="eastAsia" w:ascii="宋体" w:hAnsi="宋体"/>
                      <w:color w:val="000000" w:themeColor="text1"/>
                      <w14:textFill>
                        <w14:solidFill>
                          <w14:schemeClr w14:val="tx1"/>
                        </w14:solidFill>
                      </w14:textFill>
                    </w:rPr>
                    <w:t>）及其修改单中标准，贮存场所要防风、防雨、防晒，并设计建造径流疏导系统、泄漏液体收集装置，基础必须防渗</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28" w:type="dxa"/>
                  <w:bottom w:w="0" w:type="dxa"/>
                  <w:right w:w="28" w:type="dxa"/>
                </w:tblCellMar>
              </w:tblPrEx>
              <w:trPr>
                <w:trHeight w:val="20" w:hRule="atLeast"/>
              </w:trPr>
              <w:tc>
                <w:tcPr>
                  <w:tcW w:w="355" w:type="pct"/>
                  <w:tcBorders>
                    <w:tl2br w:val="nil"/>
                    <w:tr2bl w:val="nil"/>
                  </w:tcBorders>
                  <w:vAlign w:val="center"/>
                </w:tcPr>
                <w:p>
                  <w:pPr>
                    <w:jc w:val="center"/>
                    <w:rPr>
                      <w:rFonts w:ascii="宋体" w:hAnsi="宋体"/>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434" w:type="pct"/>
                  <w:tcBorders>
                    <w:tl2br w:val="nil"/>
                    <w:tr2bl w:val="nil"/>
                  </w:tcBorders>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一般防渗区</w:t>
                  </w:r>
                </w:p>
              </w:tc>
              <w:tc>
                <w:tcPr>
                  <w:tcW w:w="434" w:type="pct"/>
                  <w:tcBorders>
                    <w:tl2br w:val="nil"/>
                    <w:tr2bl w:val="nil"/>
                  </w:tcBorders>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生活区</w:t>
                  </w:r>
                </w:p>
              </w:tc>
              <w:tc>
                <w:tcPr>
                  <w:tcW w:w="78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生活污水</w:t>
                  </w:r>
                </w:p>
              </w:tc>
              <w:tc>
                <w:tcPr>
                  <w:tcW w:w="2996" w:type="pct"/>
                  <w:tcBorders>
                    <w:tl2br w:val="nil"/>
                    <w:tr2bl w:val="nil"/>
                  </w:tcBorders>
                  <w:vAlign w:val="center"/>
                </w:tcPr>
                <w:p>
                  <w:pPr>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定期检查污水收集管道，确保无裂缝、无渗漏，每年对化粪池清淤一次，避免堵塞漫流</w:t>
                  </w:r>
                </w:p>
              </w:tc>
            </w:tr>
          </w:tbl>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六</w:t>
            </w:r>
            <w:r>
              <w:rPr>
                <w:b/>
                <w:bCs/>
                <w:color w:val="000000" w:themeColor="text1"/>
                <w:sz w:val="24"/>
                <w14:textFill>
                  <w14:solidFill>
                    <w14:schemeClr w14:val="tx1"/>
                  </w14:solidFill>
                </w14:textFill>
              </w:rPr>
              <w:t>、</w:t>
            </w:r>
            <w:r>
              <w:rPr>
                <w:rFonts w:hint="eastAsia"/>
                <w:b/>
                <w:bCs/>
                <w:color w:val="000000" w:themeColor="text1"/>
                <w:sz w:val="24"/>
                <w14:textFill>
                  <w14:solidFill>
                    <w14:schemeClr w14:val="tx1"/>
                  </w14:solidFill>
                </w14:textFill>
              </w:rPr>
              <w:t>生态环境</w:t>
            </w:r>
            <w:r>
              <w:rPr>
                <w:b/>
                <w:bCs/>
                <w:color w:val="000000" w:themeColor="text1"/>
                <w:sz w:val="24"/>
                <w14:textFill>
                  <w14:solidFill>
                    <w14:schemeClr w14:val="tx1"/>
                  </w14:solidFill>
                </w14:textFill>
              </w:rPr>
              <w:t>影响分析</w:t>
            </w:r>
          </w:p>
          <w:p>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本项目租用已有厂房进行项目生产，不新增用地且用地范围内不含有生态环境保护目标。</w:t>
            </w:r>
          </w:p>
          <w:p>
            <w:pPr>
              <w:spacing w:line="360" w:lineRule="auto"/>
              <w:ind w:firstLine="482" w:firstLineChars="200"/>
              <w:contextualSpacing/>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七</w:t>
            </w:r>
            <w:r>
              <w:rPr>
                <w:b/>
                <w:color w:val="000000" w:themeColor="text1"/>
                <w:sz w:val="24"/>
                <w14:textFill>
                  <w14:solidFill>
                    <w14:schemeClr w14:val="tx1"/>
                  </w14:solidFill>
                </w14:textFill>
              </w:rPr>
              <w:t>、环境风险影响分析</w:t>
            </w:r>
          </w:p>
          <w:p>
            <w:pPr>
              <w:spacing w:line="360" w:lineRule="auto"/>
              <w:ind w:firstLine="482" w:firstLineChars="200"/>
              <w:rPr>
                <w:color w:val="000000" w:themeColor="text1"/>
                <w:sz w:val="24"/>
                <w14:textFill>
                  <w14:solidFill>
                    <w14:schemeClr w14:val="tx1"/>
                  </w14:solidFill>
                </w14:textFill>
              </w:rPr>
            </w:pPr>
            <w:r>
              <w:rPr>
                <w:b/>
                <w:bCs/>
                <w:color w:val="000000" w:themeColor="text1"/>
                <w:sz w:val="24"/>
                <w14:textFill>
                  <w14:solidFill>
                    <w14:schemeClr w14:val="tx1"/>
                  </w14:solidFill>
                </w14:textFill>
              </w:rPr>
              <w:t>1</w:t>
            </w:r>
            <w:r>
              <w:rPr>
                <w:rFonts w:hint="eastAsia"/>
                <w:b/>
                <w:bCs/>
                <w:color w:val="000000" w:themeColor="text1"/>
                <w:sz w:val="24"/>
                <w14:textFill>
                  <w14:solidFill>
                    <w14:schemeClr w14:val="tx1"/>
                  </w14:solidFill>
                </w14:textFill>
              </w:rPr>
              <w:t>、</w:t>
            </w:r>
            <w:r>
              <w:rPr>
                <w:b/>
                <w:bCs/>
                <w:color w:val="000000" w:themeColor="text1"/>
                <w:sz w:val="24"/>
                <w14:textFill>
                  <w14:solidFill>
                    <w14:schemeClr w14:val="tx1"/>
                  </w14:solidFill>
                </w14:textFill>
              </w:rPr>
              <w:t>风险源调查</w:t>
            </w:r>
          </w:p>
          <w:p>
            <w:pPr>
              <w:widowControl/>
              <w:snapToGrid w:val="0"/>
              <w:spacing w:line="360" w:lineRule="auto"/>
              <w:ind w:firstLine="480" w:firstLineChars="200"/>
              <w:jc w:val="left"/>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根据《建设项目环境风险评价技术导则》（HJ169-2018）附录B、《危险化学品重大危险源辨识》（GB18218-2018）及《企业突发环境事件风险分级方法》附录A等，</w:t>
            </w:r>
            <w:r>
              <w:rPr>
                <w:color w:val="000000" w:themeColor="text1"/>
                <w:sz w:val="24"/>
                <w14:textFill>
                  <w14:solidFill>
                    <w14:schemeClr w14:val="tx1"/>
                  </w14:solidFill>
                </w14:textFill>
              </w:rPr>
              <w:t>本项目原辅材料存在的危险物质主要为</w:t>
            </w:r>
            <w:r>
              <w:rPr>
                <w:rFonts w:hint="eastAsia"/>
                <w:color w:val="000000" w:themeColor="text1"/>
                <w:sz w:val="24"/>
                <w14:textFill>
                  <w14:solidFill>
                    <w14:schemeClr w14:val="tx1"/>
                  </w14:solidFill>
                </w14:textFill>
              </w:rPr>
              <w:t>水性涂料，生产过程产生的危险废物</w:t>
            </w:r>
            <w:r>
              <w:rPr>
                <w:bCs/>
                <w:color w:val="000000" w:themeColor="text1"/>
                <w:sz w:val="24"/>
                <w14:textFill>
                  <w14:solidFill>
                    <w14:schemeClr w14:val="tx1"/>
                  </w14:solidFill>
                </w14:textFill>
              </w:rPr>
              <w:t>废活性炭</w:t>
            </w:r>
            <w:r>
              <w:rPr>
                <w:rFonts w:hint="eastAsia"/>
                <w:bCs/>
                <w:color w:val="000000" w:themeColor="text1"/>
                <w:sz w:val="24"/>
                <w14:textFill>
                  <w14:solidFill>
                    <w14:schemeClr w14:val="tx1"/>
                  </w14:solidFill>
                </w14:textFill>
              </w:rPr>
              <w:t>、</w:t>
            </w:r>
            <w:r>
              <w:rPr>
                <w:bCs/>
                <w:color w:val="000000" w:themeColor="text1"/>
                <w:sz w:val="24"/>
                <w14:textFill>
                  <w14:solidFill>
                    <w14:schemeClr w14:val="tx1"/>
                  </w14:solidFill>
                </w14:textFill>
              </w:rPr>
              <w:t>喷枪清洗废水</w:t>
            </w:r>
            <w:r>
              <w:rPr>
                <w:rFonts w:hint="eastAsia"/>
                <w:bCs/>
                <w:color w:val="000000" w:themeColor="text1"/>
                <w:sz w:val="24"/>
                <w14:textFill>
                  <w14:solidFill>
                    <w14:schemeClr w14:val="tx1"/>
                  </w14:solidFill>
                </w14:textFill>
              </w:rPr>
              <w:t>、水帘柜废水、</w:t>
            </w:r>
            <w:r>
              <w:rPr>
                <w:bCs/>
                <w:color w:val="000000" w:themeColor="text1"/>
                <w:sz w:val="24"/>
                <w14:textFill>
                  <w14:solidFill>
                    <w14:schemeClr w14:val="tx1"/>
                  </w14:solidFill>
                </w14:textFill>
              </w:rPr>
              <w:t>喷淋废水</w:t>
            </w:r>
            <w:r>
              <w:rPr>
                <w:rFonts w:hint="eastAsia"/>
                <w:color w:val="000000" w:themeColor="text1"/>
                <w:sz w:val="24"/>
                <w14:textFill>
                  <w14:solidFill>
                    <w14:schemeClr w14:val="tx1"/>
                  </w14:solidFill>
                </w14:textFill>
              </w:rPr>
              <w:t>、机油、废机油</w:t>
            </w:r>
            <w:r>
              <w:rPr>
                <w:color w:val="000000" w:themeColor="text1"/>
                <w:sz w:val="24"/>
                <w14:textFill>
                  <w14:solidFill>
                    <w14:schemeClr w14:val="tx1"/>
                  </w14:solidFill>
                </w14:textFill>
              </w:rPr>
              <w:t>。</w:t>
            </w: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w:t>
            </w:r>
            <w:r>
              <w:rPr>
                <w:b/>
                <w:bCs/>
                <w:color w:val="000000" w:themeColor="text1"/>
                <w:sz w:val="24"/>
                <w14:textFill>
                  <w14:solidFill>
                    <w14:schemeClr w14:val="tx1"/>
                  </w14:solidFill>
                </w14:textFill>
              </w:rPr>
              <w:t>风险潜势初判及评价等级</w:t>
            </w:r>
          </w:p>
          <w:p>
            <w:pPr>
              <w:spacing w:line="360" w:lineRule="auto"/>
              <w:ind w:firstLine="480" w:firstLineChars="200"/>
              <w:rPr>
                <w:color w:val="000000" w:themeColor="text1"/>
                <w:sz w:val="24"/>
                <w14:textFill>
                  <w14:solidFill>
                    <w14:schemeClr w14:val="tx1"/>
                  </w14:solidFill>
                </w14:textFill>
              </w:rPr>
            </w:pPr>
            <w:r>
              <w:rPr>
                <w:rFonts w:hint="eastAsia" w:hAnsi="宋体"/>
                <w:color w:val="000000" w:themeColor="text1"/>
                <w:kern w:val="0"/>
                <w:sz w:val="24"/>
                <w14:textFill>
                  <w14:solidFill>
                    <w14:schemeClr w14:val="tx1"/>
                  </w14:solidFill>
                </w14:textFill>
              </w:rPr>
              <w:t>对照《建设项目环境风险评价技术导则》（</w:t>
            </w:r>
            <w:r>
              <w:rPr>
                <w:color w:val="000000" w:themeColor="text1"/>
                <w:kern w:val="0"/>
                <w:sz w:val="24"/>
                <w14:textFill>
                  <w14:solidFill>
                    <w14:schemeClr w14:val="tx1"/>
                  </w14:solidFill>
                </w14:textFill>
              </w:rPr>
              <w:t>HJ169-2018</w:t>
            </w:r>
            <w:r>
              <w:rPr>
                <w:rFonts w:hint="eastAsia" w:hAnsi="宋体"/>
                <w:color w:val="000000" w:themeColor="text1"/>
                <w:kern w:val="0"/>
                <w:sz w:val="24"/>
                <w14:textFill>
                  <w14:solidFill>
                    <w14:schemeClr w14:val="tx1"/>
                  </w14:solidFill>
                </w14:textFill>
              </w:rPr>
              <w:t>）附录</w:t>
            </w:r>
            <w:r>
              <w:rPr>
                <w:color w:val="000000" w:themeColor="text1"/>
                <w:kern w:val="0"/>
                <w:sz w:val="24"/>
                <w14:textFill>
                  <w14:solidFill>
                    <w14:schemeClr w14:val="tx1"/>
                  </w14:solidFill>
                </w14:textFill>
              </w:rPr>
              <w:t>B</w:t>
            </w:r>
            <w:r>
              <w:rPr>
                <w:rFonts w:hint="eastAsia" w:hAnsi="宋体"/>
                <w:color w:val="000000" w:themeColor="text1"/>
                <w:kern w:val="0"/>
                <w:sz w:val="24"/>
                <w14:textFill>
                  <w14:solidFill>
                    <w14:schemeClr w14:val="tx1"/>
                  </w14:solidFill>
                </w14:textFill>
              </w:rPr>
              <w:t>的表</w:t>
            </w:r>
            <w:r>
              <w:rPr>
                <w:color w:val="000000" w:themeColor="text1"/>
                <w:kern w:val="0"/>
                <w:sz w:val="24"/>
                <w14:textFill>
                  <w14:solidFill>
                    <w14:schemeClr w14:val="tx1"/>
                  </w14:solidFill>
                </w14:textFill>
              </w:rPr>
              <w:t>B.2</w:t>
            </w:r>
            <w:r>
              <w:rPr>
                <w:rFonts w:hint="eastAsia" w:hAnsi="宋体"/>
                <w:color w:val="000000" w:themeColor="text1"/>
                <w:kern w:val="0"/>
                <w:sz w:val="24"/>
                <w14:textFill>
                  <w14:solidFill>
                    <w14:schemeClr w14:val="tx1"/>
                  </w14:solidFill>
                </w14:textFill>
              </w:rPr>
              <w:t>的物质，</w:t>
            </w:r>
            <w:r>
              <w:rPr>
                <w:color w:val="000000" w:themeColor="text1"/>
                <w:kern w:val="0"/>
                <w:sz w:val="24"/>
                <w14:textFill>
                  <w14:solidFill>
                    <w14:schemeClr w14:val="tx1"/>
                  </w14:solidFill>
                </w14:textFill>
              </w:rPr>
              <w:t>本项目</w:t>
            </w:r>
            <w:r>
              <w:rPr>
                <w:rFonts w:hint="eastAsia"/>
                <w:color w:val="000000" w:themeColor="text1"/>
                <w:sz w:val="24"/>
                <w14:textFill>
                  <w14:solidFill>
                    <w14:schemeClr w14:val="tx1"/>
                  </w14:solidFill>
                </w14:textFill>
              </w:rPr>
              <w:t>机油、废机油按油类物质临界量2500吨；</w:t>
            </w:r>
            <w:r>
              <w:rPr>
                <w:bCs/>
                <w:color w:val="000000" w:themeColor="text1"/>
                <w:sz w:val="24"/>
                <w14:textFill>
                  <w14:solidFill>
                    <w14:schemeClr w14:val="tx1"/>
                  </w14:solidFill>
                </w14:textFill>
              </w:rPr>
              <w:t>喷枪清洗废水</w:t>
            </w:r>
            <w:r>
              <w:rPr>
                <w:rFonts w:hint="eastAsia"/>
                <w:bCs/>
                <w:color w:val="000000" w:themeColor="text1"/>
                <w:sz w:val="24"/>
                <w14:textFill>
                  <w14:solidFill>
                    <w14:schemeClr w14:val="tx1"/>
                  </w14:solidFill>
                </w14:textFill>
              </w:rPr>
              <w:t>、水帘柜废水</w:t>
            </w:r>
            <w:r>
              <w:rPr>
                <w:bCs/>
                <w:color w:val="000000" w:themeColor="text1"/>
                <w:sz w:val="24"/>
                <w14:textFill>
                  <w14:solidFill>
                    <w14:schemeClr w14:val="tx1"/>
                  </w14:solidFill>
                </w14:textFill>
              </w:rPr>
              <w:t>和喷淋废水</w:t>
            </w:r>
            <w:r>
              <w:rPr>
                <w:color w:val="000000" w:themeColor="text1"/>
                <w:kern w:val="0"/>
                <w:sz w:val="24"/>
                <w14:textFill>
                  <w14:solidFill>
                    <w14:schemeClr w14:val="tx1"/>
                  </w14:solidFill>
                </w14:textFill>
              </w:rPr>
              <w:t>有泄漏</w:t>
            </w:r>
            <w:r>
              <w:rPr>
                <w:rFonts w:hint="eastAsia"/>
                <w:color w:val="000000" w:themeColor="text1"/>
                <w:kern w:val="0"/>
                <w:sz w:val="24"/>
                <w14:textFill>
                  <w14:solidFill>
                    <w14:schemeClr w14:val="tx1"/>
                  </w14:solidFill>
                </w14:textFill>
              </w:rPr>
              <w:t>外环境</w:t>
            </w:r>
            <w:r>
              <w:rPr>
                <w:color w:val="000000" w:themeColor="text1"/>
                <w:kern w:val="0"/>
                <w:sz w:val="24"/>
                <w14:textFill>
                  <w14:solidFill>
                    <w14:schemeClr w14:val="tx1"/>
                  </w14:solidFill>
                </w14:textFill>
              </w:rPr>
              <w:t>的危险，</w:t>
            </w:r>
            <w:r>
              <w:rPr>
                <w:rFonts w:hint="eastAsia"/>
                <w:color w:val="000000" w:themeColor="text1"/>
                <w:kern w:val="0"/>
                <w:sz w:val="24"/>
                <w14:textFill>
                  <w14:solidFill>
                    <w14:schemeClr w14:val="tx1"/>
                  </w14:solidFill>
                </w14:textFill>
              </w:rPr>
              <w:t>主要危险物质为水性油漆，危险物质含量较低，但为充分考虑对外环境的影响，此次分析把其归为</w:t>
            </w:r>
            <w:r>
              <w:rPr>
                <w:color w:val="000000" w:themeColor="text1"/>
                <w:kern w:val="0"/>
                <w:sz w:val="24"/>
                <w14:textFill>
                  <w14:solidFill>
                    <w14:schemeClr w14:val="tx1"/>
                  </w14:solidFill>
                </w14:textFill>
              </w:rPr>
              <w:t>附录B.2危害水环境物质（急性毒性类别1）</w:t>
            </w:r>
            <w:r>
              <w:rPr>
                <w:rFonts w:hint="eastAsia"/>
                <w:color w:val="000000" w:themeColor="text1"/>
                <w:kern w:val="0"/>
                <w:sz w:val="24"/>
                <w14:textFill>
                  <w14:solidFill>
                    <w14:schemeClr w14:val="tx1"/>
                  </w14:solidFill>
                </w14:textFill>
              </w:rPr>
              <w:t>，</w:t>
            </w:r>
            <w:r>
              <w:rPr>
                <w:rFonts w:hint="eastAsia"/>
                <w:color w:val="000000" w:themeColor="text1"/>
                <w:sz w:val="24"/>
                <w14:textFill>
                  <w14:solidFill>
                    <w14:schemeClr w14:val="tx1"/>
                  </w14:solidFill>
                </w14:textFill>
              </w:rPr>
              <w:t>临界量取值100吨</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所涉及的危险化学品临界量见下表</w:t>
            </w:r>
            <w:r>
              <w:rPr>
                <w:rFonts w:hint="eastAsia" w:hAnsi="宋体"/>
                <w:color w:val="000000" w:themeColor="text1"/>
                <w:kern w:val="0"/>
                <w:sz w:val="24"/>
                <w14:textFill>
                  <w14:solidFill>
                    <w14:schemeClr w14:val="tx1"/>
                  </w14:solidFill>
                </w14:textFill>
              </w:rPr>
              <w:t>。</w:t>
            </w:r>
          </w:p>
          <w:p>
            <w:pPr>
              <w:spacing w:line="360" w:lineRule="auto"/>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表</w:t>
            </w:r>
            <w:r>
              <w:rPr>
                <w:rFonts w:hint="eastAsia"/>
                <w:b/>
                <w:color w:val="000000" w:themeColor="text1"/>
                <w:szCs w:val="21"/>
                <w14:textFill>
                  <w14:solidFill>
                    <w14:schemeClr w14:val="tx1"/>
                  </w14:solidFill>
                </w14:textFill>
              </w:rPr>
              <w:t>4-2</w:t>
            </w:r>
            <w:r>
              <w:rPr>
                <w:b/>
                <w:color w:val="000000" w:themeColor="text1"/>
                <w:szCs w:val="21"/>
                <w14:textFill>
                  <w14:solidFill>
                    <w14:schemeClr w14:val="tx1"/>
                  </w14:solidFill>
                </w14:textFill>
              </w:rPr>
              <w:t>2  危险物质数量与临界量比值表</w:t>
            </w:r>
          </w:p>
          <w:tbl>
            <w:tblPr>
              <w:tblStyle w:val="39"/>
              <w:tblW w:w="4998"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226"/>
              <w:gridCol w:w="2367"/>
              <w:gridCol w:w="1929"/>
              <w:gridCol w:w="163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40" w:hRule="atLeast"/>
                <w:jc w:val="center"/>
              </w:trPr>
              <w:tc>
                <w:tcPr>
                  <w:tcW w:w="1365" w:type="pct"/>
                  <w:tcBorders>
                    <w:tl2br w:val="nil"/>
                    <w:tr2bl w:val="nil"/>
                  </w:tcBorders>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物质</w:t>
                  </w:r>
                </w:p>
              </w:tc>
              <w:tc>
                <w:tcPr>
                  <w:tcW w:w="1451" w:type="pct"/>
                  <w:tcBorders>
                    <w:tl2br w:val="nil"/>
                    <w:tr2bl w:val="nil"/>
                  </w:tcBorders>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最大存在量q（t）</w:t>
                  </w:r>
                </w:p>
              </w:tc>
              <w:tc>
                <w:tcPr>
                  <w:tcW w:w="1183" w:type="pct"/>
                  <w:tcBorders>
                    <w:tl2br w:val="nil"/>
                    <w:tr2bl w:val="nil"/>
                  </w:tcBorders>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临界量Q（t）</w:t>
                  </w:r>
                </w:p>
              </w:tc>
              <w:tc>
                <w:tcPr>
                  <w:tcW w:w="1001" w:type="pct"/>
                  <w:tcBorders>
                    <w:tl2br w:val="nil"/>
                    <w:tr2bl w:val="nil"/>
                  </w:tcBorders>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q/Q</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40" w:hRule="atLeast"/>
                <w:jc w:val="center"/>
              </w:trPr>
              <w:tc>
                <w:tcPr>
                  <w:tcW w:w="136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喷枪清洗废水</w:t>
                  </w:r>
                </w:p>
              </w:tc>
              <w:tc>
                <w:tcPr>
                  <w:tcW w:w="145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1.22</w:t>
                  </w:r>
                </w:p>
              </w:tc>
              <w:tc>
                <w:tcPr>
                  <w:tcW w:w="1183"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100</w:t>
                  </w:r>
                </w:p>
              </w:tc>
              <w:tc>
                <w:tcPr>
                  <w:tcW w:w="1001" w:type="pct"/>
                  <w:tcBorders>
                    <w:tl2br w:val="nil"/>
                    <w:tr2bl w:val="nil"/>
                  </w:tcBorders>
                  <w:vAlign w:val="center"/>
                </w:tcPr>
                <w:p>
                  <w:pPr>
                    <w:jc w:val="center"/>
                    <w:rPr>
                      <w:color w:val="000000" w:themeColor="text1"/>
                      <w14:textFill>
                        <w14:solidFill>
                          <w14:schemeClr w14:val="tx1"/>
                        </w14:solidFill>
                      </w14:textFill>
                    </w:rPr>
                  </w:pPr>
                  <w:r>
                    <w:rPr>
                      <w:rFonts w:eastAsia="等线"/>
                      <w:color w:val="000000"/>
                      <w:szCs w:val="21"/>
                    </w:rPr>
                    <w:t>0.0122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36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水帘柜废水</w:t>
                  </w:r>
                </w:p>
              </w:tc>
              <w:tc>
                <w:tcPr>
                  <w:tcW w:w="145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3.84</w:t>
                  </w:r>
                </w:p>
              </w:tc>
              <w:tc>
                <w:tcPr>
                  <w:tcW w:w="1183"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100</w:t>
                  </w:r>
                </w:p>
              </w:tc>
              <w:tc>
                <w:tcPr>
                  <w:tcW w:w="1001" w:type="pct"/>
                  <w:tcBorders>
                    <w:tl2br w:val="nil"/>
                    <w:tr2bl w:val="nil"/>
                  </w:tcBorders>
                  <w:vAlign w:val="center"/>
                </w:tcPr>
                <w:p>
                  <w:pPr>
                    <w:jc w:val="center"/>
                    <w:rPr>
                      <w:color w:val="000000" w:themeColor="text1"/>
                      <w14:textFill>
                        <w14:solidFill>
                          <w14:schemeClr w14:val="tx1"/>
                        </w14:solidFill>
                      </w14:textFill>
                    </w:rPr>
                  </w:pPr>
                  <w:r>
                    <w:rPr>
                      <w:rFonts w:eastAsia="等线"/>
                      <w:color w:val="000000"/>
                      <w:szCs w:val="21"/>
                    </w:rPr>
                    <w:t>0.0384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40" w:hRule="atLeast"/>
                <w:jc w:val="center"/>
              </w:trPr>
              <w:tc>
                <w:tcPr>
                  <w:tcW w:w="136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喷淋废水</w:t>
                  </w:r>
                </w:p>
              </w:tc>
              <w:tc>
                <w:tcPr>
                  <w:tcW w:w="145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1.67</w:t>
                  </w:r>
                </w:p>
              </w:tc>
              <w:tc>
                <w:tcPr>
                  <w:tcW w:w="1183"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100</w:t>
                  </w:r>
                </w:p>
              </w:tc>
              <w:tc>
                <w:tcPr>
                  <w:tcW w:w="1001" w:type="pct"/>
                  <w:tcBorders>
                    <w:tl2br w:val="nil"/>
                    <w:tr2bl w:val="nil"/>
                  </w:tcBorders>
                  <w:vAlign w:val="center"/>
                </w:tcPr>
                <w:p>
                  <w:pPr>
                    <w:jc w:val="center"/>
                    <w:rPr>
                      <w:color w:val="000000" w:themeColor="text1"/>
                      <w14:textFill>
                        <w14:solidFill>
                          <w14:schemeClr w14:val="tx1"/>
                        </w14:solidFill>
                      </w14:textFill>
                    </w:rPr>
                  </w:pPr>
                  <w:r>
                    <w:rPr>
                      <w:rFonts w:eastAsia="等线"/>
                      <w:color w:val="000000"/>
                      <w:szCs w:val="21"/>
                    </w:rPr>
                    <w:t>0.0167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40" w:hRule="atLeast"/>
                <w:jc w:val="center"/>
              </w:trPr>
              <w:tc>
                <w:tcPr>
                  <w:tcW w:w="136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机油</w:t>
                  </w:r>
                </w:p>
              </w:tc>
              <w:tc>
                <w:tcPr>
                  <w:tcW w:w="145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0.02</w:t>
                  </w:r>
                </w:p>
              </w:tc>
              <w:tc>
                <w:tcPr>
                  <w:tcW w:w="1183" w:type="pct"/>
                  <w:tcBorders>
                    <w:tl2br w:val="nil"/>
                    <w:tr2bl w:val="nil"/>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2500</w:t>
                  </w:r>
                </w:p>
              </w:tc>
              <w:tc>
                <w:tcPr>
                  <w:tcW w:w="1001" w:type="pct"/>
                  <w:tcBorders>
                    <w:tl2br w:val="nil"/>
                    <w:tr2bl w:val="nil"/>
                  </w:tcBorders>
                  <w:vAlign w:val="center"/>
                </w:tcPr>
                <w:p>
                  <w:pPr>
                    <w:jc w:val="center"/>
                    <w:rPr>
                      <w:color w:val="000000" w:themeColor="text1"/>
                      <w14:textFill>
                        <w14:solidFill>
                          <w14:schemeClr w14:val="tx1"/>
                        </w14:solidFill>
                      </w14:textFill>
                    </w:rPr>
                  </w:pPr>
                  <w:r>
                    <w:rPr>
                      <w:rFonts w:eastAsia="等线"/>
                      <w:color w:val="000000"/>
                      <w:szCs w:val="21"/>
                    </w:rPr>
                    <w:t>0.000008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40" w:hRule="atLeast"/>
                <w:jc w:val="center"/>
              </w:trPr>
              <w:tc>
                <w:tcPr>
                  <w:tcW w:w="1365"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废机油</w:t>
                  </w:r>
                </w:p>
              </w:tc>
              <w:tc>
                <w:tcPr>
                  <w:tcW w:w="1451" w:type="pct"/>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0.02</w:t>
                  </w:r>
                </w:p>
              </w:tc>
              <w:tc>
                <w:tcPr>
                  <w:tcW w:w="1183" w:type="pct"/>
                  <w:tcBorders>
                    <w:tl2br w:val="nil"/>
                    <w:tr2bl w:val="nil"/>
                  </w:tcBorders>
                  <w:vAlign w:val="center"/>
                </w:tcPr>
                <w:p>
                  <w:pPr>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2500</w:t>
                  </w:r>
                </w:p>
              </w:tc>
              <w:tc>
                <w:tcPr>
                  <w:tcW w:w="1001" w:type="pct"/>
                  <w:tcBorders>
                    <w:tl2br w:val="nil"/>
                    <w:tr2bl w:val="nil"/>
                  </w:tcBorders>
                  <w:vAlign w:val="center"/>
                </w:tcPr>
                <w:p>
                  <w:pPr>
                    <w:jc w:val="center"/>
                    <w:rPr>
                      <w:color w:val="000000" w:themeColor="text1"/>
                      <w14:textFill>
                        <w14:solidFill>
                          <w14:schemeClr w14:val="tx1"/>
                        </w14:solidFill>
                      </w14:textFill>
                    </w:rPr>
                  </w:pPr>
                  <w:r>
                    <w:rPr>
                      <w:rFonts w:eastAsia="等线"/>
                      <w:color w:val="000000"/>
                      <w:szCs w:val="21"/>
                    </w:rPr>
                    <w:t>0.000008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999" w:type="pct"/>
                  <w:gridSpan w:val="3"/>
                  <w:tcBorders>
                    <w:tl2br w:val="nil"/>
                    <w:tr2bl w:val="nil"/>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项目Q值∑</w:t>
                  </w:r>
                </w:p>
              </w:tc>
              <w:tc>
                <w:tcPr>
                  <w:tcW w:w="1001" w:type="pct"/>
                  <w:tcBorders>
                    <w:tl2br w:val="nil"/>
                    <w:tr2bl w:val="nil"/>
                  </w:tcBorders>
                  <w:vAlign w:val="center"/>
                </w:tcPr>
                <w:p>
                  <w:pPr>
                    <w:widowControl/>
                    <w:jc w:val="center"/>
                    <w:rPr>
                      <w:rFonts w:eastAsia="等线"/>
                      <w:color w:val="000000"/>
                      <w:kern w:val="0"/>
                      <w:szCs w:val="21"/>
                    </w:rPr>
                  </w:pPr>
                  <w:r>
                    <w:rPr>
                      <w:rFonts w:eastAsia="等线"/>
                      <w:color w:val="000000"/>
                      <w:szCs w:val="21"/>
                    </w:rPr>
                    <w:t>0.067316</w:t>
                  </w:r>
                </w:p>
              </w:tc>
            </w:tr>
          </w:tbl>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根据《建设项目环境风险评价技术导则》（HJ169-2018），当Q＜1时，环境风险潜势为I，评价工作等级为简单分析。</w:t>
            </w:r>
          </w:p>
          <w:p>
            <w:pPr>
              <w:pStyle w:val="160"/>
              <w:ind w:firstLine="482"/>
              <w:rPr>
                <w:bCs/>
                <w:color w:val="000000" w:themeColor="text1"/>
                <w:kern w:val="0"/>
                <w14:textFill>
                  <w14:solidFill>
                    <w14:schemeClr w14:val="tx1"/>
                  </w14:solidFill>
                </w14:textFill>
              </w:rPr>
            </w:pPr>
            <w:r>
              <w:rPr>
                <w:rFonts w:hint="eastAsia"/>
                <w:bCs/>
                <w:color w:val="000000" w:themeColor="text1"/>
                <w14:textFill>
                  <w14:solidFill>
                    <w14:schemeClr w14:val="tx1"/>
                  </w14:solidFill>
                </w14:textFill>
              </w:rPr>
              <w:t>3、</w:t>
            </w:r>
            <w:r>
              <w:rPr>
                <w:bCs/>
                <w:color w:val="000000" w:themeColor="text1"/>
                <w14:textFill>
                  <w14:solidFill>
                    <w14:schemeClr w14:val="tx1"/>
                  </w14:solidFill>
                </w14:textFill>
              </w:rPr>
              <w:t>环境风险分析</w:t>
            </w:r>
          </w:p>
          <w:p>
            <w:pPr>
              <w:widowControl/>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本项目涉及的环境风险类型为泄漏，以及在泄漏、火灾、爆炸等事故下引发的伴/次生污染物排放。</w:t>
            </w:r>
          </w:p>
          <w:p>
            <w:pPr>
              <w:widowControl/>
              <w:spacing w:line="360" w:lineRule="auto"/>
              <w:ind w:firstLine="482" w:firstLineChars="200"/>
              <w:jc w:val="left"/>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（1）</w:t>
            </w:r>
            <w:r>
              <w:rPr>
                <w:b/>
                <w:bCs/>
                <w:color w:val="000000" w:themeColor="text1"/>
                <w:kern w:val="0"/>
                <w:sz w:val="24"/>
                <w14:textFill>
                  <w14:solidFill>
                    <w14:schemeClr w14:val="tx1"/>
                  </w14:solidFill>
                </w14:textFill>
              </w:rPr>
              <w:t>泄漏</w:t>
            </w:r>
          </w:p>
          <w:p>
            <w:pPr>
              <w:autoSpaceDE w:val="0"/>
              <w:autoSpaceDN w:val="0"/>
              <w:adjustRightInd w:val="0"/>
              <w:spacing w:line="360" w:lineRule="auto"/>
              <w:ind w:firstLine="480" w:firstLineChars="200"/>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泄漏有事故泄漏和非事故泄漏两种。事故泄漏主要指自然灾害造成的泄漏，如地震、洪水等非人为因素，发生的可能性很低，最坏的情况是废水、废气和厂区内现存的</w:t>
            </w:r>
            <w:r>
              <w:rPr>
                <w:color w:val="000000" w:themeColor="text1"/>
                <w:sz w:val="24"/>
                <w14:textFill>
                  <w14:solidFill>
                    <w14:schemeClr w14:val="tx1"/>
                  </w14:solidFill>
                </w14:textFill>
              </w:rPr>
              <w:t>原辅材料和</w:t>
            </w:r>
            <w:r>
              <w:rPr>
                <w:rFonts w:hint="eastAsia"/>
                <w:color w:val="000000" w:themeColor="text1"/>
                <w:sz w:val="24"/>
                <w14:textFill>
                  <w14:solidFill>
                    <w14:schemeClr w14:val="tx1"/>
                  </w14:solidFill>
                </w14:textFill>
              </w:rPr>
              <w:t>危险废物</w:t>
            </w:r>
            <w:r>
              <w:rPr>
                <w:color w:val="000000" w:themeColor="text1"/>
                <w:kern w:val="0"/>
                <w:sz w:val="24"/>
                <w14:textFill>
                  <w14:solidFill>
                    <w14:schemeClr w14:val="tx1"/>
                  </w14:solidFill>
                </w14:textFill>
              </w:rPr>
              <w:t>全部进入环境，对厂区附近大气、地表水、土壤造成一定程度的污染。非事故泄漏是指作业不当、维护管理不完善等人为因素造成的泄漏，相对容易发生。由于厂区内</w:t>
            </w:r>
            <w:r>
              <w:rPr>
                <w:color w:val="000000" w:themeColor="text1"/>
                <w:sz w:val="24"/>
                <w14:textFill>
                  <w14:solidFill>
                    <w14:schemeClr w14:val="tx1"/>
                  </w14:solidFill>
                </w14:textFill>
              </w:rPr>
              <w:t>原辅材料和</w:t>
            </w:r>
            <w:r>
              <w:rPr>
                <w:rFonts w:hint="eastAsia"/>
                <w:color w:val="000000" w:themeColor="text1"/>
                <w:sz w:val="24"/>
                <w14:textFill>
                  <w14:solidFill>
                    <w14:schemeClr w14:val="tx1"/>
                  </w14:solidFill>
                </w14:textFill>
              </w:rPr>
              <w:t>危险废物</w:t>
            </w:r>
            <w:r>
              <w:rPr>
                <w:color w:val="000000" w:themeColor="text1"/>
                <w:kern w:val="0"/>
                <w:sz w:val="24"/>
                <w14:textFill>
                  <w14:solidFill>
                    <w14:schemeClr w14:val="tx1"/>
                  </w14:solidFill>
                </w14:textFill>
              </w:rPr>
              <w:t>总储存量不大，短时间内废气、废水的排放量少，局部泄漏量很少，在采取相关应急措施后其风险可控。</w:t>
            </w:r>
          </w:p>
          <w:p>
            <w:pPr>
              <w:widowControl/>
              <w:spacing w:line="360" w:lineRule="auto"/>
              <w:ind w:firstLine="482" w:firstLineChars="200"/>
              <w:jc w:val="left"/>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（2）</w:t>
            </w:r>
            <w:r>
              <w:rPr>
                <w:b/>
                <w:bCs/>
                <w:color w:val="000000" w:themeColor="text1"/>
                <w:kern w:val="0"/>
                <w:sz w:val="24"/>
                <w14:textFill>
                  <w14:solidFill>
                    <w14:schemeClr w14:val="tx1"/>
                  </w14:solidFill>
                </w14:textFill>
              </w:rPr>
              <w:t>厂区火灾、爆炸</w:t>
            </w:r>
          </w:p>
          <w:p>
            <w:pPr>
              <w:autoSpaceDE w:val="0"/>
              <w:autoSpaceDN w:val="0"/>
              <w:adjustRightInd w:val="0"/>
              <w:spacing w:line="360" w:lineRule="auto"/>
              <w:ind w:firstLine="480" w:firstLineChars="200"/>
              <w:jc w:val="left"/>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本项目原辅材料不属于易燃易爆物，正常情况并无火灾隐患。但是厂区内部发生火灾、爆炸事故时，在高温环境下各种物质会因燃烧而产生废气污染物进入空气中，对厂区周围及下风向的环境空气产生影响，事故发生后到结束前这一时段内污染程度会达到最大，污染物最大地面浓度可能会超过该区域的环境空气质量标准。同时，在火灾事故的处理过程中，还会产生消防废水等污染，因此火灾、爆炸事故中产生的伴生/次生污染对环境的影响不可忽视。</w:t>
            </w:r>
          </w:p>
          <w:p>
            <w:pPr>
              <w:widowControl/>
              <w:spacing w:line="360" w:lineRule="auto"/>
              <w:ind w:firstLine="482" w:firstLineChars="200"/>
              <w:jc w:val="left"/>
              <w:rPr>
                <w:b/>
                <w:bCs/>
                <w:color w:val="000000" w:themeColor="text1"/>
                <w:kern w:val="0"/>
                <w:sz w:val="24"/>
                <w14:textFill>
                  <w14:solidFill>
                    <w14:schemeClr w14:val="tx1"/>
                  </w14:solidFill>
                </w14:textFill>
              </w:rPr>
            </w:pPr>
            <w:r>
              <w:rPr>
                <w:rFonts w:hint="eastAsia"/>
                <w:b/>
                <w:bCs/>
                <w:color w:val="000000" w:themeColor="text1"/>
                <w:kern w:val="0"/>
                <w:sz w:val="24"/>
                <w14:textFill>
                  <w14:solidFill>
                    <w14:schemeClr w14:val="tx1"/>
                  </w14:solidFill>
                </w14:textFill>
              </w:rPr>
              <w:t>4</w:t>
            </w:r>
            <w:r>
              <w:rPr>
                <w:b/>
                <w:bCs/>
                <w:color w:val="000000" w:themeColor="text1"/>
                <w:kern w:val="0"/>
                <w:sz w:val="24"/>
                <w14:textFill>
                  <w14:solidFill>
                    <w14:schemeClr w14:val="tx1"/>
                  </w14:solidFill>
                </w14:textFill>
              </w:rPr>
              <w:t>、环境风险防范措施及应急要求</w:t>
            </w:r>
          </w:p>
          <w:p>
            <w:pPr>
              <w:pStyle w:val="153"/>
              <w:ind w:firstLine="482"/>
              <w:rPr>
                <w:b/>
                <w:bCs/>
                <w:color w:val="000000" w:themeColor="text1"/>
                <w:szCs w:val="24"/>
                <w14:textFill>
                  <w14:solidFill>
                    <w14:schemeClr w14:val="tx1"/>
                  </w14:solidFill>
                </w14:textFill>
              </w:rPr>
            </w:pPr>
            <w:r>
              <w:rPr>
                <w:b/>
                <w:bCs/>
                <w:color w:val="000000" w:themeColor="text1"/>
                <w:szCs w:val="24"/>
                <w14:textFill>
                  <w14:solidFill>
                    <w14:schemeClr w14:val="tx1"/>
                  </w14:solidFill>
                </w14:textFill>
              </w:rPr>
              <w:t>（1）风险事故发生对地表水环境的影响及应急处理措施</w:t>
            </w:r>
          </w:p>
          <w:p>
            <w:pPr>
              <w:pStyle w:val="153"/>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建设单位必须对消防废水设计合理的处置方案。风险事故发生时的废水应急处理措施如下：</w:t>
            </w:r>
          </w:p>
          <w:p>
            <w:pPr>
              <w:pStyle w:val="153"/>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1）设立相关突发环境事故应急处理组织机构，人员的组成和职责从公司的现状出发，建立健全的公司突发环境事故应急组织机构。</w:t>
            </w:r>
          </w:p>
          <w:p>
            <w:pPr>
              <w:pStyle w:val="153"/>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2）事故发生后，及时转移、撤离、疏散可能受到危害的人员，并妥善安置。</w:t>
            </w:r>
          </w:p>
          <w:p>
            <w:pPr>
              <w:pStyle w:val="153"/>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3）发生火灾事故时，在事故发生位置四周用装满沙土的袋子围成围堰拦截消防废液，并在厂内采取导流方式将消防废液、泡沫等统一收集，消除安全隐患后交由有资质单位处理。</w:t>
            </w:r>
          </w:p>
          <w:p>
            <w:pPr>
              <w:pStyle w:val="153"/>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4）项目占地区域地面必须作水泥硬底化防渗处理，发生火灾时，消防废液不会通过地面渗入地下而污染地下水。</w:t>
            </w:r>
          </w:p>
          <w:p>
            <w:pPr>
              <w:pStyle w:val="153"/>
              <w:ind w:firstLine="482"/>
              <w:rPr>
                <w:b/>
                <w:bCs/>
                <w:color w:val="000000" w:themeColor="text1"/>
                <w:szCs w:val="24"/>
                <w14:textFill>
                  <w14:solidFill>
                    <w14:schemeClr w14:val="tx1"/>
                  </w14:solidFill>
                </w14:textFill>
              </w:rPr>
            </w:pPr>
            <w:r>
              <w:rPr>
                <w:b/>
                <w:bCs/>
                <w:color w:val="000000" w:themeColor="text1"/>
                <w:szCs w:val="24"/>
                <w14:textFill>
                  <w14:solidFill>
                    <w14:schemeClr w14:val="tx1"/>
                  </w14:solidFill>
                </w14:textFill>
              </w:rPr>
              <w:t>（2）风险事故发生对大气环境的影响及应急处理措施</w:t>
            </w:r>
          </w:p>
          <w:p>
            <w:pPr>
              <w:pStyle w:val="153"/>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风险事故发生时的废气应急处理措施如下：</w:t>
            </w:r>
          </w:p>
          <w:p>
            <w:pPr>
              <w:pStyle w:val="153"/>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1）设立相关突发环境事故应急处理组织机构，人员的组成和职责从公司的现状出发，建立健全的公司突发环境事故应急组织机构。</w:t>
            </w:r>
          </w:p>
          <w:p>
            <w:pPr>
              <w:pStyle w:val="153"/>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2）事故发生时，救援人员必须佩戴理性的防毒过滤面具，同时穿好工作服，迅速判明事故当时的风向，可利用风标、旗帜等辨明风向，向上风向撤离。</w:t>
            </w:r>
          </w:p>
          <w:p>
            <w:pPr>
              <w:pStyle w:val="153"/>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3）事故发生后，要制定污染监测计划，清理处置残余污染物，进行场地清洗和消毒，对可能污染进行监测，根据现场监测结果，确定被转移、疏散群众返回时间，直至异常方可停止监测工作。</w:t>
            </w:r>
          </w:p>
          <w:p>
            <w:pPr>
              <w:pStyle w:val="153"/>
              <w:ind w:firstLine="482"/>
              <w:rPr>
                <w:b/>
                <w:bCs/>
                <w:color w:val="000000" w:themeColor="text1"/>
                <w:szCs w:val="24"/>
                <w14:textFill>
                  <w14:solidFill>
                    <w14:schemeClr w14:val="tx1"/>
                  </w14:solidFill>
                </w14:textFill>
              </w:rPr>
            </w:pPr>
            <w:r>
              <w:rPr>
                <w:rFonts w:hint="eastAsia"/>
                <w:b/>
                <w:bCs/>
                <w:color w:val="000000" w:themeColor="text1"/>
                <w:szCs w:val="24"/>
                <w14:textFill>
                  <w14:solidFill>
                    <w14:schemeClr w14:val="tx1"/>
                  </w14:solidFill>
                </w14:textFill>
              </w:rPr>
              <w:t>5</w:t>
            </w:r>
            <w:r>
              <w:rPr>
                <w:b/>
                <w:bCs/>
                <w:color w:val="000000" w:themeColor="text1"/>
                <w:szCs w:val="24"/>
                <w14:textFill>
                  <w14:solidFill>
                    <w14:schemeClr w14:val="tx1"/>
                  </w14:solidFill>
                </w14:textFill>
              </w:rPr>
              <w:t>、分析结论</w:t>
            </w:r>
          </w:p>
          <w:p>
            <w:pPr>
              <w:pStyle w:val="153"/>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综上，项目应严格按照消防及安监部门的要求，做好防范措施，设立健全的突发环境事故应急组织机构，以便采取更有效的措施来监测灾情及防止污染事故的进一步扩散。项目严格落实上述措施，并加强防范意识，则项目运营期间发生火灾风险的概率较小，本项目的环境风险可接受</w:t>
            </w:r>
            <w:r>
              <w:rPr>
                <w:rFonts w:hint="eastAsia"/>
                <w:color w:val="000000" w:themeColor="text1"/>
                <w:szCs w:val="24"/>
                <w14:textFill>
                  <w14:solidFill>
                    <w14:schemeClr w14:val="tx1"/>
                  </w14:solidFill>
                </w14:textFill>
              </w:rPr>
              <w:t>。</w:t>
            </w: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p>
            <w:pPr>
              <w:pStyle w:val="153"/>
              <w:ind w:firstLine="480"/>
              <w:rPr>
                <w:rFonts w:cs="宋体"/>
                <w:color w:val="000000" w:themeColor="text1"/>
                <w14:textFill>
                  <w14:solidFill>
                    <w14:schemeClr w14:val="tx1"/>
                  </w14:solidFill>
                </w14:textFill>
              </w:rPr>
            </w:pPr>
          </w:p>
        </w:tc>
      </w:tr>
    </w:tbl>
    <w:p>
      <w:pPr>
        <w:jc w:val="center"/>
        <w:rPr>
          <w:color w:val="000000" w:themeColor="text1"/>
          <w:sz w:val="30"/>
          <w14:textFill>
            <w14:solidFill>
              <w14:schemeClr w14:val="tx1"/>
            </w14:solidFill>
          </w14:textFill>
        </w:rPr>
      </w:pPr>
    </w:p>
    <w:p>
      <w:pPr>
        <w:jc w:val="center"/>
        <w:rPr>
          <w:color w:val="000000" w:themeColor="text1"/>
          <w:sz w:val="30"/>
          <w14:textFill>
            <w14:solidFill>
              <w14:schemeClr w14:val="tx1"/>
            </w14:solidFill>
          </w14:textFill>
        </w:rPr>
        <w:sectPr>
          <w:pgSz w:w="11906" w:h="16838"/>
          <w:pgMar w:top="1558" w:right="1418" w:bottom="1474" w:left="1418" w:header="851" w:footer="709" w:gutter="0"/>
          <w:cols w:space="720" w:num="1"/>
          <w:docGrid w:type="lines" w:linePitch="312" w:charSpace="0"/>
        </w:sectPr>
      </w:pPr>
    </w:p>
    <w:p>
      <w:pPr>
        <w:jc w:val="center"/>
        <w:outlineLvl w:val="0"/>
        <w:rPr>
          <w:rFonts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t>五</w:t>
      </w:r>
      <w:r>
        <w:rPr>
          <w:rFonts w:ascii="黑体" w:hAnsi="黑体" w:eastAsia="黑体"/>
          <w:color w:val="000000" w:themeColor="text1"/>
          <w:sz w:val="30"/>
          <w14:textFill>
            <w14:solidFill>
              <w14:schemeClr w14:val="tx1"/>
            </w14:solidFill>
          </w14:textFill>
        </w:rPr>
        <w:t>、环境保护措施监督检查清单</w:t>
      </w:r>
    </w:p>
    <w:tbl>
      <w:tblPr>
        <w:tblStyle w:val="3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51"/>
        <w:gridCol w:w="1596"/>
        <w:gridCol w:w="1168"/>
        <w:gridCol w:w="1725"/>
        <w:gridCol w:w="28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51" w:type="dxa"/>
            <w:tcBorders>
              <w:tl2br w:val="single" w:color="auto" w:sz="4" w:space="0"/>
            </w:tcBorders>
          </w:tcPr>
          <w:p>
            <w:pPr>
              <w:adjustRightInd w:val="0"/>
              <w:snapToGrid w:val="0"/>
              <w:ind w:firstLine="632" w:firstLineChars="30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内容</w:t>
            </w:r>
          </w:p>
          <w:p>
            <w:pPr>
              <w:adjustRightInd w:val="0"/>
              <w:snapToGrid w:val="0"/>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要素</w:t>
            </w:r>
          </w:p>
        </w:tc>
        <w:tc>
          <w:tcPr>
            <w:tcW w:w="1596"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排放口(编号、</w:t>
            </w:r>
          </w:p>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名称)/污染源</w:t>
            </w:r>
          </w:p>
        </w:tc>
        <w:tc>
          <w:tcPr>
            <w:tcW w:w="1168"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污染物项目</w:t>
            </w:r>
          </w:p>
        </w:tc>
        <w:tc>
          <w:tcPr>
            <w:tcW w:w="1725"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环境保护措施</w:t>
            </w:r>
          </w:p>
        </w:tc>
        <w:tc>
          <w:tcPr>
            <w:tcW w:w="2860" w:type="dxa"/>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51" w:type="dxa"/>
            <w:vMerge w:val="restar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大气环境</w:t>
            </w:r>
          </w:p>
        </w:tc>
        <w:tc>
          <w:tcPr>
            <w:tcW w:w="159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排气筒</w:t>
            </w:r>
          </w:p>
          <w:p>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DA001</w:t>
            </w:r>
          </w:p>
        </w:tc>
        <w:tc>
          <w:tcPr>
            <w:tcW w:w="116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颗粒物（粉尘）</w:t>
            </w:r>
          </w:p>
        </w:tc>
        <w:tc>
          <w:tcPr>
            <w:tcW w:w="1725" w:type="dxa"/>
            <w:vAlign w:val="center"/>
          </w:tcPr>
          <w:p>
            <w:pPr>
              <w:autoSpaceDE w:val="0"/>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收集后通过</w:t>
            </w:r>
            <w:r>
              <w:rPr>
                <w:rFonts w:hint="eastAsia"/>
                <w:color w:val="000000" w:themeColor="text1"/>
                <w:szCs w:val="21"/>
                <w14:textFill>
                  <w14:solidFill>
                    <w14:schemeClr w14:val="tx1"/>
                  </w14:solidFill>
                </w14:textFill>
              </w:rPr>
              <w:t>“布袋除尘”设施</w:t>
            </w:r>
            <w:r>
              <w:rPr>
                <w:color w:val="000000" w:themeColor="text1"/>
                <w:szCs w:val="21"/>
                <w14:textFill>
                  <w14:solidFill>
                    <w14:schemeClr w14:val="tx1"/>
                  </w14:solidFill>
                </w14:textFill>
              </w:rPr>
              <w:t>净化处理后引至</w:t>
            </w:r>
            <w:r>
              <w:rPr>
                <w:rFonts w:hint="eastAsia"/>
                <w:color w:val="000000" w:themeColor="text1"/>
                <w:szCs w:val="21"/>
                <w14:textFill>
                  <w14:solidFill>
                    <w14:schemeClr w14:val="tx1"/>
                  </w14:solidFill>
                </w14:textFill>
              </w:rPr>
              <w:t>15米高</w:t>
            </w:r>
            <w:r>
              <w:rPr>
                <w:color w:val="000000" w:themeColor="text1"/>
                <w:szCs w:val="21"/>
                <w14:textFill>
                  <w14:solidFill>
                    <w14:schemeClr w14:val="tx1"/>
                  </w14:solidFill>
                </w14:textFill>
              </w:rPr>
              <w:t>排气筒高空排放</w:t>
            </w:r>
          </w:p>
        </w:tc>
        <w:tc>
          <w:tcPr>
            <w:tcW w:w="2860" w:type="dxa"/>
            <w:vAlign w:val="center"/>
          </w:tcPr>
          <w:p>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广东省地方标准《大气污染物排放限值》（DB44/27-2001）</w:t>
            </w:r>
            <w:r>
              <w:rPr>
                <w:rFonts w:hint="eastAsia"/>
                <w:color w:val="000000" w:themeColor="text1"/>
                <w:kern w:val="0"/>
                <w:szCs w:val="21"/>
                <w14:textFill>
                  <w14:solidFill>
                    <w14:schemeClr w14:val="tx1"/>
                  </w14:solidFill>
                </w14:textFill>
              </w:rPr>
              <w:t>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51" w:type="dxa"/>
            <w:vMerge w:val="continue"/>
            <w:vAlign w:val="center"/>
          </w:tcPr>
          <w:p>
            <w:pPr>
              <w:adjustRightInd w:val="0"/>
              <w:snapToGrid w:val="0"/>
              <w:jc w:val="center"/>
              <w:rPr>
                <w:color w:val="000000" w:themeColor="text1"/>
                <w:szCs w:val="21"/>
                <w14:textFill>
                  <w14:solidFill>
                    <w14:schemeClr w14:val="tx1"/>
                  </w14:solidFill>
                </w14:textFill>
              </w:rPr>
            </w:pPr>
          </w:p>
        </w:tc>
        <w:tc>
          <w:tcPr>
            <w:tcW w:w="1596" w:type="dxa"/>
            <w:vMerge w:val="restart"/>
            <w:vAlign w:val="center"/>
          </w:tcPr>
          <w:p>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排气筒</w:t>
            </w:r>
          </w:p>
          <w:p>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DA002</w:t>
            </w:r>
          </w:p>
        </w:tc>
        <w:tc>
          <w:tcPr>
            <w:tcW w:w="116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w:t>
            </w:r>
            <w:r>
              <w:rPr>
                <w:color w:val="000000" w:themeColor="text1"/>
                <w:szCs w:val="21"/>
                <w14:textFill>
                  <w14:solidFill>
                    <w14:schemeClr w14:val="tx1"/>
                  </w14:solidFill>
                </w14:textFill>
              </w:rPr>
              <w:t>VOC</w:t>
            </w:r>
          </w:p>
        </w:tc>
        <w:tc>
          <w:tcPr>
            <w:tcW w:w="1725" w:type="dxa"/>
            <w:vMerge w:val="restart"/>
            <w:vAlign w:val="center"/>
          </w:tcPr>
          <w:p>
            <w:pPr>
              <w:autoSpaceDE w:val="0"/>
              <w:autoSpaceDN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落实</w:t>
            </w:r>
            <w:r>
              <w:rPr>
                <w:rFonts w:hint="eastAsia"/>
                <w:color w:val="000000" w:themeColor="text1"/>
                <w:szCs w:val="21"/>
                <w14:textFill>
                  <w14:solidFill>
                    <w14:schemeClr w14:val="tx1"/>
                  </w14:solidFill>
                </w14:textFill>
              </w:rPr>
              <w:t>密闭负压车间设计与</w:t>
            </w:r>
            <w:r>
              <w:rPr>
                <w:color w:val="000000" w:themeColor="text1"/>
                <w:szCs w:val="21"/>
                <w14:textFill>
                  <w14:solidFill>
                    <w14:schemeClr w14:val="tx1"/>
                  </w14:solidFill>
                </w14:textFill>
              </w:rPr>
              <w:t>收集后通过</w:t>
            </w:r>
            <w:r>
              <w:rPr>
                <w:rFonts w:hint="eastAsia"/>
                <w:color w:val="000000" w:themeColor="text1"/>
                <w:szCs w:val="21"/>
                <w14:textFill>
                  <w14:solidFill>
                    <w14:schemeClr w14:val="tx1"/>
                  </w14:solidFill>
                </w14:textFill>
              </w:rPr>
              <w:t>“水喷淋+过滤除雾器+二级活性炭吸附”</w:t>
            </w:r>
            <w:r>
              <w:rPr>
                <w:color w:val="000000" w:themeColor="text1"/>
                <w:szCs w:val="21"/>
                <w14:textFill>
                  <w14:solidFill>
                    <w14:schemeClr w14:val="tx1"/>
                  </w14:solidFill>
                </w14:textFill>
              </w:rPr>
              <w:t>设施净化处理后引至</w:t>
            </w:r>
            <w:r>
              <w:rPr>
                <w:rFonts w:hint="eastAsia"/>
                <w:color w:val="000000" w:themeColor="text1"/>
                <w:szCs w:val="21"/>
                <w14:textFill>
                  <w14:solidFill>
                    <w14:schemeClr w14:val="tx1"/>
                  </w14:solidFill>
                </w14:textFill>
              </w:rPr>
              <w:t>15米高</w:t>
            </w:r>
            <w:r>
              <w:rPr>
                <w:color w:val="000000" w:themeColor="text1"/>
                <w:szCs w:val="21"/>
                <w14:textFill>
                  <w14:solidFill>
                    <w14:schemeClr w14:val="tx1"/>
                  </w14:solidFill>
                </w14:textFill>
              </w:rPr>
              <w:t>排气筒高空排放</w:t>
            </w:r>
          </w:p>
        </w:tc>
        <w:tc>
          <w:tcPr>
            <w:tcW w:w="2860"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广东省《固定污染源挥发性有机物综合排放标准》（DB44/2367-2022）</w:t>
            </w:r>
            <w:r>
              <w:rPr>
                <w:rFonts w:hint="eastAsia"/>
                <w:color w:val="000000" w:themeColor="text1"/>
                <w:szCs w:val="21"/>
                <w14:textFill>
                  <w14:solidFill>
                    <w14:schemeClr w14:val="tx1"/>
                  </w14:solidFill>
                </w14:textFill>
              </w:rPr>
              <w:t>表1挥发性有机物排放限值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51" w:type="dxa"/>
            <w:vMerge w:val="continue"/>
            <w:vAlign w:val="center"/>
          </w:tcPr>
          <w:p>
            <w:pPr>
              <w:jc w:val="center"/>
              <w:rPr>
                <w:color w:val="000000" w:themeColor="text1"/>
                <w14:textFill>
                  <w14:solidFill>
                    <w14:schemeClr w14:val="tx1"/>
                  </w14:solidFill>
                </w14:textFill>
              </w:rPr>
            </w:pPr>
          </w:p>
        </w:tc>
        <w:tc>
          <w:tcPr>
            <w:tcW w:w="1596" w:type="dxa"/>
            <w:vMerge w:val="continue"/>
            <w:vAlign w:val="center"/>
          </w:tcPr>
          <w:p>
            <w:pPr>
              <w:jc w:val="center"/>
              <w:rPr>
                <w:color w:val="000000" w:themeColor="text1"/>
                <w14:textFill>
                  <w14:solidFill>
                    <w14:schemeClr w14:val="tx1"/>
                  </w14:solidFill>
                </w14:textFill>
              </w:rPr>
            </w:pPr>
          </w:p>
        </w:tc>
        <w:tc>
          <w:tcPr>
            <w:tcW w:w="116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颗粒物</w:t>
            </w:r>
          </w:p>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（漆雾）</w:t>
            </w:r>
          </w:p>
        </w:tc>
        <w:tc>
          <w:tcPr>
            <w:tcW w:w="1725" w:type="dxa"/>
            <w:vMerge w:val="continue"/>
            <w:vAlign w:val="center"/>
          </w:tcPr>
          <w:p>
            <w:pPr>
              <w:jc w:val="center"/>
              <w:rPr>
                <w:color w:val="000000" w:themeColor="text1"/>
                <w:szCs w:val="21"/>
                <w14:textFill>
                  <w14:solidFill>
                    <w14:schemeClr w14:val="tx1"/>
                  </w14:solidFill>
                </w14:textFill>
              </w:rPr>
            </w:pPr>
          </w:p>
        </w:tc>
        <w:tc>
          <w:tcPr>
            <w:tcW w:w="2860" w:type="dxa"/>
            <w:vAlign w:val="center"/>
          </w:tcPr>
          <w:p>
            <w:pPr>
              <w:jc w:val="center"/>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广东省地方标准《大气污染物排放限值》（DB44/27-2001）</w:t>
            </w:r>
            <w:r>
              <w:rPr>
                <w:rFonts w:hint="eastAsia"/>
                <w:color w:val="000000" w:themeColor="text1"/>
                <w:kern w:val="0"/>
                <w:szCs w:val="21"/>
                <w14:textFill>
                  <w14:solidFill>
                    <w14:schemeClr w14:val="tx1"/>
                  </w14:solidFill>
                </w14:textFill>
              </w:rPr>
              <w:t>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51" w:type="dxa"/>
            <w:vMerge w:val="continue"/>
            <w:vAlign w:val="center"/>
          </w:tcPr>
          <w:p>
            <w:pPr>
              <w:jc w:val="center"/>
              <w:rPr>
                <w:color w:val="000000" w:themeColor="text1"/>
                <w14:textFill>
                  <w14:solidFill>
                    <w14:schemeClr w14:val="tx1"/>
                  </w14:solidFill>
                </w14:textFill>
              </w:rPr>
            </w:pPr>
          </w:p>
        </w:tc>
        <w:tc>
          <w:tcPr>
            <w:tcW w:w="159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排气筒</w:t>
            </w:r>
          </w:p>
          <w:p>
            <w:pPr>
              <w:jc w:val="center"/>
              <w:rPr>
                <w:color w:val="000000" w:themeColor="text1"/>
                <w14:textFill>
                  <w14:solidFill>
                    <w14:schemeClr w14:val="tx1"/>
                  </w14:solidFill>
                </w14:textFill>
              </w:rPr>
            </w:pPr>
            <w:r>
              <w:rPr>
                <w:color w:val="000000" w:themeColor="text1"/>
                <w:szCs w:val="21"/>
                <w14:textFill>
                  <w14:solidFill>
                    <w14:schemeClr w14:val="tx1"/>
                  </w14:solidFill>
                </w14:textFill>
              </w:rPr>
              <w:t>DA003</w:t>
            </w:r>
          </w:p>
        </w:tc>
        <w:tc>
          <w:tcPr>
            <w:tcW w:w="1168" w:type="dxa"/>
            <w:vAlign w:val="center"/>
          </w:tcPr>
          <w:p>
            <w:pPr>
              <w:jc w:val="center"/>
            </w:pPr>
            <w:r>
              <w:rPr>
                <w:rFonts w:hint="eastAsia"/>
                <w:color w:val="000000" w:themeColor="text1"/>
                <w:szCs w:val="21"/>
                <w14:textFill>
                  <w14:solidFill>
                    <w14:schemeClr w14:val="tx1"/>
                  </w14:solidFill>
                </w14:textFill>
              </w:rPr>
              <w:t>颗粒物（焊接烟尘）</w:t>
            </w:r>
          </w:p>
        </w:tc>
        <w:tc>
          <w:tcPr>
            <w:tcW w:w="1725"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收集后通过</w:t>
            </w:r>
            <w:r>
              <w:rPr>
                <w:rFonts w:hint="eastAsia"/>
                <w:color w:val="000000" w:themeColor="text1"/>
                <w:szCs w:val="21"/>
                <w14:textFill>
                  <w14:solidFill>
                    <w14:schemeClr w14:val="tx1"/>
                  </w14:solidFill>
                </w14:textFill>
              </w:rPr>
              <w:t>“焊接烟尘净化器”</w:t>
            </w:r>
            <w:r>
              <w:rPr>
                <w:color w:val="000000" w:themeColor="text1"/>
                <w:szCs w:val="21"/>
                <w14:textFill>
                  <w14:solidFill>
                    <w14:schemeClr w14:val="tx1"/>
                  </w14:solidFill>
                </w14:textFill>
              </w:rPr>
              <w:t>进行净化处理后引至</w:t>
            </w:r>
            <w:r>
              <w:rPr>
                <w:rFonts w:hint="eastAsia"/>
                <w:color w:val="000000" w:themeColor="text1"/>
                <w:szCs w:val="21"/>
                <w14:textFill>
                  <w14:solidFill>
                    <w14:schemeClr w14:val="tx1"/>
                  </w14:solidFill>
                </w14:textFill>
              </w:rPr>
              <w:t>15米高</w:t>
            </w:r>
            <w:r>
              <w:rPr>
                <w:color w:val="000000" w:themeColor="text1"/>
                <w:szCs w:val="21"/>
                <w14:textFill>
                  <w14:solidFill>
                    <w14:schemeClr w14:val="tx1"/>
                  </w14:solidFill>
                </w14:textFill>
              </w:rPr>
              <w:t>排气筒高空排放</w:t>
            </w:r>
          </w:p>
        </w:tc>
        <w:tc>
          <w:tcPr>
            <w:tcW w:w="2860" w:type="dxa"/>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广东省地方标准《大气污染物排放限值》（DB44/27-2001）</w:t>
            </w:r>
            <w:r>
              <w:rPr>
                <w:rFonts w:hint="eastAsia"/>
                <w:color w:val="000000" w:themeColor="text1"/>
                <w:kern w:val="0"/>
                <w:szCs w:val="21"/>
                <w14:textFill>
                  <w14:solidFill>
                    <w14:schemeClr w14:val="tx1"/>
                  </w14:solidFill>
                </w14:textFill>
              </w:rPr>
              <w:t>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451" w:type="dxa"/>
            <w:vMerge w:val="continue"/>
            <w:vAlign w:val="center"/>
          </w:tcPr>
          <w:p>
            <w:pPr>
              <w:jc w:val="center"/>
              <w:rPr>
                <w:color w:val="000000" w:themeColor="text1"/>
                <w14:textFill>
                  <w14:solidFill>
                    <w14:schemeClr w14:val="tx1"/>
                  </w14:solidFill>
                </w14:textFill>
              </w:rPr>
            </w:pPr>
          </w:p>
        </w:tc>
        <w:tc>
          <w:tcPr>
            <w:tcW w:w="1596"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排气筒</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DA004</w:t>
            </w:r>
          </w:p>
        </w:tc>
        <w:tc>
          <w:tcPr>
            <w:tcW w:w="116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油烟废气</w:t>
            </w:r>
          </w:p>
        </w:tc>
        <w:tc>
          <w:tcPr>
            <w:tcW w:w="172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经高效油烟</w:t>
            </w:r>
            <w:r>
              <w:rPr>
                <w:color w:val="000000" w:themeColor="text1"/>
                <w:szCs w:val="21"/>
                <w14:textFill>
                  <w14:solidFill>
                    <w14:schemeClr w14:val="tx1"/>
                  </w14:solidFill>
                </w14:textFill>
              </w:rPr>
              <w:t>净化器处理后经</w:t>
            </w:r>
            <w:r>
              <w:rPr>
                <w:rFonts w:hint="eastAsia"/>
                <w:color w:val="000000" w:themeColor="text1"/>
                <w:szCs w:val="21"/>
                <w14:textFill>
                  <w14:solidFill>
                    <w14:schemeClr w14:val="tx1"/>
                  </w14:solidFill>
                </w14:textFill>
              </w:rPr>
              <w:t>10</w:t>
            </w:r>
            <w:r>
              <w:rPr>
                <w:color w:val="000000" w:themeColor="text1"/>
                <w:szCs w:val="21"/>
                <w14:textFill>
                  <w14:solidFill>
                    <w14:schemeClr w14:val="tx1"/>
                  </w14:solidFill>
                </w14:textFill>
              </w:rPr>
              <w:t>m高排气筒排放</w:t>
            </w:r>
          </w:p>
        </w:tc>
        <w:tc>
          <w:tcPr>
            <w:tcW w:w="2860" w:type="dxa"/>
            <w:vAlign w:val="center"/>
          </w:tcPr>
          <w:p>
            <w:pPr>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饮食业</w:t>
            </w:r>
            <w:r>
              <w:rPr>
                <w:color w:val="000000" w:themeColor="text1"/>
                <w:kern w:val="0"/>
                <w:szCs w:val="21"/>
                <w14:textFill>
                  <w14:solidFill>
                    <w14:schemeClr w14:val="tx1"/>
                  </w14:solidFill>
                </w14:textFill>
              </w:rPr>
              <w:t>油烟排放</w:t>
            </w:r>
            <w:r>
              <w:rPr>
                <w:rFonts w:hint="eastAsia"/>
                <w:color w:val="000000" w:themeColor="text1"/>
                <w:kern w:val="0"/>
                <w:szCs w:val="21"/>
                <w14:textFill>
                  <w14:solidFill>
                    <w14:schemeClr w14:val="tx1"/>
                  </w14:solidFill>
                </w14:textFill>
              </w:rPr>
              <w:t>标准</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试行</w:t>
            </w:r>
            <w:r>
              <w:rPr>
                <w:color w:val="000000" w:themeColor="text1"/>
                <w:kern w:val="0"/>
                <w:szCs w:val="21"/>
                <w14:textFill>
                  <w14:solidFill>
                    <w14:schemeClr w14:val="tx1"/>
                  </w14:solidFill>
                </w14:textFill>
              </w:rPr>
              <w:t>）》</w:t>
            </w:r>
            <w:r>
              <w:rPr>
                <w:rFonts w:hint="eastAsia"/>
                <w:color w:val="000000" w:themeColor="text1"/>
                <w:kern w:val="0"/>
                <w:szCs w:val="21"/>
                <w14:textFill>
                  <w14:solidFill>
                    <w14:schemeClr w14:val="tx1"/>
                  </w14:solidFill>
                </w14:textFill>
              </w:rPr>
              <w:t>（GB</w:t>
            </w:r>
            <w:r>
              <w:rPr>
                <w:color w:val="000000" w:themeColor="text1"/>
                <w:kern w:val="0"/>
                <w:szCs w:val="21"/>
                <w14:textFill>
                  <w14:solidFill>
                    <w14:schemeClr w14:val="tx1"/>
                  </w14:solidFill>
                </w14:textFill>
              </w:rPr>
              <w:t>18483-2001</w:t>
            </w:r>
            <w:r>
              <w:rPr>
                <w:rFonts w:hint="eastAsia"/>
                <w:color w:val="000000" w:themeColor="text1"/>
                <w:kern w:val="0"/>
                <w:szCs w:val="21"/>
                <w14:textFill>
                  <w14:solidFill>
                    <w14:schemeClr w14:val="tx1"/>
                  </w14:solidFill>
                </w14:textFill>
              </w:rPr>
              <w:t>）小型标准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1451" w:type="dxa"/>
            <w:vMerge w:val="continue"/>
            <w:vAlign w:val="center"/>
          </w:tcPr>
          <w:p>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p>
        </w:tc>
        <w:tc>
          <w:tcPr>
            <w:tcW w:w="1596" w:type="dxa"/>
            <w:vMerge w:val="restart"/>
            <w:vAlign w:val="center"/>
          </w:tcPr>
          <w:p>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厂界</w:t>
            </w:r>
          </w:p>
        </w:tc>
        <w:tc>
          <w:tcPr>
            <w:tcW w:w="1168" w:type="dxa"/>
            <w:vAlign w:val="center"/>
          </w:tcPr>
          <w:p>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w:t>
            </w:r>
            <w:r>
              <w:rPr>
                <w:color w:val="000000" w:themeColor="text1"/>
                <w:kern w:val="0"/>
                <w:szCs w:val="21"/>
                <w14:textFill>
                  <w14:solidFill>
                    <w14:schemeClr w14:val="tx1"/>
                  </w14:solidFill>
                </w14:textFill>
              </w:rPr>
              <w:t>VOCs</w:t>
            </w:r>
          </w:p>
        </w:tc>
        <w:tc>
          <w:tcPr>
            <w:tcW w:w="1725" w:type="dxa"/>
            <w:vMerge w:val="restart"/>
            <w:vAlign w:val="center"/>
          </w:tcPr>
          <w:p>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通过加强车间密闭</w:t>
            </w:r>
          </w:p>
        </w:tc>
        <w:tc>
          <w:tcPr>
            <w:tcW w:w="2860" w:type="dxa"/>
            <w:vAlign w:val="center"/>
          </w:tcPr>
          <w:p>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广东省《家具制造行业挥发性有机化合物排放标准》（DB44/814-2010）无组织排放监控点浓度限值标准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1451" w:type="dxa"/>
            <w:vMerge w:val="continue"/>
            <w:vAlign w:val="center"/>
          </w:tcPr>
          <w:p>
            <w:pPr>
              <w:adjustRightInd w:val="0"/>
              <w:snapToGrid w:val="0"/>
              <w:spacing w:before="31" w:beforeLines="10" w:after="31" w:afterLines="10" w:line="259" w:lineRule="auto"/>
              <w:ind w:left="-120" w:right="-120"/>
              <w:jc w:val="center"/>
              <w:rPr>
                <w:color w:val="000000" w:themeColor="text1"/>
                <w14:textFill>
                  <w14:solidFill>
                    <w14:schemeClr w14:val="tx1"/>
                  </w14:solidFill>
                </w14:textFill>
              </w:rPr>
            </w:pPr>
          </w:p>
        </w:tc>
        <w:tc>
          <w:tcPr>
            <w:tcW w:w="1596" w:type="dxa"/>
            <w:vMerge w:val="continue"/>
            <w:vAlign w:val="center"/>
          </w:tcPr>
          <w:p>
            <w:pPr>
              <w:adjustRightInd w:val="0"/>
              <w:snapToGrid w:val="0"/>
              <w:spacing w:before="31" w:beforeLines="10" w:after="31" w:afterLines="10" w:line="259" w:lineRule="auto"/>
              <w:ind w:left="-120" w:right="-120"/>
              <w:jc w:val="center"/>
              <w:rPr>
                <w:color w:val="000000" w:themeColor="text1"/>
                <w14:textFill>
                  <w14:solidFill>
                    <w14:schemeClr w14:val="tx1"/>
                  </w14:solidFill>
                </w14:textFill>
              </w:rPr>
            </w:pPr>
          </w:p>
        </w:tc>
        <w:tc>
          <w:tcPr>
            <w:tcW w:w="1168"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颗粒物</w:t>
            </w:r>
          </w:p>
        </w:tc>
        <w:tc>
          <w:tcPr>
            <w:tcW w:w="1725" w:type="dxa"/>
            <w:vMerge w:val="continue"/>
            <w:vAlign w:val="center"/>
          </w:tcPr>
          <w:p>
            <w:pPr>
              <w:adjustRightInd w:val="0"/>
              <w:snapToGrid w:val="0"/>
              <w:spacing w:before="31" w:beforeLines="10" w:after="31" w:afterLines="10" w:line="259" w:lineRule="auto"/>
              <w:ind w:left="-120" w:right="-120"/>
              <w:jc w:val="center"/>
              <w:rPr>
                <w:color w:val="000000" w:themeColor="text1"/>
                <w:kern w:val="0"/>
                <w:szCs w:val="21"/>
                <w14:textFill>
                  <w14:solidFill>
                    <w14:schemeClr w14:val="tx1"/>
                  </w14:solidFill>
                </w14:textFill>
              </w:rPr>
            </w:pPr>
          </w:p>
        </w:tc>
        <w:tc>
          <w:tcPr>
            <w:tcW w:w="2860" w:type="dxa"/>
            <w:vAlign w:val="center"/>
          </w:tcPr>
          <w:p>
            <w:pPr>
              <w:adjustRightInd w:val="0"/>
              <w:snapToGrid w:val="0"/>
              <w:spacing w:before="31" w:beforeLines="10" w:after="31" w:afterLines="10" w:line="259" w:lineRule="auto"/>
              <w:ind w:left="-120" w:right="-1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广东省地方标准《大气污染物排放限值》（DB44/27-2001）无组织排放监控浓度限值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47" w:hRule="atLeast"/>
          <w:jc w:val="center"/>
        </w:trPr>
        <w:tc>
          <w:tcPr>
            <w:tcW w:w="1451" w:type="dxa"/>
            <w:vMerge w:val="continue"/>
            <w:vAlign w:val="center"/>
          </w:tcPr>
          <w:p>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p>
        </w:tc>
        <w:tc>
          <w:tcPr>
            <w:tcW w:w="1596" w:type="dxa"/>
            <w:vAlign w:val="center"/>
          </w:tcPr>
          <w:p>
            <w:pPr>
              <w:adjustRightInd w:val="0"/>
              <w:snapToGrid w:val="0"/>
              <w:spacing w:before="31" w:beforeLines="10" w:after="31" w:afterLines="10" w:line="259" w:lineRule="auto"/>
              <w:ind w:left="-120" w:right="-120"/>
              <w:jc w:val="center"/>
              <w:rPr>
                <w:color w:val="000000" w:themeColor="text1"/>
                <w:szCs w:val="21"/>
                <w14:textFill>
                  <w14:solidFill>
                    <w14:schemeClr w14:val="tx1"/>
                  </w14:solidFill>
                </w14:textFill>
              </w:rPr>
            </w:pPr>
            <w:r>
              <w:rPr>
                <w:rFonts w:hint="eastAsia" w:ascii="宋体"/>
                <w:color w:val="000000" w:themeColor="text1"/>
                <w:kern w:val="0"/>
                <w:szCs w:val="21"/>
                <w14:textFill>
                  <w14:solidFill>
                    <w14:schemeClr w14:val="tx1"/>
                  </w14:solidFill>
                </w14:textFill>
              </w:rPr>
              <w:t>厂内</w:t>
            </w:r>
          </w:p>
        </w:tc>
        <w:tc>
          <w:tcPr>
            <w:tcW w:w="1168" w:type="dxa"/>
            <w:vAlign w:val="center"/>
          </w:tcPr>
          <w:p>
            <w:pPr>
              <w:adjustRightInd w:val="0"/>
              <w:snapToGrid w:val="0"/>
              <w:jc w:val="center"/>
              <w:rPr>
                <w:color w:val="000000" w:themeColor="text1"/>
                <w:szCs w:val="21"/>
                <w14:textFill>
                  <w14:solidFill>
                    <w14:schemeClr w14:val="tx1"/>
                  </w14:solidFill>
                </w14:textFill>
              </w:rPr>
            </w:pPr>
            <w:r>
              <w:rPr>
                <w:rFonts w:hint="eastAsia"/>
                <w:bCs/>
                <w:color w:val="000000" w:themeColor="text1"/>
                <w14:textFill>
                  <w14:solidFill>
                    <w14:schemeClr w14:val="tx1"/>
                  </w14:solidFill>
                </w14:textFill>
              </w:rPr>
              <w:t>非甲烷总烃</w:t>
            </w:r>
          </w:p>
        </w:tc>
        <w:tc>
          <w:tcPr>
            <w:tcW w:w="1725"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通过加强车间密闭</w:t>
            </w:r>
          </w:p>
        </w:tc>
        <w:tc>
          <w:tcPr>
            <w:tcW w:w="2860"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广东省《固定污染源挥发性有机物综合排放标准》（DB44/2367-2022）中表3厂区内无组织排放限值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5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地表水环境</w:t>
            </w:r>
          </w:p>
        </w:tc>
        <w:tc>
          <w:tcPr>
            <w:tcW w:w="1596"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DW001</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c>
          <w:tcPr>
            <w:tcW w:w="1168" w:type="dxa"/>
            <w:vAlign w:val="center"/>
          </w:tcPr>
          <w:p>
            <w:pPr>
              <w:jc w:val="center"/>
              <w:rPr>
                <w:color w:val="000000" w:themeColor="text1"/>
                <w:szCs w:val="21"/>
                <w:vertAlign w:val="subscript"/>
                <w14:textFill>
                  <w14:solidFill>
                    <w14:schemeClr w14:val="tx1"/>
                  </w14:solidFill>
                </w14:textFill>
              </w:rPr>
            </w:pPr>
            <w:r>
              <w:rPr>
                <w:color w:val="000000" w:themeColor="text1"/>
                <w:szCs w:val="21"/>
                <w14:textFill>
                  <w14:solidFill>
                    <w14:schemeClr w14:val="tx1"/>
                  </w14:solidFill>
                </w14:textFill>
              </w:rPr>
              <w:t>COD</w:t>
            </w:r>
            <w:r>
              <w:rPr>
                <w:color w:val="000000" w:themeColor="text1"/>
                <w:szCs w:val="21"/>
                <w:vertAlign w:val="subscript"/>
                <w14:textFill>
                  <w14:solidFill>
                    <w14:schemeClr w14:val="tx1"/>
                  </w14:solidFill>
                </w14:textFill>
              </w:rPr>
              <w:t>Cr</w:t>
            </w:r>
          </w:p>
          <w:p>
            <w:pPr>
              <w:jc w:val="center"/>
              <w:rPr>
                <w:color w:val="000000" w:themeColor="text1"/>
                <w:szCs w:val="21"/>
                <w:vertAlign w:val="subscript"/>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氨氮</w:t>
            </w:r>
          </w:p>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总磷</w:t>
            </w:r>
          </w:p>
          <w:p>
            <w:pPr>
              <w:jc w:val="center"/>
            </w:pPr>
            <w:r>
              <w:rPr>
                <w:rFonts w:hint="eastAsia"/>
                <w:color w:val="000000" w:themeColor="text1"/>
                <w:szCs w:val="21"/>
                <w14:textFill>
                  <w14:solidFill>
                    <w14:schemeClr w14:val="tx1"/>
                  </w14:solidFill>
                </w14:textFill>
              </w:rPr>
              <w:t>动植物油</w:t>
            </w:r>
          </w:p>
        </w:tc>
        <w:tc>
          <w:tcPr>
            <w:tcW w:w="172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隔油隔渣、</w:t>
            </w:r>
            <w:r>
              <w:rPr>
                <w:color w:val="000000" w:themeColor="text1"/>
                <w:szCs w:val="21"/>
                <w14:textFill>
                  <w14:solidFill>
                    <w14:schemeClr w14:val="tx1"/>
                  </w14:solidFill>
                </w14:textFill>
              </w:rPr>
              <w:t>三级化粪池预处理</w:t>
            </w:r>
          </w:p>
        </w:tc>
        <w:tc>
          <w:tcPr>
            <w:tcW w:w="286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执行《城镇污水处理厂污染物排放标准》（GB18918-2002）一级标准的A类标准以及广东省地方标准《水污染物排放限值》（DB44/26-2001）第二时段一级标准中的较严值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45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声环境</w:t>
            </w:r>
          </w:p>
        </w:tc>
        <w:tc>
          <w:tcPr>
            <w:tcW w:w="1596"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机械设备</w:t>
            </w:r>
          </w:p>
        </w:tc>
        <w:tc>
          <w:tcPr>
            <w:tcW w:w="1168"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机械噪声</w:t>
            </w:r>
          </w:p>
        </w:tc>
        <w:tc>
          <w:tcPr>
            <w:tcW w:w="172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合理布局、利用墙体隔声和控制经营作业时间等</w:t>
            </w:r>
          </w:p>
        </w:tc>
        <w:tc>
          <w:tcPr>
            <w:tcW w:w="286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《工业企业厂界环境噪声排放标准》（GB12348-2008）中2类区排放限值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5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电磁辐射</w:t>
            </w:r>
          </w:p>
        </w:tc>
        <w:tc>
          <w:tcPr>
            <w:tcW w:w="1596"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168"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1725"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2860"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45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固体废物</w:t>
            </w:r>
          </w:p>
        </w:tc>
        <w:tc>
          <w:tcPr>
            <w:tcW w:w="7349" w:type="dxa"/>
            <w:gridSpan w:val="4"/>
            <w:vAlign w:val="center"/>
          </w:tcPr>
          <w:p>
            <w:pPr>
              <w:widowControl/>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项目员工生活垃圾交由环卫部门统一清运；</w:t>
            </w:r>
            <w:r>
              <w:rPr>
                <w:rFonts w:hint="eastAsia"/>
                <w:color w:val="000000" w:themeColor="text1"/>
                <w:szCs w:val="21"/>
                <w14:textFill>
                  <w14:solidFill>
                    <w14:schemeClr w14:val="tx1"/>
                  </w14:solidFill>
                </w14:textFill>
              </w:rPr>
              <w:t>木材边角料、金属边角料、包装废物，车间及布袋除尘器收集到的粉尘，焊接烟尘净化器收集到的粉尘</w:t>
            </w:r>
            <w:r>
              <w:rPr>
                <w:color w:val="000000" w:themeColor="text1"/>
                <w:szCs w:val="21"/>
                <w14:textFill>
                  <w14:solidFill>
                    <w14:schemeClr w14:val="tx1"/>
                  </w14:solidFill>
                </w14:textFill>
              </w:rPr>
              <w:t>交由专业公司回收处理</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漆渣</w:t>
            </w:r>
            <w:r>
              <w:rPr>
                <w:rFonts w:hint="eastAsia"/>
                <w:color w:val="000000" w:themeColor="text1"/>
                <w:szCs w:val="21"/>
                <w14:textFill>
                  <w14:solidFill>
                    <w14:schemeClr w14:val="tx1"/>
                  </w14:solidFill>
                </w14:textFill>
              </w:rPr>
              <w:t>，废包装桶，水帘柜更换废水，喷枪清洗废水，废活性炭，调漆、喷漆、晾干废气处理装置喷淋塔定期更换废水、废机油、废含机油抹布及手套，废机油包装桶</w:t>
            </w:r>
            <w:r>
              <w:rPr>
                <w:color w:val="000000" w:themeColor="text1"/>
                <w:szCs w:val="21"/>
                <w14:textFill>
                  <w14:solidFill>
                    <w14:schemeClr w14:val="tx1"/>
                  </w14:solidFill>
                </w14:textFill>
              </w:rPr>
              <w:t>交由有危险废物处理资质单位处理</w:t>
            </w:r>
            <w:r>
              <w:rPr>
                <w:rFonts w:hint="eastAsia"/>
                <w:color w:val="000000" w:themeColor="text1"/>
                <w:szCs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5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土壤及地下水污染防治措施</w:t>
            </w:r>
          </w:p>
        </w:tc>
        <w:tc>
          <w:tcPr>
            <w:tcW w:w="7349" w:type="dxa"/>
            <w:gridSpan w:val="4"/>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分区防控、源头控制、过程控制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5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生态保护措施</w:t>
            </w:r>
          </w:p>
        </w:tc>
        <w:tc>
          <w:tcPr>
            <w:tcW w:w="7349" w:type="dxa"/>
            <w:gridSpan w:val="4"/>
            <w:vAlign w:val="center"/>
          </w:tcPr>
          <w:p>
            <w:pPr>
              <w:adjustRightInd w:val="0"/>
              <w:snapToGrid w:val="0"/>
              <w:jc w:val="center"/>
              <w:rPr>
                <w:color w:val="000000" w:themeColor="text1"/>
                <w:szCs w:val="21"/>
                <w14:textFill>
                  <w14:solidFill>
                    <w14:schemeClr w14:val="tx1"/>
                  </w14:solidFill>
                </w14:textFill>
              </w:rPr>
            </w:pPr>
            <w:r>
              <w:rPr>
                <w:color w:val="000000" w:themeColor="text1"/>
                <w14:textFill>
                  <w14:solidFill>
                    <w14:schemeClr w14:val="tx1"/>
                  </w14:solidFill>
                </w14:textFill>
              </w:rPr>
              <w:t>本项目占地范围内不存在生态环境保护目标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451" w:type="dxa"/>
            <w:vAlign w:val="center"/>
          </w:tcPr>
          <w:p>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环境风险</w:t>
            </w:r>
          </w:p>
          <w:p>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防范措施</w:t>
            </w:r>
          </w:p>
        </w:tc>
        <w:tc>
          <w:tcPr>
            <w:tcW w:w="7349" w:type="dxa"/>
            <w:gridSpan w:val="4"/>
            <w:vAlign w:val="center"/>
          </w:tcPr>
          <w:p>
            <w:pPr>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1、废气事故排放风险的防范措施</w:t>
            </w:r>
          </w:p>
          <w:p>
            <w:pPr>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对本项目产生废气的大气环境估算，各废气污染物下风向浓度不超过评价标准，对周围环境的影响较小。但是，当废气治理设施发生故障情况，可能会对环境空气质量造成一定的影响。导致废气治理设施运行故障的原因主要有：抽风设备故障、人员操作失误、处理装置故障等。</w:t>
            </w:r>
          </w:p>
          <w:p>
            <w:pPr>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建设单位必须严加管理，杜绝事故排放的事故发生。应认真做好设备的保养，定期维护、保修工作，使处理设施达到预期效果。废气抽排风的风机采用一用一备的方法，严禁出现风机失效的事故工况。现场作业人员定时记录废气抽排放系统及收集排放系统，并派专人巡视，废气处理系统出现故障，立即停止生产，切断废气来源，维修正常后再恢复生产，杜绝事故性废气直排，并及时呈报单位主管。待检修完毕再通知生产车间相关工序。</w:t>
            </w:r>
          </w:p>
          <w:p>
            <w:pPr>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2、废水事故排放风险的防范措施</w:t>
            </w:r>
          </w:p>
          <w:p>
            <w:pPr>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事故风险主要为喷淋塔废水溢出厂外或渗入地下，造成地表水体、土壤等环境污染。</w:t>
            </w:r>
          </w:p>
          <w:p>
            <w:pPr>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当发生事故时，应立即停产，进行围堵截污，防止废水排入雨水管道；车间地面作好防渗漏措施；车间门口须设置拦截事故废水的墁坡或截流沟。</w:t>
            </w:r>
          </w:p>
          <w:p>
            <w:pPr>
              <w:widowControl/>
              <w:spacing w:line="360" w:lineRule="auto"/>
              <w:ind w:firstLine="420" w:firstLineChars="200"/>
              <w:jc w:val="left"/>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r>
              <w:rPr>
                <w:color w:val="000000" w:themeColor="text1"/>
                <w:kern w:val="0"/>
                <w:szCs w:val="21"/>
                <w14:textFill>
                  <w14:solidFill>
                    <w14:schemeClr w14:val="tx1"/>
                  </w14:solidFill>
                </w14:textFill>
              </w:rPr>
              <w:t>项目</w:t>
            </w:r>
            <w:r>
              <w:rPr>
                <w:rFonts w:hint="eastAsia"/>
                <w:color w:val="000000" w:themeColor="text1"/>
                <w:kern w:val="0"/>
                <w:szCs w:val="21"/>
                <w14:textFill>
                  <w14:solidFill>
                    <w14:schemeClr w14:val="tx1"/>
                  </w14:solidFill>
                </w14:textFill>
              </w:rPr>
              <w:t>化学品仓和</w:t>
            </w:r>
            <w:r>
              <w:rPr>
                <w:color w:val="000000" w:themeColor="text1"/>
                <w:kern w:val="0"/>
                <w:szCs w:val="21"/>
                <w14:textFill>
                  <w14:solidFill>
                    <w14:schemeClr w14:val="tx1"/>
                  </w14:solidFill>
                </w14:textFill>
              </w:rPr>
              <w:t>危险废物</w:t>
            </w:r>
            <w:r>
              <w:rPr>
                <w:rFonts w:hint="eastAsia"/>
                <w:color w:val="000000" w:themeColor="text1"/>
                <w:kern w:val="0"/>
                <w:szCs w:val="21"/>
                <w14:textFill>
                  <w14:solidFill>
                    <w14:schemeClr w14:val="tx1"/>
                  </w14:solidFill>
                </w14:textFill>
              </w:rPr>
              <w:t>暂存室</w:t>
            </w:r>
            <w:r>
              <w:rPr>
                <w:color w:val="000000" w:themeColor="text1"/>
                <w:kern w:val="0"/>
                <w:szCs w:val="21"/>
                <w14:textFill>
                  <w14:solidFill>
                    <w14:schemeClr w14:val="tx1"/>
                  </w14:solidFill>
                </w14:textFill>
              </w:rPr>
              <w:t xml:space="preserve">防范措施： </w:t>
            </w:r>
          </w:p>
          <w:p>
            <w:pPr>
              <w:widowControl/>
              <w:spacing w:line="360" w:lineRule="auto"/>
              <w:ind w:firstLine="420" w:firstLineChars="200"/>
              <w:jc w:val="left"/>
              <w:rPr>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①</w:t>
            </w:r>
            <w:r>
              <w:rPr>
                <w:color w:val="000000" w:themeColor="text1"/>
                <w:kern w:val="0"/>
                <w:szCs w:val="21"/>
                <w14:textFill>
                  <w14:solidFill>
                    <w14:schemeClr w14:val="tx1"/>
                  </w14:solidFill>
                </w14:textFill>
              </w:rPr>
              <w:t>项目废活性炭</w:t>
            </w:r>
            <w:r>
              <w:rPr>
                <w:rFonts w:hint="eastAsia"/>
                <w:color w:val="000000" w:themeColor="text1"/>
                <w:kern w:val="0"/>
                <w:szCs w:val="21"/>
                <w14:textFill>
                  <w14:solidFill>
                    <w14:schemeClr w14:val="tx1"/>
                  </w14:solidFill>
                </w14:textFill>
              </w:rPr>
              <w:t>、废包装桶</w:t>
            </w:r>
            <w:r>
              <w:rPr>
                <w:color w:val="000000" w:themeColor="text1"/>
                <w:kern w:val="0"/>
                <w:szCs w:val="21"/>
                <w14:textFill>
                  <w14:solidFill>
                    <w14:schemeClr w14:val="tx1"/>
                  </w14:solidFill>
                </w14:textFill>
              </w:rPr>
              <w:t xml:space="preserve">避免露天存放，需要使用密闭包装桶盛装。 </w:t>
            </w:r>
          </w:p>
          <w:p>
            <w:pPr>
              <w:widowControl/>
              <w:spacing w:line="360" w:lineRule="auto"/>
              <w:ind w:firstLine="420" w:firstLineChars="200"/>
              <w:jc w:val="left"/>
              <w:rPr>
                <w:color w:val="000000" w:themeColor="text1"/>
                <w:kern w:val="0"/>
                <w:sz w:val="24"/>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②</w:t>
            </w:r>
            <w:r>
              <w:rPr>
                <w:color w:val="000000" w:themeColor="text1"/>
                <w:kern w:val="0"/>
                <w:szCs w:val="21"/>
                <w14:textFill>
                  <w14:solidFill>
                    <w14:schemeClr w14:val="tx1"/>
                  </w14:solidFill>
                </w14:textFill>
              </w:rPr>
              <w:t>危险废物临时堆放场要做好防风、防雨、防晒。</w:t>
            </w:r>
          </w:p>
          <w:p>
            <w:pPr>
              <w:ind w:left="-50" w:leftChars="-24" w:firstLine="420" w:firstLineChars="200"/>
              <w:rPr>
                <w:color w:val="000000" w:themeColor="text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③</w:t>
            </w:r>
            <w:r>
              <w:rPr>
                <w:color w:val="000000" w:themeColor="text1"/>
                <w:szCs w:val="21"/>
                <w14:textFill>
                  <w14:solidFill>
                    <w14:schemeClr w14:val="tx1"/>
                  </w14:solidFill>
                </w14:textFill>
              </w:rPr>
              <w:t>化学品仓库需要设置围堰，若发生泄漏事故，可以有效的收集泄漏的化学品。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451" w:type="dxa"/>
            <w:vAlign w:val="center"/>
          </w:tcPr>
          <w:p>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其他环境</w:t>
            </w:r>
          </w:p>
          <w:p>
            <w:pPr>
              <w:adjustRightInd w:val="0"/>
              <w:snapToGrid w:val="0"/>
              <w:jc w:val="center"/>
              <w:rPr>
                <w:color w:val="000000" w:themeColor="text1"/>
                <w:spacing w:val="-8"/>
                <w:szCs w:val="21"/>
                <w14:textFill>
                  <w14:solidFill>
                    <w14:schemeClr w14:val="tx1"/>
                  </w14:solidFill>
                </w14:textFill>
              </w:rPr>
            </w:pPr>
            <w:r>
              <w:rPr>
                <w:color w:val="000000" w:themeColor="text1"/>
                <w:spacing w:val="-8"/>
                <w:szCs w:val="21"/>
                <w14:textFill>
                  <w14:solidFill>
                    <w14:schemeClr w14:val="tx1"/>
                  </w14:solidFill>
                </w14:textFill>
              </w:rPr>
              <w:t>管理要求</w:t>
            </w:r>
          </w:p>
        </w:tc>
        <w:tc>
          <w:tcPr>
            <w:tcW w:w="7349" w:type="dxa"/>
            <w:gridSpan w:val="4"/>
            <w:vAlign w:val="center"/>
          </w:tcPr>
          <w:p>
            <w:pPr>
              <w:widowControl/>
              <w:spacing w:line="360" w:lineRule="auto"/>
              <w:ind w:firstLine="420" w:firstLineChars="200"/>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项目建成投入运行后，其环境管理是一项长期的管理工作，必须建立完善的管理机构和体系，并在此基础上建立健全各项环境监督和管理制度。 </w:t>
            </w:r>
          </w:p>
          <w:p>
            <w:pPr>
              <w:widowControl/>
              <w:spacing w:line="360" w:lineRule="auto"/>
              <w:ind w:firstLine="420" w:firstLineChars="200"/>
              <w:jc w:val="left"/>
              <w:rPr>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①</w:t>
            </w:r>
            <w:r>
              <w:rPr>
                <w:color w:val="000000" w:themeColor="text1"/>
                <w:kern w:val="0"/>
                <w:szCs w:val="21"/>
                <w14:textFill>
                  <w14:solidFill>
                    <w14:schemeClr w14:val="tx1"/>
                  </w14:solidFill>
                </w14:textFill>
              </w:rPr>
              <w:t xml:space="preserve">环境管理组织机构 </w:t>
            </w:r>
          </w:p>
          <w:p>
            <w:pPr>
              <w:widowControl/>
              <w:spacing w:line="360" w:lineRule="auto"/>
              <w:ind w:firstLine="420" w:firstLineChars="200"/>
              <w:jc w:val="left"/>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 xml:space="preserve">为了做好生产全过程的环境保护工作，减轻项目外排污染物对环境的影响程度，建设单位必须高度重视环境保护工作。设立内部环境保护管理机构，专人负责环境保护工作，实行定岗定员，岗位责任制，负责各生产环节的环境保护管理，保证环保设施的正常运行。 </w:t>
            </w:r>
          </w:p>
          <w:p>
            <w:pPr>
              <w:widowControl/>
              <w:spacing w:line="360" w:lineRule="auto"/>
              <w:ind w:firstLine="420" w:firstLineChars="200"/>
              <w:jc w:val="left"/>
              <w:rPr>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②</w:t>
            </w:r>
            <w:r>
              <w:rPr>
                <w:color w:val="000000" w:themeColor="text1"/>
                <w:kern w:val="0"/>
                <w:szCs w:val="21"/>
                <w14:textFill>
                  <w14:solidFill>
                    <w14:schemeClr w14:val="tx1"/>
                  </w14:solidFill>
                </w14:textFill>
              </w:rPr>
              <w:t xml:space="preserve">健全环境管理制度 </w:t>
            </w:r>
          </w:p>
          <w:p>
            <w:pPr>
              <w:widowControl/>
              <w:spacing w:line="360" w:lineRule="auto"/>
              <w:ind w:firstLine="420" w:firstLineChars="200"/>
              <w:jc w:val="left"/>
              <w:rPr>
                <w:color w:val="000000" w:themeColor="text1"/>
                <w:szCs w:val="21"/>
                <w14:textFill>
                  <w14:solidFill>
                    <w14:schemeClr w14:val="tx1"/>
                  </w14:solidFill>
                </w14:textFill>
              </w:rPr>
            </w:pPr>
            <w:r>
              <w:rPr>
                <w:color w:val="000000" w:themeColor="text1"/>
                <w:kern w:val="0"/>
                <w:szCs w:val="21"/>
                <w14:textFill>
                  <w14:solidFill>
                    <w14:schemeClr w14:val="tx1"/>
                  </w14:solidFill>
                </w14:textFill>
              </w:rPr>
              <w:t>按照 ISO14000 的要求，建立完善的环境管理体系，健全内部环境管理制度，加强日常环境管理工作，对整个生产过程实施全过程环境管理，杜绝生产过程中环境污染事故的发生，保护环境。</w:t>
            </w:r>
          </w:p>
        </w:tc>
      </w:tr>
    </w:tbl>
    <w:p>
      <w:pPr>
        <w:rPr>
          <w:rFonts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br w:type="page"/>
      </w:r>
    </w:p>
    <w:p>
      <w:pPr>
        <w:jc w:val="center"/>
        <w:outlineLvl w:val="0"/>
        <w:rPr>
          <w:rFonts w:ascii="黑体" w:hAnsi="黑体" w:eastAsia="黑体"/>
          <w:color w:val="000000" w:themeColor="text1"/>
          <w:sz w:val="30"/>
          <w14:textFill>
            <w14:solidFill>
              <w14:schemeClr w14:val="tx1"/>
            </w14:solidFill>
          </w14:textFill>
        </w:rPr>
      </w:pPr>
      <w:r>
        <w:rPr>
          <w:rFonts w:hint="eastAsia" w:ascii="黑体" w:hAnsi="黑体" w:eastAsia="黑体"/>
          <w:color w:val="000000" w:themeColor="text1"/>
          <w:sz w:val="30"/>
          <w14:textFill>
            <w14:solidFill>
              <w14:schemeClr w14:val="tx1"/>
            </w14:solidFill>
          </w14:textFill>
        </w:rPr>
        <w:t>六</w:t>
      </w:r>
      <w:r>
        <w:rPr>
          <w:rFonts w:ascii="黑体" w:hAnsi="黑体" w:eastAsia="黑体"/>
          <w:color w:val="000000" w:themeColor="text1"/>
          <w:sz w:val="30"/>
          <w14:textFill>
            <w14:solidFill>
              <w14:schemeClr w14:val="tx1"/>
            </w14:solidFill>
          </w14:textFill>
        </w:rPr>
        <w:t>、结论</w:t>
      </w:r>
    </w:p>
    <w:tbl>
      <w:tblPr>
        <w:tblStyle w:val="39"/>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041" w:hRule="atLeast"/>
        </w:trPr>
        <w:tc>
          <w:tcPr>
            <w:tcW w:w="9060" w:type="dxa"/>
          </w:tcPr>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1、结论</w:t>
            </w:r>
          </w:p>
          <w:p>
            <w:pPr>
              <w:spacing w:line="360" w:lineRule="auto"/>
              <w:ind w:firstLine="480" w:firstLineChars="200"/>
              <w:rPr>
                <w:b/>
                <w:bCs/>
                <w:color w:val="000000" w:themeColor="text1"/>
                <w:sz w:val="24"/>
                <w14:textFill>
                  <w14:solidFill>
                    <w14:schemeClr w14:val="tx1"/>
                  </w14:solidFill>
                </w14:textFill>
              </w:rPr>
            </w:pPr>
            <w:r>
              <w:rPr>
                <w:bCs/>
                <w:color w:val="000000" w:themeColor="text1"/>
                <w:sz w:val="24"/>
                <w14:textFill>
                  <w14:solidFill>
                    <w14:schemeClr w14:val="tx1"/>
                  </w14:solidFill>
                </w14:textFill>
              </w:rPr>
              <w:t>本项目性质与周边环境功能区划相符，符合规划布局要求，选址合理可行。建设项目应认真执行环保“三同时”管理规定，把项目对环境的影响控制在最低限度。在切实落实本评价提出的各项有关环保措施，并确保各种治理设施正常运转的前提下，项目对周围环境质量的影响不大，对周边环境敏感点不会带来大的影响。因此，</w:t>
            </w:r>
            <w:r>
              <w:rPr>
                <w:b/>
                <w:bCs/>
                <w:color w:val="000000" w:themeColor="text1"/>
                <w:sz w:val="24"/>
                <w14:textFill>
                  <w14:solidFill>
                    <w14:schemeClr w14:val="tx1"/>
                  </w14:solidFill>
                </w14:textFill>
              </w:rPr>
              <w:t>在认真执行环保“三同时”、切实执行环保措施的前提下，从环境保护角度分析，本项目的建设是可行的。</w:t>
            </w:r>
          </w:p>
          <w:p>
            <w:pPr>
              <w:spacing w:line="360" w:lineRule="auto"/>
              <w:ind w:firstLine="482" w:firstLineChars="200"/>
              <w:rPr>
                <w:b/>
                <w:bCs/>
                <w:color w:val="000000" w:themeColor="text1"/>
                <w:sz w:val="24"/>
                <w14:textFill>
                  <w14:solidFill>
                    <w14:schemeClr w14:val="tx1"/>
                  </w14:solidFill>
                </w14:textFill>
              </w:rPr>
            </w:pPr>
            <w:r>
              <w:rPr>
                <w:rFonts w:hint="eastAsia"/>
                <w:b/>
                <w:bCs/>
                <w:color w:val="000000" w:themeColor="text1"/>
                <w:sz w:val="24"/>
                <w14:textFill>
                  <w14:solidFill>
                    <w14:schemeClr w14:val="tx1"/>
                  </w14:solidFill>
                </w14:textFill>
              </w:rPr>
              <w:t>2、其它要求</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（1）项目如发生扩大规模、变更企业经营范围、改变生产流程和工艺等变动，应重新编制相应的建设项目环境影响报告。</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（2）项目应尽快落实本报告提出的各项治理措施，并尽快按照国务院环境保护行政主管部门规定的标准和程序，对配套建设的环境保护设施进行验收。</w:t>
            </w:r>
          </w:p>
          <w:p>
            <w:pPr>
              <w:spacing w:line="360" w:lineRule="auto"/>
              <w:jc w:val="center"/>
              <w:rPr>
                <w:rFonts w:ascii="宋体" w:hAnsi="宋体"/>
                <w:color w:val="000000" w:themeColor="text1"/>
                <w:sz w:val="24"/>
                <w14:textFill>
                  <w14:solidFill>
                    <w14:schemeClr w14:val="tx1"/>
                  </w14:solidFill>
                </w14:textFill>
              </w:rPr>
            </w:pPr>
          </w:p>
        </w:tc>
      </w:tr>
    </w:tbl>
    <w:p>
      <w:pPr>
        <w:jc w:val="center"/>
        <w:rPr>
          <w:rFonts w:ascii="黑体" w:hAnsi="黑体" w:eastAsia="黑体"/>
          <w:color w:val="000000" w:themeColor="text1"/>
          <w:sz w:val="30"/>
          <w14:textFill>
            <w14:solidFill>
              <w14:schemeClr w14:val="tx1"/>
            </w14:solidFill>
          </w14:textFill>
        </w:rPr>
        <w:sectPr>
          <w:pgSz w:w="11906" w:h="16838"/>
          <w:pgMar w:top="1558" w:right="1418" w:bottom="1474" w:left="1418" w:header="851" w:footer="709" w:gutter="0"/>
          <w:cols w:space="720" w:num="1"/>
          <w:docGrid w:type="lines" w:linePitch="312" w:charSpace="0"/>
        </w:sectPr>
      </w:pPr>
    </w:p>
    <w:p>
      <w:pPr>
        <w:pStyle w:val="34"/>
        <w:adjustRightInd w:val="0"/>
        <w:spacing w:before="0" w:beforeAutospacing="0" w:after="0" w:afterAutospacing="0" w:line="360" w:lineRule="auto"/>
        <w:outlineLvl w:val="0"/>
        <w:rPr>
          <w:rFonts w:ascii="黑体" w:hAnsi="黑体" w:eastAsia="黑体"/>
          <w:snapToGrid w:val="0"/>
          <w:color w:val="000000" w:themeColor="text1"/>
          <w:sz w:val="32"/>
          <w:szCs w:val="32"/>
          <w14:textFill>
            <w14:solidFill>
              <w14:schemeClr w14:val="tx1"/>
            </w14:solidFill>
          </w14:textFill>
        </w:rPr>
      </w:pPr>
      <w:r>
        <w:rPr>
          <w:rFonts w:hint="eastAsia" w:ascii="黑体" w:hAnsi="黑体" w:eastAsia="黑体"/>
          <w:snapToGrid w:val="0"/>
          <w:color w:val="000000" w:themeColor="text1"/>
          <w:sz w:val="32"/>
          <w:szCs w:val="32"/>
          <w14:textFill>
            <w14:solidFill>
              <w14:schemeClr w14:val="tx1"/>
            </w14:solidFill>
          </w14:textFill>
        </w:rPr>
        <w:t>附表</w:t>
      </w:r>
    </w:p>
    <w:p>
      <w:pPr>
        <w:pStyle w:val="34"/>
        <w:adjustRightInd w:val="0"/>
        <w:spacing w:before="0" w:beforeAutospacing="0" w:after="0" w:afterAutospacing="0" w:line="360" w:lineRule="auto"/>
        <w:jc w:val="center"/>
        <w:rPr>
          <w:rFonts w:ascii="方正小标宋_GBK" w:hAnsi="黑体" w:eastAsia="方正小标宋_GBK"/>
          <w:snapToGrid w:val="0"/>
          <w:color w:val="000000" w:themeColor="text1"/>
          <w:sz w:val="36"/>
          <w:szCs w:val="36"/>
          <w14:textFill>
            <w14:solidFill>
              <w14:schemeClr w14:val="tx1"/>
            </w14:solidFill>
          </w14:textFill>
        </w:rPr>
      </w:pPr>
      <w:r>
        <w:rPr>
          <w:rFonts w:hint="eastAsia" w:ascii="方正小标宋_GBK" w:hAnsi="黑体" w:eastAsia="方正小标宋_GBK"/>
          <w:snapToGrid w:val="0"/>
          <w:color w:val="000000" w:themeColor="text1"/>
          <w:sz w:val="36"/>
          <w:szCs w:val="36"/>
          <w14:textFill>
            <w14:solidFill>
              <w14:schemeClr w14:val="tx1"/>
            </w14:solidFill>
          </w14:textFill>
        </w:rPr>
        <w:t>建设项目污染物排放量汇总表</w:t>
      </w:r>
    </w:p>
    <w:tbl>
      <w:tblPr>
        <w:tblStyle w:val="39"/>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2138"/>
        <w:gridCol w:w="1444"/>
        <w:gridCol w:w="1276"/>
        <w:gridCol w:w="1701"/>
        <w:gridCol w:w="1559"/>
        <w:gridCol w:w="1761"/>
        <w:gridCol w:w="1565"/>
        <w:gridCol w:w="122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124" w:type="dxa"/>
            <w:tcBorders>
              <w:tl2br w:val="single" w:color="auto" w:sz="4" w:space="0"/>
            </w:tcBorders>
            <w:tcMar>
              <w:left w:w="28" w:type="dxa"/>
              <w:right w:w="28" w:type="dxa"/>
            </w:tcMar>
            <w:vAlign w:val="center"/>
          </w:tcPr>
          <w:p>
            <w:pPr>
              <w:pStyle w:val="70"/>
              <w:spacing w:line="240" w:lineRule="auto"/>
              <w:jc w:val="right"/>
              <w:rPr>
                <w:rFonts w:ascii="黑体" w:hAnsi="黑体" w:cs="宋体"/>
                <w:snapToGrid w:val="0"/>
                <w:color w:val="000000" w:themeColor="text1"/>
                <w:spacing w:val="-6"/>
                <w:kern w:val="21"/>
                <w:szCs w:val="21"/>
                <w14:textFill>
                  <w14:solidFill>
                    <w14:schemeClr w14:val="tx1"/>
                  </w14:solidFill>
                </w14:textFill>
              </w:rPr>
            </w:pPr>
            <w:r>
              <w:rPr>
                <w:rFonts w:hint="eastAsia" w:ascii="黑体" w:hAnsi="黑体" w:cs="宋体"/>
                <w:snapToGrid w:val="0"/>
                <w:color w:val="000000" w:themeColor="text1"/>
                <w:spacing w:val="-6"/>
                <w:kern w:val="21"/>
                <w:szCs w:val="21"/>
                <w14:textFill>
                  <w14:solidFill>
                    <w14:schemeClr w14:val="tx1"/>
                  </w14:solidFill>
                </w14:textFill>
              </w:rPr>
              <w:t>项目</w:t>
            </w:r>
          </w:p>
          <w:p>
            <w:pPr>
              <w:pStyle w:val="70"/>
              <w:spacing w:line="240" w:lineRule="auto"/>
              <w:jc w:val="left"/>
              <w:rPr>
                <w:rFonts w:ascii="黑体" w:hAnsi="黑体" w:cs="宋体"/>
                <w:snapToGrid w:val="0"/>
                <w:color w:val="000000" w:themeColor="text1"/>
                <w:spacing w:val="-6"/>
                <w:kern w:val="21"/>
                <w:szCs w:val="21"/>
                <w14:textFill>
                  <w14:solidFill>
                    <w14:schemeClr w14:val="tx1"/>
                  </w14:solidFill>
                </w14:textFill>
              </w:rPr>
            </w:pPr>
            <w:r>
              <w:rPr>
                <w:rFonts w:hint="eastAsia" w:ascii="黑体" w:hAnsi="黑体" w:cs="宋体"/>
                <w:snapToGrid w:val="0"/>
                <w:color w:val="000000" w:themeColor="text1"/>
                <w:spacing w:val="-6"/>
                <w:kern w:val="21"/>
                <w:szCs w:val="21"/>
                <w14:textFill>
                  <w14:solidFill>
                    <w14:schemeClr w14:val="tx1"/>
                  </w14:solidFill>
                </w14:textFill>
              </w:rPr>
              <w:t>分类</w:t>
            </w:r>
          </w:p>
        </w:tc>
        <w:tc>
          <w:tcPr>
            <w:tcW w:w="2138" w:type="dxa"/>
            <w:tcMar>
              <w:left w:w="28" w:type="dxa"/>
              <w:right w:w="28" w:type="dxa"/>
            </w:tcMar>
            <w:vAlign w:val="center"/>
          </w:tcPr>
          <w:p>
            <w:pPr>
              <w:pStyle w:val="70"/>
              <w:spacing w:line="240" w:lineRule="auto"/>
              <w:rPr>
                <w:rFonts w:ascii="黑体" w:hAnsi="黑体" w:cs="宋体"/>
                <w:snapToGrid w:val="0"/>
                <w:color w:val="000000" w:themeColor="text1"/>
                <w:spacing w:val="-6"/>
                <w:kern w:val="21"/>
                <w:szCs w:val="21"/>
                <w14:textFill>
                  <w14:solidFill>
                    <w14:schemeClr w14:val="tx1"/>
                  </w14:solidFill>
                </w14:textFill>
              </w:rPr>
            </w:pPr>
            <w:r>
              <w:rPr>
                <w:rFonts w:hint="eastAsia" w:ascii="黑体" w:hAnsi="黑体" w:cs="宋体"/>
                <w:snapToGrid w:val="0"/>
                <w:color w:val="000000" w:themeColor="text1"/>
                <w:spacing w:val="-6"/>
                <w:kern w:val="21"/>
                <w:szCs w:val="21"/>
                <w14:textFill>
                  <w14:solidFill>
                    <w14:schemeClr w14:val="tx1"/>
                  </w14:solidFill>
                </w14:textFill>
              </w:rPr>
              <w:t>污染物名称</w:t>
            </w:r>
          </w:p>
        </w:tc>
        <w:tc>
          <w:tcPr>
            <w:tcW w:w="1444" w:type="dxa"/>
            <w:tcMar>
              <w:left w:w="28" w:type="dxa"/>
              <w:right w:w="28" w:type="dxa"/>
            </w:tcMar>
            <w:vAlign w:val="center"/>
          </w:tcPr>
          <w:p>
            <w:pPr>
              <w:pStyle w:val="70"/>
              <w:spacing w:line="240" w:lineRule="auto"/>
              <w:rPr>
                <w:rFonts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现有工程</w:t>
            </w:r>
          </w:p>
          <w:p>
            <w:pPr>
              <w:pStyle w:val="70"/>
              <w:spacing w:line="240" w:lineRule="auto"/>
              <w:rPr>
                <w:rFonts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排放量（固</w:t>
            </w:r>
            <w:r>
              <w:rPr>
                <w:rFonts w:hint="eastAsia" w:ascii="黑体" w:hAnsi="黑体"/>
                <w:snapToGrid w:val="0"/>
                <w:color w:val="000000" w:themeColor="text1"/>
                <w:spacing w:val="-6"/>
                <w:kern w:val="21"/>
                <w:szCs w:val="21"/>
                <w14:textFill>
                  <w14:solidFill>
                    <w14:schemeClr w14:val="tx1"/>
                  </w14:solidFill>
                </w14:textFill>
              </w:rPr>
              <w:t>体</w:t>
            </w:r>
            <w:r>
              <w:rPr>
                <w:rFonts w:ascii="黑体" w:hAnsi="黑体"/>
                <w:snapToGrid w:val="0"/>
                <w:color w:val="000000" w:themeColor="text1"/>
                <w:spacing w:val="-6"/>
                <w:kern w:val="21"/>
                <w:szCs w:val="21"/>
                <w14:textFill>
                  <w14:solidFill>
                    <w14:schemeClr w14:val="tx1"/>
                  </w14:solidFill>
                </w14:textFill>
              </w:rPr>
              <w:t>废</w:t>
            </w:r>
            <w:r>
              <w:rPr>
                <w:rFonts w:hint="eastAsia" w:ascii="黑体" w:hAnsi="黑体"/>
                <w:snapToGrid w:val="0"/>
                <w:color w:val="000000" w:themeColor="text1"/>
                <w:spacing w:val="-6"/>
                <w:kern w:val="21"/>
                <w:szCs w:val="21"/>
                <w14:textFill>
                  <w14:solidFill>
                    <w14:schemeClr w14:val="tx1"/>
                  </w14:solidFill>
                </w14:textFill>
              </w:rPr>
              <w:t>物</w:t>
            </w:r>
            <w:r>
              <w:rPr>
                <w:rFonts w:ascii="黑体" w:hAnsi="黑体"/>
                <w:snapToGrid w:val="0"/>
                <w:color w:val="000000" w:themeColor="text1"/>
                <w:spacing w:val="-6"/>
                <w:kern w:val="21"/>
                <w:szCs w:val="21"/>
                <w14:textFill>
                  <w14:solidFill>
                    <w14:schemeClr w14:val="tx1"/>
                  </w14:solidFill>
                </w14:textFill>
              </w:rPr>
              <w:t>产生量）</w:t>
            </w:r>
            <w:r>
              <w:rPr>
                <w:rFonts w:ascii="黑体" w:hAnsi="黑体"/>
                <w:snapToGrid w:val="0"/>
                <w:color w:val="000000" w:themeColor="text1"/>
                <w:spacing w:val="-6"/>
                <w:kern w:val="21"/>
                <w:szCs w:val="21"/>
                <w14:textFill>
                  <w14:solidFill>
                    <w14:schemeClr w14:val="tx1"/>
                  </w14:solidFill>
                </w14:textFill>
              </w:rPr>
              <w:fldChar w:fldCharType="begin"/>
            </w:r>
            <w:r>
              <w:rPr>
                <w:rFonts w:ascii="黑体" w:hAnsi="黑体"/>
                <w:snapToGrid w:val="0"/>
                <w:color w:val="000000" w:themeColor="text1"/>
                <w:spacing w:val="-6"/>
                <w:kern w:val="21"/>
                <w:szCs w:val="21"/>
                <w14:textFill>
                  <w14:solidFill>
                    <w14:schemeClr w14:val="tx1"/>
                  </w14:solidFill>
                </w14:textFill>
              </w:rPr>
              <w:instrText xml:space="preserve"> = 1 \* GB3 \* MERGEFORMAT </w:instrText>
            </w:r>
            <w:r>
              <w:rPr>
                <w:rFonts w:ascii="黑体" w:hAnsi="黑体"/>
                <w:snapToGrid w:val="0"/>
                <w:color w:val="000000" w:themeColor="text1"/>
                <w:spacing w:val="-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①</w:t>
            </w:r>
            <w:r>
              <w:rPr>
                <w:rFonts w:ascii="黑体" w:hAnsi="黑体"/>
                <w:snapToGrid w:val="0"/>
                <w:color w:val="000000" w:themeColor="text1"/>
                <w:spacing w:val="-6"/>
                <w:kern w:val="21"/>
                <w:szCs w:val="21"/>
                <w14:textFill>
                  <w14:solidFill>
                    <w14:schemeClr w14:val="tx1"/>
                  </w14:solidFill>
                </w14:textFill>
              </w:rPr>
              <w:fldChar w:fldCharType="end"/>
            </w:r>
          </w:p>
        </w:tc>
        <w:tc>
          <w:tcPr>
            <w:tcW w:w="1276" w:type="dxa"/>
            <w:tcMar>
              <w:left w:w="28" w:type="dxa"/>
              <w:right w:w="28" w:type="dxa"/>
            </w:tcMar>
            <w:vAlign w:val="center"/>
          </w:tcPr>
          <w:p>
            <w:pPr>
              <w:pStyle w:val="70"/>
              <w:spacing w:line="240" w:lineRule="auto"/>
              <w:rPr>
                <w:rFonts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现有工程</w:t>
            </w:r>
          </w:p>
          <w:p>
            <w:pPr>
              <w:pStyle w:val="70"/>
              <w:spacing w:line="240" w:lineRule="auto"/>
              <w:rPr>
                <w:rFonts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许可排放量</w:t>
            </w:r>
          </w:p>
          <w:p>
            <w:pPr>
              <w:pStyle w:val="70"/>
              <w:rPr>
                <w:rFonts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fldChar w:fldCharType="begin"/>
            </w:r>
            <w:r>
              <w:rPr>
                <w:rFonts w:ascii="黑体" w:hAnsi="黑体"/>
                <w:snapToGrid w:val="0"/>
                <w:color w:val="000000" w:themeColor="text1"/>
                <w:spacing w:val="-6"/>
                <w:kern w:val="21"/>
                <w:szCs w:val="21"/>
                <w14:textFill>
                  <w14:solidFill>
                    <w14:schemeClr w14:val="tx1"/>
                  </w14:solidFill>
                </w14:textFill>
              </w:rPr>
              <w:instrText xml:space="preserve"> = 2 \* GB3 \* MERGEFORMAT </w:instrText>
            </w:r>
            <w:r>
              <w:rPr>
                <w:rFonts w:ascii="黑体" w:hAnsi="黑体"/>
                <w:snapToGrid w:val="0"/>
                <w:color w:val="000000" w:themeColor="text1"/>
                <w:spacing w:val="-6"/>
                <w:kern w:val="21"/>
                <w:szCs w:val="21"/>
                <w14:textFill>
                  <w14:solidFill>
                    <w14:schemeClr w14:val="tx1"/>
                  </w14:solidFill>
                </w14:textFill>
              </w:rPr>
              <w:fldChar w:fldCharType="separate"/>
            </w:r>
            <w:r>
              <w:rPr>
                <w:rFonts w:hint="eastAsia" w:ascii="黑体" w:hAnsi="黑体" w:cs="宋体"/>
                <w:snapToGrid w:val="0"/>
                <w:color w:val="000000" w:themeColor="text1"/>
                <w:spacing w:val="-6"/>
                <w:kern w:val="21"/>
                <w:szCs w:val="21"/>
                <w14:textFill>
                  <w14:solidFill>
                    <w14:schemeClr w14:val="tx1"/>
                  </w14:solidFill>
                </w14:textFill>
              </w:rPr>
              <w:t>②</w:t>
            </w:r>
            <w:r>
              <w:rPr>
                <w:rFonts w:ascii="黑体" w:hAnsi="黑体"/>
                <w:snapToGrid w:val="0"/>
                <w:color w:val="000000" w:themeColor="text1"/>
                <w:spacing w:val="-6"/>
                <w:kern w:val="21"/>
                <w:szCs w:val="21"/>
                <w14:textFill>
                  <w14:solidFill>
                    <w14:schemeClr w14:val="tx1"/>
                  </w14:solidFill>
                </w14:textFill>
              </w:rPr>
              <w:fldChar w:fldCharType="end"/>
            </w:r>
          </w:p>
        </w:tc>
        <w:tc>
          <w:tcPr>
            <w:tcW w:w="1701" w:type="dxa"/>
            <w:tcMar>
              <w:left w:w="28" w:type="dxa"/>
              <w:right w:w="28" w:type="dxa"/>
            </w:tcMar>
            <w:vAlign w:val="center"/>
          </w:tcPr>
          <w:p>
            <w:pPr>
              <w:pStyle w:val="70"/>
              <w:spacing w:line="240" w:lineRule="auto"/>
              <w:rPr>
                <w:rFonts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在建工程</w:t>
            </w:r>
          </w:p>
          <w:p>
            <w:pPr>
              <w:pStyle w:val="70"/>
              <w:spacing w:line="240" w:lineRule="auto"/>
              <w:rPr>
                <w:rFonts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排放量（固</w:t>
            </w:r>
            <w:r>
              <w:rPr>
                <w:rFonts w:hint="eastAsia" w:ascii="黑体" w:hAnsi="黑体"/>
                <w:snapToGrid w:val="0"/>
                <w:color w:val="000000" w:themeColor="text1"/>
                <w:spacing w:val="-6"/>
                <w:kern w:val="21"/>
                <w:szCs w:val="21"/>
                <w14:textFill>
                  <w14:solidFill>
                    <w14:schemeClr w14:val="tx1"/>
                  </w14:solidFill>
                </w14:textFill>
              </w:rPr>
              <w:t>体</w:t>
            </w:r>
            <w:r>
              <w:rPr>
                <w:rFonts w:ascii="黑体" w:hAnsi="黑体"/>
                <w:snapToGrid w:val="0"/>
                <w:color w:val="000000" w:themeColor="text1"/>
                <w:spacing w:val="-6"/>
                <w:kern w:val="21"/>
                <w:szCs w:val="21"/>
                <w14:textFill>
                  <w14:solidFill>
                    <w14:schemeClr w14:val="tx1"/>
                  </w14:solidFill>
                </w14:textFill>
              </w:rPr>
              <w:t>废</w:t>
            </w:r>
            <w:r>
              <w:rPr>
                <w:rFonts w:hint="eastAsia" w:ascii="黑体" w:hAnsi="黑体"/>
                <w:snapToGrid w:val="0"/>
                <w:color w:val="000000" w:themeColor="text1"/>
                <w:spacing w:val="-6"/>
                <w:kern w:val="21"/>
                <w:szCs w:val="21"/>
                <w14:textFill>
                  <w14:solidFill>
                    <w14:schemeClr w14:val="tx1"/>
                  </w14:solidFill>
                </w14:textFill>
              </w:rPr>
              <w:t>物</w:t>
            </w:r>
            <w:r>
              <w:rPr>
                <w:rFonts w:ascii="黑体" w:hAnsi="黑体"/>
                <w:snapToGrid w:val="0"/>
                <w:color w:val="000000" w:themeColor="text1"/>
                <w:spacing w:val="-6"/>
                <w:kern w:val="21"/>
                <w:szCs w:val="21"/>
                <w14:textFill>
                  <w14:solidFill>
                    <w14:schemeClr w14:val="tx1"/>
                  </w14:solidFill>
                </w14:textFill>
              </w:rPr>
              <w:t>产生量）</w:t>
            </w:r>
            <w:r>
              <w:rPr>
                <w:rFonts w:ascii="黑体" w:hAnsi="黑体"/>
                <w:snapToGrid w:val="0"/>
                <w:color w:val="000000" w:themeColor="text1"/>
                <w:spacing w:val="-6"/>
                <w:kern w:val="21"/>
                <w:szCs w:val="21"/>
                <w14:textFill>
                  <w14:solidFill>
                    <w14:schemeClr w14:val="tx1"/>
                  </w14:solidFill>
                </w14:textFill>
              </w:rPr>
              <w:fldChar w:fldCharType="begin"/>
            </w:r>
            <w:r>
              <w:rPr>
                <w:rFonts w:ascii="黑体" w:hAnsi="黑体"/>
                <w:snapToGrid w:val="0"/>
                <w:color w:val="000000" w:themeColor="text1"/>
                <w:spacing w:val="-6"/>
                <w:kern w:val="21"/>
                <w:szCs w:val="21"/>
                <w14:textFill>
                  <w14:solidFill>
                    <w14:schemeClr w14:val="tx1"/>
                  </w14:solidFill>
                </w14:textFill>
              </w:rPr>
              <w:instrText xml:space="preserve"> = 3 \* GB3 \* MERGEFORMAT </w:instrText>
            </w:r>
            <w:r>
              <w:rPr>
                <w:rFonts w:ascii="黑体" w:hAnsi="黑体"/>
                <w:snapToGrid w:val="0"/>
                <w:color w:val="000000" w:themeColor="text1"/>
                <w:spacing w:val="-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③</w:t>
            </w:r>
            <w:r>
              <w:rPr>
                <w:rFonts w:ascii="黑体" w:hAnsi="黑体"/>
                <w:snapToGrid w:val="0"/>
                <w:color w:val="000000" w:themeColor="text1"/>
                <w:spacing w:val="-6"/>
                <w:kern w:val="21"/>
                <w:szCs w:val="21"/>
                <w14:textFill>
                  <w14:solidFill>
                    <w14:schemeClr w14:val="tx1"/>
                  </w14:solidFill>
                </w14:textFill>
              </w:rPr>
              <w:fldChar w:fldCharType="end"/>
            </w:r>
          </w:p>
        </w:tc>
        <w:tc>
          <w:tcPr>
            <w:tcW w:w="1559" w:type="dxa"/>
            <w:tcMar>
              <w:left w:w="28" w:type="dxa"/>
              <w:right w:w="28" w:type="dxa"/>
            </w:tcMar>
            <w:vAlign w:val="center"/>
          </w:tcPr>
          <w:p>
            <w:pPr>
              <w:pStyle w:val="70"/>
              <w:spacing w:line="240" w:lineRule="auto"/>
              <w:rPr>
                <w:rFonts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本项目</w:t>
            </w:r>
          </w:p>
          <w:p>
            <w:pPr>
              <w:pStyle w:val="70"/>
              <w:spacing w:line="240" w:lineRule="auto"/>
              <w:rPr>
                <w:rFonts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排放量（固</w:t>
            </w:r>
            <w:r>
              <w:rPr>
                <w:rFonts w:hint="eastAsia" w:ascii="黑体" w:hAnsi="黑体"/>
                <w:snapToGrid w:val="0"/>
                <w:color w:val="000000" w:themeColor="text1"/>
                <w:spacing w:val="-6"/>
                <w:kern w:val="21"/>
                <w:szCs w:val="21"/>
                <w14:textFill>
                  <w14:solidFill>
                    <w14:schemeClr w14:val="tx1"/>
                  </w14:solidFill>
                </w14:textFill>
              </w:rPr>
              <w:t>体</w:t>
            </w:r>
            <w:r>
              <w:rPr>
                <w:rFonts w:ascii="黑体" w:hAnsi="黑体"/>
                <w:snapToGrid w:val="0"/>
                <w:color w:val="000000" w:themeColor="text1"/>
                <w:spacing w:val="-6"/>
                <w:kern w:val="21"/>
                <w:szCs w:val="21"/>
                <w14:textFill>
                  <w14:solidFill>
                    <w14:schemeClr w14:val="tx1"/>
                  </w14:solidFill>
                </w14:textFill>
              </w:rPr>
              <w:t>废</w:t>
            </w:r>
            <w:r>
              <w:rPr>
                <w:rFonts w:hint="eastAsia" w:ascii="黑体" w:hAnsi="黑体"/>
                <w:snapToGrid w:val="0"/>
                <w:color w:val="000000" w:themeColor="text1"/>
                <w:spacing w:val="-6"/>
                <w:kern w:val="21"/>
                <w:szCs w:val="21"/>
                <w14:textFill>
                  <w14:solidFill>
                    <w14:schemeClr w14:val="tx1"/>
                  </w14:solidFill>
                </w14:textFill>
              </w:rPr>
              <w:t>物</w:t>
            </w:r>
            <w:r>
              <w:rPr>
                <w:rFonts w:ascii="黑体" w:hAnsi="黑体"/>
                <w:snapToGrid w:val="0"/>
                <w:color w:val="000000" w:themeColor="text1"/>
                <w:spacing w:val="-6"/>
                <w:kern w:val="21"/>
                <w:szCs w:val="21"/>
                <w14:textFill>
                  <w14:solidFill>
                    <w14:schemeClr w14:val="tx1"/>
                  </w14:solidFill>
                </w14:textFill>
              </w:rPr>
              <w:t>产生量）</w:t>
            </w:r>
            <w:r>
              <w:rPr>
                <w:rFonts w:ascii="黑体" w:hAnsi="黑体"/>
                <w:snapToGrid w:val="0"/>
                <w:color w:val="000000" w:themeColor="text1"/>
                <w:spacing w:val="-6"/>
                <w:kern w:val="21"/>
                <w:szCs w:val="21"/>
                <w14:textFill>
                  <w14:solidFill>
                    <w14:schemeClr w14:val="tx1"/>
                  </w14:solidFill>
                </w14:textFill>
              </w:rPr>
              <w:fldChar w:fldCharType="begin"/>
            </w:r>
            <w:r>
              <w:rPr>
                <w:rFonts w:ascii="黑体" w:hAnsi="黑体"/>
                <w:snapToGrid w:val="0"/>
                <w:color w:val="000000" w:themeColor="text1"/>
                <w:spacing w:val="-6"/>
                <w:kern w:val="21"/>
                <w:szCs w:val="21"/>
                <w14:textFill>
                  <w14:solidFill>
                    <w14:schemeClr w14:val="tx1"/>
                  </w14:solidFill>
                </w14:textFill>
              </w:rPr>
              <w:instrText xml:space="preserve"> = 4 \* GB3 \* MERGEFORMAT </w:instrText>
            </w:r>
            <w:r>
              <w:rPr>
                <w:rFonts w:ascii="黑体" w:hAnsi="黑体"/>
                <w:snapToGrid w:val="0"/>
                <w:color w:val="000000" w:themeColor="text1"/>
                <w:spacing w:val="-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④</w:t>
            </w:r>
            <w:r>
              <w:rPr>
                <w:rFonts w:ascii="黑体" w:hAnsi="黑体"/>
                <w:snapToGrid w:val="0"/>
                <w:color w:val="000000" w:themeColor="text1"/>
                <w:spacing w:val="-6"/>
                <w:kern w:val="21"/>
                <w:szCs w:val="21"/>
                <w14:textFill>
                  <w14:solidFill>
                    <w14:schemeClr w14:val="tx1"/>
                  </w14:solidFill>
                </w14:textFill>
              </w:rPr>
              <w:fldChar w:fldCharType="end"/>
            </w:r>
          </w:p>
        </w:tc>
        <w:tc>
          <w:tcPr>
            <w:tcW w:w="1761" w:type="dxa"/>
            <w:tcMar>
              <w:left w:w="28" w:type="dxa"/>
              <w:right w:w="28" w:type="dxa"/>
            </w:tcMar>
            <w:vAlign w:val="center"/>
          </w:tcPr>
          <w:p>
            <w:pPr>
              <w:pStyle w:val="70"/>
              <w:spacing w:line="240" w:lineRule="auto"/>
              <w:rPr>
                <w:rFonts w:ascii="黑体" w:hAnsi="黑体"/>
                <w:snapToGrid w:val="0"/>
                <w:color w:val="000000" w:themeColor="text1"/>
                <w:spacing w:val="-16"/>
                <w:kern w:val="21"/>
                <w:szCs w:val="21"/>
                <w14:textFill>
                  <w14:solidFill>
                    <w14:schemeClr w14:val="tx1"/>
                  </w14:solidFill>
                </w14:textFill>
              </w:rPr>
            </w:pPr>
            <w:r>
              <w:rPr>
                <w:rFonts w:ascii="黑体" w:hAnsi="黑体"/>
                <w:snapToGrid w:val="0"/>
                <w:color w:val="000000" w:themeColor="text1"/>
                <w:spacing w:val="-16"/>
                <w:kern w:val="21"/>
                <w:szCs w:val="21"/>
                <w14:textFill>
                  <w14:solidFill>
                    <w14:schemeClr w14:val="tx1"/>
                  </w14:solidFill>
                </w14:textFill>
              </w:rPr>
              <w:t>以新带老削减量</w:t>
            </w:r>
          </w:p>
          <w:p>
            <w:pPr>
              <w:pStyle w:val="70"/>
              <w:spacing w:line="240" w:lineRule="auto"/>
              <w:rPr>
                <w:rFonts w:ascii="黑体" w:hAnsi="黑体"/>
                <w:snapToGrid w:val="0"/>
                <w:color w:val="000000" w:themeColor="text1"/>
                <w:spacing w:val="-16"/>
                <w:kern w:val="21"/>
                <w:szCs w:val="21"/>
                <w14:textFill>
                  <w14:solidFill>
                    <w14:schemeClr w14:val="tx1"/>
                  </w14:solidFill>
                </w14:textFill>
              </w:rPr>
            </w:pPr>
            <w:r>
              <w:rPr>
                <w:rFonts w:ascii="黑体" w:hAnsi="黑体"/>
                <w:snapToGrid w:val="0"/>
                <w:color w:val="000000" w:themeColor="text1"/>
                <w:spacing w:val="-16"/>
                <w:kern w:val="21"/>
                <w:szCs w:val="21"/>
                <w14:textFill>
                  <w14:solidFill>
                    <w14:schemeClr w14:val="tx1"/>
                  </w14:solidFill>
                </w14:textFill>
              </w:rPr>
              <w:t>（新建项目不填）</w:t>
            </w:r>
            <w:r>
              <w:rPr>
                <w:rFonts w:ascii="黑体" w:hAnsi="黑体"/>
                <w:snapToGrid w:val="0"/>
                <w:color w:val="000000" w:themeColor="text1"/>
                <w:spacing w:val="-16"/>
                <w:kern w:val="21"/>
                <w:szCs w:val="21"/>
                <w14:textFill>
                  <w14:solidFill>
                    <w14:schemeClr w14:val="tx1"/>
                  </w14:solidFill>
                </w14:textFill>
              </w:rPr>
              <w:fldChar w:fldCharType="begin"/>
            </w:r>
            <w:r>
              <w:rPr>
                <w:rFonts w:ascii="黑体" w:hAnsi="黑体"/>
                <w:snapToGrid w:val="0"/>
                <w:color w:val="000000" w:themeColor="text1"/>
                <w:spacing w:val="-16"/>
                <w:kern w:val="21"/>
                <w:szCs w:val="21"/>
                <w14:textFill>
                  <w14:solidFill>
                    <w14:schemeClr w14:val="tx1"/>
                  </w14:solidFill>
                </w14:textFill>
              </w:rPr>
              <w:instrText xml:space="preserve"> = 5 \* GB3 \* MERGEFORMAT </w:instrText>
            </w:r>
            <w:r>
              <w:rPr>
                <w:rFonts w:ascii="黑体" w:hAnsi="黑体"/>
                <w:snapToGrid w:val="0"/>
                <w:color w:val="000000" w:themeColor="text1"/>
                <w:spacing w:val="-1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⑤</w:t>
            </w:r>
            <w:r>
              <w:rPr>
                <w:rFonts w:ascii="黑体" w:hAnsi="黑体"/>
                <w:snapToGrid w:val="0"/>
                <w:color w:val="000000" w:themeColor="text1"/>
                <w:spacing w:val="-16"/>
                <w:kern w:val="21"/>
                <w:szCs w:val="21"/>
                <w14:textFill>
                  <w14:solidFill>
                    <w14:schemeClr w14:val="tx1"/>
                  </w14:solidFill>
                </w14:textFill>
              </w:rPr>
              <w:fldChar w:fldCharType="end"/>
            </w:r>
          </w:p>
        </w:tc>
        <w:tc>
          <w:tcPr>
            <w:tcW w:w="1565" w:type="dxa"/>
            <w:tcMar>
              <w:left w:w="28" w:type="dxa"/>
              <w:right w:w="28" w:type="dxa"/>
            </w:tcMar>
            <w:vAlign w:val="center"/>
          </w:tcPr>
          <w:p>
            <w:pPr>
              <w:pStyle w:val="70"/>
              <w:spacing w:line="240" w:lineRule="auto"/>
              <w:rPr>
                <w:rFonts w:ascii="黑体" w:hAnsi="黑体"/>
                <w:snapToGrid w:val="0"/>
                <w:color w:val="000000" w:themeColor="text1"/>
                <w:spacing w:val="-16"/>
                <w:kern w:val="21"/>
                <w:szCs w:val="21"/>
                <w14:textFill>
                  <w14:solidFill>
                    <w14:schemeClr w14:val="tx1"/>
                  </w14:solidFill>
                </w14:textFill>
              </w:rPr>
            </w:pPr>
            <w:r>
              <w:rPr>
                <w:rFonts w:ascii="黑体" w:hAnsi="黑体"/>
                <w:snapToGrid w:val="0"/>
                <w:color w:val="000000" w:themeColor="text1"/>
                <w:spacing w:val="-16"/>
                <w:kern w:val="21"/>
                <w:szCs w:val="21"/>
                <w14:textFill>
                  <w14:solidFill>
                    <w14:schemeClr w14:val="tx1"/>
                  </w14:solidFill>
                </w14:textFill>
              </w:rPr>
              <w:t>本项目建成后</w:t>
            </w:r>
          </w:p>
          <w:p>
            <w:pPr>
              <w:pStyle w:val="70"/>
              <w:spacing w:line="240" w:lineRule="auto"/>
              <w:rPr>
                <w:rFonts w:ascii="黑体" w:hAnsi="黑体"/>
                <w:snapToGrid w:val="0"/>
                <w:color w:val="000000" w:themeColor="text1"/>
                <w:spacing w:val="-16"/>
                <w:kern w:val="21"/>
                <w:szCs w:val="21"/>
                <w14:textFill>
                  <w14:solidFill>
                    <w14:schemeClr w14:val="tx1"/>
                  </w14:solidFill>
                </w14:textFill>
              </w:rPr>
            </w:pPr>
            <w:r>
              <w:rPr>
                <w:rFonts w:hint="eastAsia" w:ascii="黑体" w:hAnsi="黑体"/>
                <w:snapToGrid w:val="0"/>
                <w:color w:val="000000" w:themeColor="text1"/>
                <w:spacing w:val="-16"/>
                <w:kern w:val="21"/>
                <w:szCs w:val="21"/>
                <w14:textFill>
                  <w14:solidFill>
                    <w14:schemeClr w14:val="tx1"/>
                  </w14:solidFill>
                </w14:textFill>
              </w:rPr>
              <w:t>全厂</w:t>
            </w:r>
            <w:r>
              <w:rPr>
                <w:rFonts w:ascii="黑体" w:hAnsi="黑体"/>
                <w:snapToGrid w:val="0"/>
                <w:color w:val="000000" w:themeColor="text1"/>
                <w:spacing w:val="-16"/>
                <w:kern w:val="21"/>
                <w:szCs w:val="21"/>
                <w14:textFill>
                  <w14:solidFill>
                    <w14:schemeClr w14:val="tx1"/>
                  </w14:solidFill>
                </w14:textFill>
              </w:rPr>
              <w:t>排放量（固</w:t>
            </w:r>
            <w:r>
              <w:rPr>
                <w:rFonts w:hint="eastAsia" w:ascii="黑体" w:hAnsi="黑体"/>
                <w:snapToGrid w:val="0"/>
                <w:color w:val="000000" w:themeColor="text1"/>
                <w:spacing w:val="-16"/>
                <w:kern w:val="21"/>
                <w:szCs w:val="21"/>
                <w14:textFill>
                  <w14:solidFill>
                    <w14:schemeClr w14:val="tx1"/>
                  </w14:solidFill>
                </w14:textFill>
              </w:rPr>
              <w:t>体</w:t>
            </w:r>
            <w:r>
              <w:rPr>
                <w:rFonts w:ascii="黑体" w:hAnsi="黑体"/>
                <w:snapToGrid w:val="0"/>
                <w:color w:val="000000" w:themeColor="text1"/>
                <w:spacing w:val="-16"/>
                <w:kern w:val="21"/>
                <w:szCs w:val="21"/>
                <w14:textFill>
                  <w14:solidFill>
                    <w14:schemeClr w14:val="tx1"/>
                  </w14:solidFill>
                </w14:textFill>
              </w:rPr>
              <w:t>废</w:t>
            </w:r>
            <w:r>
              <w:rPr>
                <w:rFonts w:hint="eastAsia" w:ascii="黑体" w:hAnsi="黑体"/>
                <w:snapToGrid w:val="0"/>
                <w:color w:val="000000" w:themeColor="text1"/>
                <w:spacing w:val="-16"/>
                <w:kern w:val="21"/>
                <w:szCs w:val="21"/>
                <w14:textFill>
                  <w14:solidFill>
                    <w14:schemeClr w14:val="tx1"/>
                  </w14:solidFill>
                </w14:textFill>
              </w:rPr>
              <w:t>物</w:t>
            </w:r>
            <w:r>
              <w:rPr>
                <w:rFonts w:ascii="黑体" w:hAnsi="黑体"/>
                <w:snapToGrid w:val="0"/>
                <w:color w:val="000000" w:themeColor="text1"/>
                <w:spacing w:val="-16"/>
                <w:kern w:val="21"/>
                <w:szCs w:val="21"/>
                <w14:textFill>
                  <w14:solidFill>
                    <w14:schemeClr w14:val="tx1"/>
                  </w14:solidFill>
                </w14:textFill>
              </w:rPr>
              <w:t>产生量）</w:t>
            </w:r>
            <w:r>
              <w:rPr>
                <w:rFonts w:ascii="黑体" w:hAnsi="黑体"/>
                <w:snapToGrid w:val="0"/>
                <w:color w:val="000000" w:themeColor="text1"/>
                <w:spacing w:val="-16"/>
                <w:kern w:val="21"/>
                <w:szCs w:val="21"/>
                <w14:textFill>
                  <w14:solidFill>
                    <w14:schemeClr w14:val="tx1"/>
                  </w14:solidFill>
                </w14:textFill>
              </w:rPr>
              <w:fldChar w:fldCharType="begin"/>
            </w:r>
            <w:r>
              <w:rPr>
                <w:rFonts w:ascii="黑体" w:hAnsi="黑体"/>
                <w:snapToGrid w:val="0"/>
                <w:color w:val="000000" w:themeColor="text1"/>
                <w:spacing w:val="-16"/>
                <w:kern w:val="21"/>
                <w:szCs w:val="21"/>
                <w14:textFill>
                  <w14:solidFill>
                    <w14:schemeClr w14:val="tx1"/>
                  </w14:solidFill>
                </w14:textFill>
              </w:rPr>
              <w:instrText xml:space="preserve"> = 6 \* GB3 \* MERGEFORMAT </w:instrText>
            </w:r>
            <w:r>
              <w:rPr>
                <w:rFonts w:ascii="黑体" w:hAnsi="黑体"/>
                <w:snapToGrid w:val="0"/>
                <w:color w:val="000000" w:themeColor="text1"/>
                <w:spacing w:val="-1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⑥</w:t>
            </w:r>
            <w:r>
              <w:rPr>
                <w:rFonts w:ascii="黑体" w:hAnsi="黑体"/>
                <w:snapToGrid w:val="0"/>
                <w:color w:val="000000" w:themeColor="text1"/>
                <w:spacing w:val="-16"/>
                <w:kern w:val="21"/>
                <w:szCs w:val="21"/>
                <w14:textFill>
                  <w14:solidFill>
                    <w14:schemeClr w14:val="tx1"/>
                  </w14:solidFill>
                </w14:textFill>
              </w:rPr>
              <w:fldChar w:fldCharType="end"/>
            </w:r>
          </w:p>
        </w:tc>
        <w:tc>
          <w:tcPr>
            <w:tcW w:w="1220" w:type="dxa"/>
            <w:tcMar>
              <w:left w:w="28" w:type="dxa"/>
              <w:right w:w="28" w:type="dxa"/>
            </w:tcMar>
            <w:vAlign w:val="center"/>
          </w:tcPr>
          <w:p>
            <w:pPr>
              <w:pStyle w:val="70"/>
              <w:spacing w:line="240" w:lineRule="auto"/>
              <w:rPr>
                <w:rFonts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t>变化量</w:t>
            </w:r>
          </w:p>
          <w:p>
            <w:pPr>
              <w:pStyle w:val="70"/>
              <w:spacing w:line="240" w:lineRule="auto"/>
              <w:rPr>
                <w:rFonts w:ascii="黑体" w:hAnsi="黑体"/>
                <w:snapToGrid w:val="0"/>
                <w:color w:val="000000" w:themeColor="text1"/>
                <w:spacing w:val="-6"/>
                <w:kern w:val="21"/>
                <w:szCs w:val="21"/>
                <w14:textFill>
                  <w14:solidFill>
                    <w14:schemeClr w14:val="tx1"/>
                  </w14:solidFill>
                </w14:textFill>
              </w:rPr>
            </w:pPr>
            <w:r>
              <w:rPr>
                <w:rFonts w:ascii="黑体" w:hAnsi="黑体"/>
                <w:snapToGrid w:val="0"/>
                <w:color w:val="000000" w:themeColor="text1"/>
                <w:spacing w:val="-6"/>
                <w:kern w:val="21"/>
                <w:szCs w:val="21"/>
                <w14:textFill>
                  <w14:solidFill>
                    <w14:schemeClr w14:val="tx1"/>
                  </w14:solidFill>
                </w14:textFill>
              </w:rPr>
              <w:fldChar w:fldCharType="begin"/>
            </w:r>
            <w:r>
              <w:rPr>
                <w:rFonts w:ascii="黑体" w:hAnsi="黑体"/>
                <w:snapToGrid w:val="0"/>
                <w:color w:val="000000" w:themeColor="text1"/>
                <w:spacing w:val="-6"/>
                <w:kern w:val="21"/>
                <w:szCs w:val="21"/>
                <w14:textFill>
                  <w14:solidFill>
                    <w14:schemeClr w14:val="tx1"/>
                  </w14:solidFill>
                </w14:textFill>
              </w:rPr>
              <w:instrText xml:space="preserve"> = 7 \* GB3 \* MERGEFORMAT </w:instrText>
            </w:r>
            <w:r>
              <w:rPr>
                <w:rFonts w:ascii="黑体" w:hAnsi="黑体"/>
                <w:snapToGrid w:val="0"/>
                <w:color w:val="000000" w:themeColor="text1"/>
                <w:spacing w:val="-6"/>
                <w:kern w:val="21"/>
                <w:szCs w:val="21"/>
                <w14:textFill>
                  <w14:solidFill>
                    <w14:schemeClr w14:val="tx1"/>
                  </w14:solidFill>
                </w14:textFill>
              </w:rPr>
              <w:fldChar w:fldCharType="separate"/>
            </w:r>
            <w:r>
              <w:rPr>
                <w:rFonts w:hint="eastAsia" w:ascii="黑体" w:hAnsi="黑体" w:cs="宋体"/>
                <w:color w:val="000000" w:themeColor="text1"/>
                <w:szCs w:val="21"/>
                <w14:textFill>
                  <w14:solidFill>
                    <w14:schemeClr w14:val="tx1"/>
                  </w14:solidFill>
                </w14:textFill>
              </w:rPr>
              <w:t>⑦</w:t>
            </w:r>
            <w:r>
              <w:rPr>
                <w:rFonts w:ascii="黑体" w:hAnsi="黑体"/>
                <w:snapToGrid w:val="0"/>
                <w:color w:val="000000" w:themeColor="text1"/>
                <w:spacing w:val="-6"/>
                <w:kern w:val="21"/>
                <w:szCs w:val="21"/>
                <w14:textFill>
                  <w14:solidFill>
                    <w14:schemeClr w14:val="tx1"/>
                  </w14:solidFill>
                </w14:textFill>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restart"/>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废气</w:t>
            </w: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eastAsia="宋体"/>
                <w:snapToGrid w:val="0"/>
                <w:color w:val="000000" w:themeColor="text1"/>
                <w:kern w:val="21"/>
                <w:szCs w:val="21"/>
                <w14:textFill>
                  <w14:solidFill>
                    <w14:schemeClr w14:val="tx1"/>
                  </w14:solidFill>
                </w14:textFill>
              </w:rPr>
              <w:t>废气量（万m</w:t>
            </w:r>
            <w:r>
              <w:rPr>
                <w:rFonts w:eastAsia="宋体"/>
                <w:snapToGrid w:val="0"/>
                <w:color w:val="000000" w:themeColor="text1"/>
                <w:kern w:val="21"/>
                <w:szCs w:val="21"/>
                <w:vertAlign w:val="superscript"/>
                <w14:textFill>
                  <w14:solidFill>
                    <w14:schemeClr w14:val="tx1"/>
                  </w14:solidFill>
                </w14:textFill>
              </w:rPr>
              <w:t>3</w:t>
            </w:r>
            <w:r>
              <w:rPr>
                <w:rFonts w:eastAsia="宋体"/>
                <w:snapToGrid w:val="0"/>
                <w:color w:val="000000" w:themeColor="text1"/>
                <w:kern w:val="21"/>
                <w:szCs w:val="21"/>
                <w14:textFill>
                  <w14:solidFill>
                    <w14:schemeClr w14:val="tx1"/>
                  </w14:solidFill>
                </w14:textFill>
              </w:rPr>
              <w:t>/a）</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7200</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7200</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w:t>
            </w:r>
            <w:r>
              <w:rPr>
                <w:rFonts w:hAnsi="宋体" w:cs="宋体"/>
                <w:snapToGrid w:val="0"/>
                <w:color w:val="000000" w:themeColor="text1"/>
                <w:kern w:val="21"/>
                <w:szCs w:val="21"/>
                <w14:textFill>
                  <w14:solidFill>
                    <w14:schemeClr w14:val="tx1"/>
                  </w14:solidFill>
                </w14:textFill>
              </w:rPr>
              <w:t>7200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eastAsia="宋体"/>
                <w:snapToGrid w:val="0"/>
                <w:color w:val="000000" w:themeColor="text1"/>
                <w:kern w:val="21"/>
                <w:szCs w:val="21"/>
                <w14:textFill>
                  <w14:solidFill>
                    <w14:schemeClr w14:val="tx1"/>
                  </w14:solidFill>
                </w14:textFill>
              </w:rPr>
              <w:t>颗粒物</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1. 3952</w:t>
            </w:r>
            <w:r>
              <w:rPr>
                <w:rFonts w:hint="eastAsia" w:hAnsi="宋体" w:cs="宋体"/>
                <w:snapToGrid w:val="0"/>
                <w:color w:val="000000" w:themeColor="text1"/>
                <w:kern w:val="21"/>
                <w:szCs w:val="21"/>
                <w14:textFill>
                  <w14:solidFill>
                    <w14:schemeClr w14:val="tx1"/>
                  </w14:solidFill>
                </w14:textFill>
              </w:rPr>
              <w:t>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1.3952</w:t>
            </w:r>
            <w:r>
              <w:rPr>
                <w:rFonts w:hint="eastAsia" w:hAnsi="宋体" w:cs="宋体"/>
                <w:snapToGrid w:val="0"/>
                <w:color w:val="000000" w:themeColor="text1"/>
                <w:kern w:val="21"/>
                <w:szCs w:val="21"/>
                <w14:textFill>
                  <w14:solidFill>
                    <w14:schemeClr w14:val="tx1"/>
                  </w14:solidFill>
                </w14:textFill>
              </w:rPr>
              <w: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+1.3952</w:t>
            </w:r>
            <w:r>
              <w:rPr>
                <w:rFonts w:hint="eastAsia" w:hAnsi="宋体" w:cs="宋体"/>
                <w:snapToGrid w:val="0"/>
                <w:color w:val="000000" w:themeColor="text1"/>
                <w:kern w:val="2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总VOC</w:t>
            </w:r>
            <w:r>
              <w:rPr>
                <w:rFonts w:eastAsia="宋体"/>
                <w:snapToGrid w:val="0"/>
                <w:color w:val="000000" w:themeColor="text1"/>
                <w:kern w:val="21"/>
                <w:szCs w:val="21"/>
                <w14:textFill>
                  <w14:solidFill>
                    <w14:schemeClr w14:val="tx1"/>
                  </w14:solidFill>
                </w14:textFill>
              </w:rPr>
              <w:t>s</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0.2926</w:t>
            </w:r>
            <w:r>
              <w:rPr>
                <w:rFonts w:hint="eastAsia" w:hAnsi="宋体" w:cs="宋体"/>
                <w:snapToGrid w:val="0"/>
                <w:color w:val="000000" w:themeColor="text1"/>
                <w:kern w:val="21"/>
                <w:szCs w:val="21"/>
                <w14:textFill>
                  <w14:solidFill>
                    <w14:schemeClr w14:val="tx1"/>
                  </w14:solidFill>
                </w14:textFill>
              </w:rPr>
              <w:t>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0.2926</w:t>
            </w:r>
            <w:r>
              <w:rPr>
                <w:rFonts w:hint="eastAsia" w:hAnsi="宋体" w:cs="宋体"/>
                <w:snapToGrid w:val="0"/>
                <w:color w:val="000000" w:themeColor="text1"/>
                <w:kern w:val="21"/>
                <w:szCs w:val="21"/>
                <w14:textFill>
                  <w14:solidFill>
                    <w14:schemeClr w14:val="tx1"/>
                  </w14:solidFill>
                </w14:textFill>
              </w:rPr>
              <w:t>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+0.2926</w:t>
            </w:r>
            <w:r>
              <w:rPr>
                <w:rFonts w:hint="eastAsia" w:hAnsi="宋体" w:cs="宋体"/>
                <w:snapToGrid w:val="0"/>
                <w:color w:val="000000" w:themeColor="text1"/>
                <w:kern w:val="2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restart"/>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废水</w:t>
            </w: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eastAsia="宋体"/>
                <w:snapToGrid w:val="0"/>
                <w:color w:val="000000" w:themeColor="text1"/>
                <w:kern w:val="21"/>
                <w:szCs w:val="21"/>
                <w14:textFill>
                  <w14:solidFill>
                    <w14:schemeClr w14:val="tx1"/>
                  </w14:solidFill>
                </w14:textFill>
              </w:rPr>
              <w:t>废水量</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1728</w:t>
            </w:r>
            <w:r>
              <w:rPr>
                <w:rFonts w:hint="eastAsia" w:hAnsi="宋体" w:cs="宋体"/>
                <w:snapToGrid w:val="0"/>
                <w:color w:val="000000" w:themeColor="text1"/>
                <w:kern w:val="21"/>
                <w:szCs w:val="21"/>
                <w14:textFill>
                  <w14:solidFill>
                    <w14:schemeClr w14:val="tx1"/>
                  </w14:solidFill>
                </w14:textFill>
              </w:rPr>
              <w:t>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1728</w:t>
            </w:r>
            <w:r>
              <w:rPr>
                <w:rFonts w:hint="eastAsia" w:hAnsi="宋体" w:cs="宋体"/>
                <w:snapToGrid w:val="0"/>
                <w:color w:val="000000" w:themeColor="text1"/>
                <w:kern w:val="21"/>
                <w:szCs w:val="21"/>
                <w14:textFill>
                  <w14:solidFill>
                    <w14:schemeClr w14:val="tx1"/>
                  </w14:solidFill>
                </w14:textFill>
              </w:rPr>
              <w:t>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+1728</w:t>
            </w:r>
            <w:r>
              <w:rPr>
                <w:rFonts w:hint="eastAsia" w:hAnsi="宋体" w:cs="宋体"/>
                <w:snapToGrid w:val="0"/>
                <w:color w:val="000000" w:themeColor="text1"/>
                <w:kern w:val="2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eastAsia="宋体"/>
                <w:color w:val="000000" w:themeColor="text1"/>
                <w:szCs w:val="21"/>
                <w14:textFill>
                  <w14:solidFill>
                    <w14:schemeClr w14:val="tx1"/>
                  </w14:solidFill>
                </w14:textFill>
              </w:rPr>
              <w:t>COD</w:t>
            </w:r>
            <w:r>
              <w:rPr>
                <w:rFonts w:eastAsia="宋体"/>
                <w:color w:val="000000" w:themeColor="text1"/>
                <w:szCs w:val="21"/>
                <w:vertAlign w:val="subscript"/>
                <w14:textFill>
                  <w14:solidFill>
                    <w14:schemeClr w14:val="tx1"/>
                  </w14:solidFill>
                </w14:textFill>
              </w:rPr>
              <w:t>Cr</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0.0691</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0.0691</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+0.0691</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eastAsia="宋体"/>
                <w:color w:val="000000" w:themeColor="text1"/>
                <w:szCs w:val="21"/>
                <w14:textFill>
                  <w14:solidFill>
                    <w14:schemeClr w14:val="tx1"/>
                  </w14:solidFill>
                </w14:textFill>
              </w:rPr>
              <w:t>BOD</w:t>
            </w:r>
            <w:r>
              <w:rPr>
                <w:rFonts w:eastAsia="宋体"/>
                <w:color w:val="000000" w:themeColor="text1"/>
                <w:szCs w:val="21"/>
                <w:vertAlign w:val="subscript"/>
                <w14:textFill>
                  <w14:solidFill>
                    <w14:schemeClr w14:val="tx1"/>
                  </w14:solidFill>
                </w14:textFill>
              </w:rPr>
              <w:t>5</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0.0173</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0.0173</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+0.0173</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eastAsia="宋体"/>
                <w:color w:val="000000" w:themeColor="text1"/>
                <w:szCs w:val="21"/>
                <w14:textFill>
                  <w14:solidFill>
                    <w14:schemeClr w14:val="tx1"/>
                  </w14:solidFill>
                </w14:textFill>
              </w:rPr>
              <w:t>SS</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0.0173</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0.0173</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+0.0173</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eastAsia="宋体"/>
                <w:color w:val="000000" w:themeColor="text1"/>
                <w:szCs w:val="21"/>
                <w14:textFill>
                  <w14:solidFill>
                    <w14:schemeClr w14:val="tx1"/>
                  </w14:solidFill>
                </w14:textFill>
              </w:rPr>
              <w:t>NH</w:t>
            </w:r>
            <w:r>
              <w:rPr>
                <w:rFonts w:eastAsia="宋体"/>
                <w:color w:val="000000" w:themeColor="text1"/>
                <w:szCs w:val="21"/>
                <w:vertAlign w:val="subscript"/>
                <w14:textFill>
                  <w14:solidFill>
                    <w14:schemeClr w14:val="tx1"/>
                  </w14:solidFill>
                </w14:textFill>
              </w:rPr>
              <w:t>3</w:t>
            </w:r>
            <w:r>
              <w:rPr>
                <w:rFonts w:eastAsia="宋体"/>
                <w:color w:val="000000" w:themeColor="text1"/>
                <w:szCs w:val="21"/>
                <w14:textFill>
                  <w14:solidFill>
                    <w14:schemeClr w14:val="tx1"/>
                  </w14:solidFill>
                </w14:textFill>
              </w:rPr>
              <w:t>-N</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0.0035</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0.0035</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+0.0035</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总磷</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0.0007</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0.0007</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+0.0007</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动植物油</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0.0086</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0.0086</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eastAsia="等线"/>
                <w:color w:val="000000"/>
                <w:szCs w:val="21"/>
              </w:rPr>
              <w:t>+0.0086</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生活垃圾</w:t>
            </w:r>
          </w:p>
        </w:tc>
        <w:tc>
          <w:tcPr>
            <w:tcW w:w="2138" w:type="dxa"/>
            <w:vAlign w:val="center"/>
          </w:tcPr>
          <w:p>
            <w:pPr>
              <w:pStyle w:val="70"/>
              <w:spacing w:line="240" w:lineRule="auto"/>
              <w:rPr>
                <w:rFonts w:eastAsia="宋体"/>
                <w:color w:val="000000" w:themeColor="text1"/>
                <w:szCs w:val="21"/>
                <w14:textFill>
                  <w14:solidFill>
                    <w14:schemeClr w14:val="tx1"/>
                  </w14:solidFill>
                </w14:textFill>
              </w:rPr>
            </w:pPr>
            <w:r>
              <w:rPr>
                <w:rFonts w:eastAsia="宋体"/>
                <w:snapToGrid w:val="0"/>
                <w:color w:val="000000" w:themeColor="text1"/>
                <w:kern w:val="21"/>
                <w:szCs w:val="21"/>
                <w14:textFill>
                  <w14:solidFill>
                    <w14:schemeClr w14:val="tx1"/>
                  </w14:solidFill>
                </w14:textFill>
              </w:rPr>
              <w:t>生活垃圾</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6.00</w:t>
            </w:r>
            <w:r>
              <w:rPr>
                <w:rFonts w:hint="eastAsia" w:hAnsi="宋体" w:cs="宋体"/>
                <w:snapToGrid w:val="0"/>
                <w:color w:val="000000" w:themeColor="text1"/>
                <w:kern w:val="21"/>
                <w:szCs w:val="21"/>
                <w14:textFill>
                  <w14:solidFill>
                    <w14:schemeClr w14:val="tx1"/>
                  </w14:solidFill>
                </w14:textFill>
              </w:rPr>
              <w:t>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6.00</w:t>
            </w:r>
            <w:r>
              <w:rPr>
                <w:rFonts w:hint="eastAsia" w:hAnsi="宋体" w:cs="宋体"/>
                <w:snapToGrid w:val="0"/>
                <w:color w:val="000000" w:themeColor="text1"/>
                <w:kern w:val="21"/>
                <w:szCs w:val="21"/>
                <w14:textFill>
                  <w14:solidFill>
                    <w14:schemeClr w14:val="tx1"/>
                  </w14:solidFill>
                </w14:textFill>
              </w:rPr>
              <w:t>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+6.00</w:t>
            </w:r>
            <w:r>
              <w:rPr>
                <w:rFonts w:hint="eastAsia" w:hAnsi="宋体" w:cs="宋体"/>
                <w:snapToGrid w:val="0"/>
                <w:color w:val="000000" w:themeColor="text1"/>
                <w:kern w:val="2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restart"/>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一般工业</w:t>
            </w:r>
          </w:p>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固体废物</w:t>
            </w: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木材边角料</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44.66</w:t>
            </w:r>
            <w:r>
              <w:rPr>
                <w:rFonts w:hint="eastAsia" w:hAnsi="宋体" w:cs="宋体"/>
                <w:snapToGrid w:val="0"/>
                <w:color w:val="000000" w:themeColor="text1"/>
                <w:kern w:val="21"/>
                <w:szCs w:val="21"/>
                <w14:textFill>
                  <w14:solidFill>
                    <w14:schemeClr w14:val="tx1"/>
                  </w14:solidFill>
                </w14:textFill>
              </w:rPr>
              <w:t>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44.66</w:t>
            </w:r>
            <w:r>
              <w:rPr>
                <w:rFonts w:hint="eastAsia" w:hAnsi="宋体" w:cs="宋体"/>
                <w:snapToGrid w:val="0"/>
                <w:color w:val="000000" w:themeColor="text1"/>
                <w:kern w:val="21"/>
                <w:szCs w:val="21"/>
                <w14:textFill>
                  <w14:solidFill>
                    <w14:schemeClr w14:val="tx1"/>
                  </w14:solidFill>
                </w14:textFill>
              </w:rPr>
              <w:t>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+44.66</w:t>
            </w:r>
            <w:r>
              <w:rPr>
                <w:rFonts w:hint="eastAsia" w:hAnsi="宋体" w:cs="宋体"/>
                <w:snapToGrid w:val="0"/>
                <w:color w:val="000000" w:themeColor="text1"/>
                <w:kern w:val="2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金属边角料</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0.50</w:t>
            </w:r>
            <w:r>
              <w:rPr>
                <w:rFonts w:hint="eastAsia" w:hAnsi="宋体" w:cs="宋体"/>
                <w:snapToGrid w:val="0"/>
                <w:color w:val="000000" w:themeColor="text1"/>
                <w:kern w:val="21"/>
                <w:szCs w:val="21"/>
                <w14:textFill>
                  <w14:solidFill>
                    <w14:schemeClr w14:val="tx1"/>
                  </w14:solidFill>
                </w14:textFill>
              </w:rPr>
              <w:t>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0.50</w:t>
            </w:r>
            <w:r>
              <w:rPr>
                <w:rFonts w:hint="eastAsia" w:hAnsi="宋体" w:cs="宋体"/>
                <w:snapToGrid w:val="0"/>
                <w:color w:val="000000" w:themeColor="text1"/>
                <w:kern w:val="21"/>
                <w:szCs w:val="21"/>
                <w14:textFill>
                  <w14:solidFill>
                    <w14:schemeClr w14:val="tx1"/>
                  </w14:solidFill>
                </w14:textFill>
              </w:rPr>
              <w:t>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+0.50</w:t>
            </w:r>
            <w:r>
              <w:rPr>
                <w:rFonts w:hint="eastAsia" w:hAnsi="宋体" w:cs="宋体"/>
                <w:snapToGrid w:val="0"/>
                <w:color w:val="000000" w:themeColor="text1"/>
                <w:kern w:val="2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包装废物</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0.0</w:t>
            </w:r>
            <w:r>
              <w:rPr>
                <w:rFonts w:hAnsi="宋体" w:cs="宋体"/>
                <w:snapToGrid w:val="0"/>
                <w:color w:val="000000" w:themeColor="text1"/>
                <w:kern w:val="21"/>
                <w:szCs w:val="21"/>
                <w14:textFill>
                  <w14:solidFill>
                    <w14:schemeClr w14:val="tx1"/>
                  </w14:solidFill>
                </w14:textFill>
              </w:rPr>
              <w:t>2</w:t>
            </w:r>
            <w:r>
              <w:rPr>
                <w:rFonts w:hint="eastAsia" w:hAnsi="宋体" w:cs="宋体"/>
                <w:snapToGrid w:val="0"/>
                <w:color w:val="000000" w:themeColor="text1"/>
                <w:kern w:val="21"/>
                <w:szCs w:val="21"/>
                <w14:textFill>
                  <w14:solidFill>
                    <w14:schemeClr w14:val="tx1"/>
                  </w14:solidFill>
                </w14:textFill>
              </w:rPr>
              <w:t>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0.0</w:t>
            </w:r>
            <w:r>
              <w:rPr>
                <w:rFonts w:hAnsi="宋体" w:cs="宋体"/>
                <w:snapToGrid w:val="0"/>
                <w:color w:val="000000" w:themeColor="text1"/>
                <w:kern w:val="21"/>
                <w:szCs w:val="21"/>
                <w14:textFill>
                  <w14:solidFill>
                    <w14:schemeClr w14:val="tx1"/>
                  </w14:solidFill>
                </w14:textFill>
              </w:rPr>
              <w:t>2</w:t>
            </w:r>
            <w:r>
              <w:rPr>
                <w:rFonts w:hint="eastAsia" w:hAnsi="宋体" w:cs="宋体"/>
                <w:snapToGrid w:val="0"/>
                <w:color w:val="000000" w:themeColor="text1"/>
                <w:kern w:val="21"/>
                <w:szCs w:val="21"/>
                <w14:textFill>
                  <w14:solidFill>
                    <w14:schemeClr w14:val="tx1"/>
                  </w14:solidFill>
                </w14:textFill>
              </w:rPr>
              <w:t>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w:t>
            </w:r>
            <w:r>
              <w:rPr>
                <w:rFonts w:hint="eastAsia" w:hAnsi="宋体" w:cs="宋体"/>
                <w:snapToGrid w:val="0"/>
                <w:color w:val="000000" w:themeColor="text1"/>
                <w:kern w:val="21"/>
                <w:szCs w:val="21"/>
                <w14:textFill>
                  <w14:solidFill>
                    <w14:schemeClr w14:val="tx1"/>
                  </w14:solidFill>
                </w14:textFill>
              </w:rPr>
              <w:t>0.0</w:t>
            </w:r>
            <w:r>
              <w:rPr>
                <w:rFonts w:hAnsi="宋体" w:cs="宋体"/>
                <w:snapToGrid w:val="0"/>
                <w:color w:val="000000" w:themeColor="text1"/>
                <w:kern w:val="21"/>
                <w:szCs w:val="21"/>
                <w14:textFill>
                  <w14:solidFill>
                    <w14:schemeClr w14:val="tx1"/>
                  </w14:solidFill>
                </w14:textFill>
              </w:rPr>
              <w:t>2</w:t>
            </w:r>
            <w:r>
              <w:rPr>
                <w:rFonts w:hint="eastAsia" w:hAnsi="宋体" w:cs="宋体"/>
                <w:snapToGrid w:val="0"/>
                <w:color w:val="000000" w:themeColor="text1"/>
                <w:kern w:val="21"/>
                <w:szCs w:val="21"/>
                <w14:textFill>
                  <w14:solidFill>
                    <w14:schemeClr w14:val="tx1"/>
                  </w14:solidFill>
                </w14:textFill>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车间地面及布袋除尘器收集到的粉尘</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4.79</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4.79</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+4.79</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pStyle w:val="70"/>
              <w:spacing w:line="240" w:lineRule="auto"/>
              <w:rPr>
                <w:rFonts w:eastAsia="宋体"/>
                <w:snapToGrid w:val="0"/>
                <w:color w:val="000000" w:themeColor="text1"/>
                <w:kern w:val="21"/>
                <w:szCs w:val="21"/>
                <w14:textFill>
                  <w14:solidFill>
                    <w14:schemeClr w14:val="tx1"/>
                  </w14:solidFill>
                </w14:textFill>
              </w:rPr>
            </w:pPr>
            <w:r>
              <w:rPr>
                <w:rFonts w:hint="eastAsia" w:eastAsia="宋体"/>
                <w:snapToGrid w:val="0"/>
                <w:color w:val="000000" w:themeColor="text1"/>
                <w:kern w:val="21"/>
                <w:szCs w:val="21"/>
                <w14:textFill>
                  <w14:solidFill>
                    <w14:schemeClr w14:val="tx1"/>
                  </w14:solidFill>
                </w14:textFill>
              </w:rPr>
              <w:t>焊接烟尘净化器收集到的粉尘</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0.002</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0.002</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+0.002</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restart"/>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危险废物</w:t>
            </w:r>
          </w:p>
        </w:tc>
        <w:tc>
          <w:tcPr>
            <w:tcW w:w="2138" w:type="dxa"/>
            <w:vAlign w:val="center"/>
          </w:tcPr>
          <w:p>
            <w:pPr>
              <w:jc w:val="center"/>
              <w:rPr>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漆渣</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1.93</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1.93</w:t>
            </w:r>
            <w:r>
              <w:rPr>
                <w:rFonts w:hint="eastAsia" w:hAnsi="宋体" w:cs="宋体"/>
                <w:snapToGrid w:val="0"/>
                <w:color w:val="000000" w:themeColor="text1"/>
                <w:kern w:val="21"/>
                <w:szCs w:val="21"/>
                <w14:textFill>
                  <w14:solidFill>
                    <w14:schemeClr w14:val="tx1"/>
                  </w14:solidFill>
                </w14:textFill>
              </w:rPr>
              <w:t>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+1.93</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废包装桶</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0.2</w:t>
            </w:r>
            <w:r>
              <w:rPr>
                <w:color w:val="000000" w:themeColor="text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0.2</w:t>
            </w:r>
            <w:r>
              <w:rPr>
                <w:color w:val="000000" w:themeColor="text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0.2</w:t>
            </w:r>
            <w:r>
              <w:rPr>
                <w:color w:val="000000" w:themeColor="text1"/>
                <w:szCs w:val="21"/>
                <w14:textFill>
                  <w14:solidFill>
                    <w14:schemeClr w14:val="tx1"/>
                  </w14:solidFill>
                </w14:textFill>
              </w:rPr>
              <w:t>0</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jc w:val="center"/>
              <w:rPr>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水帘柜更换废</w:t>
            </w:r>
            <w:r>
              <w:rPr>
                <w:color w:val="000000" w:themeColor="text1"/>
                <w:szCs w:val="21"/>
                <w14:textFill>
                  <w14:solidFill>
                    <w14:schemeClr w14:val="tx1"/>
                  </w14:solidFill>
                </w14:textFill>
              </w:rPr>
              <w:t>水</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15.36</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15.36</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+15.36</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widowControl/>
              <w:snapToGrid w:val="0"/>
              <w:jc w:val="center"/>
              <w:rPr>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喷枪清洗废水</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1.22</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1.22</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Ansi="宋体" w:cs="宋体"/>
                <w:snapToGrid w:val="0"/>
                <w:color w:val="000000" w:themeColor="text1"/>
                <w:kern w:val="21"/>
                <w:szCs w:val="21"/>
                <w14:textFill>
                  <w14:solidFill>
                    <w14:schemeClr w14:val="tx1"/>
                  </w14:solidFill>
                </w14:textFill>
              </w:rPr>
              <w:t>+1.22</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widowControl/>
              <w:snapToGrid w:val="0"/>
              <w:jc w:val="center"/>
              <w:rPr>
                <w:color w:val="000000" w:themeColor="text1"/>
                <w:szCs w:val="21"/>
                <w14:textFill>
                  <w14:solidFill>
                    <w14:schemeClr w14:val="tx1"/>
                  </w14:solidFill>
                </w14:textFill>
              </w:rPr>
            </w:pPr>
            <w:r>
              <w:rPr>
                <w:bCs/>
                <w:color w:val="000000" w:themeColor="text1"/>
                <w14:textFill>
                  <w14:solidFill>
                    <w14:schemeClr w14:val="tx1"/>
                  </w14:solidFill>
                </w14:textFill>
              </w:rPr>
              <w:t>废活性炭</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7.25</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7.25</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+7.25</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widowControl/>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调漆、喷漆、晾干废气处理装置</w:t>
            </w:r>
            <w:r>
              <w:rPr>
                <w:color w:val="000000" w:themeColor="text1"/>
                <w:szCs w:val="21"/>
                <w14:textFill>
                  <w14:solidFill>
                    <w14:schemeClr w14:val="tx1"/>
                  </w14:solidFill>
                </w14:textFill>
              </w:rPr>
              <w:t>喷淋塔定期更换废水</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6.68</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6.68</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+6.68</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widowControl/>
              <w:snapToGrid w:val="0"/>
              <w:jc w:val="center"/>
              <w:rPr>
                <w:snapToGrid w:val="0"/>
                <w:color w:val="000000" w:themeColor="text1"/>
                <w:kern w:val="21"/>
                <w:szCs w:val="21"/>
                <w14:textFill>
                  <w14:solidFill>
                    <w14:schemeClr w14:val="tx1"/>
                  </w14:solidFill>
                </w14:textFill>
              </w:rPr>
            </w:pPr>
            <w:r>
              <w:rPr>
                <w:color w:val="000000" w:themeColor="text1"/>
                <w14:textFill>
                  <w14:solidFill>
                    <w14:schemeClr w14:val="tx1"/>
                  </w14:solidFill>
                </w14:textFill>
              </w:rPr>
              <w:t>废</w:t>
            </w:r>
            <w:r>
              <w:rPr>
                <w:rFonts w:hint="eastAsia"/>
                <w:color w:val="000000" w:themeColor="text1"/>
                <w14:textFill>
                  <w14:solidFill>
                    <w14:schemeClr w14:val="tx1"/>
                  </w14:solidFill>
                </w14:textFill>
              </w:rPr>
              <w:t>机油</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0.02</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0.02</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0.02</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widowControl/>
              <w:snapToGrid w:val="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废含机油抹布及手套、废含油漆抹布及手套</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24" w:type="dxa"/>
            <w:vMerge w:val="continue"/>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p>
        </w:tc>
        <w:tc>
          <w:tcPr>
            <w:tcW w:w="2138" w:type="dxa"/>
            <w:vAlign w:val="center"/>
          </w:tcPr>
          <w:p>
            <w:pPr>
              <w:widowControl/>
              <w:snapToGrid w:val="0"/>
              <w:jc w:val="center"/>
              <w:rPr>
                <w:color w:val="000000" w:themeColor="text1"/>
                <w14:textFill>
                  <w14:solidFill>
                    <w14:schemeClr w14:val="tx1"/>
                  </w14:solidFill>
                </w14:textFill>
              </w:rPr>
            </w:pPr>
            <w:r>
              <w:rPr>
                <w:color w:val="000000" w:themeColor="text1"/>
                <w:szCs w:val="21"/>
                <w14:textFill>
                  <w14:solidFill>
                    <w14:schemeClr w14:val="tx1"/>
                  </w14:solidFill>
                </w14:textFill>
              </w:rPr>
              <w:t>废机油包装桶</w:t>
            </w:r>
          </w:p>
        </w:tc>
        <w:tc>
          <w:tcPr>
            <w:tcW w:w="1444"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276"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70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59" w:type="dxa"/>
            <w:vAlign w:val="center"/>
          </w:tcPr>
          <w:p>
            <w:pPr>
              <w:jc w:val="center"/>
              <w:rPr>
                <w:rFonts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c>
          <w:tcPr>
            <w:tcW w:w="1761"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hAnsi="宋体" w:cs="宋体"/>
                <w:snapToGrid w:val="0"/>
                <w:color w:val="000000" w:themeColor="text1"/>
                <w:kern w:val="21"/>
                <w:szCs w:val="21"/>
                <w14:textFill>
                  <w14:solidFill>
                    <w14:schemeClr w14:val="tx1"/>
                  </w14:solidFill>
                </w14:textFill>
              </w:rPr>
              <w:t>0</w:t>
            </w:r>
          </w:p>
        </w:tc>
        <w:tc>
          <w:tcPr>
            <w:tcW w:w="1565"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c>
          <w:tcPr>
            <w:tcW w:w="1220" w:type="dxa"/>
            <w:vAlign w:val="center"/>
          </w:tcPr>
          <w:p>
            <w:pPr>
              <w:pStyle w:val="70"/>
              <w:spacing w:line="240" w:lineRule="auto"/>
              <w:rPr>
                <w:rFonts w:hAnsi="宋体" w:cs="宋体"/>
                <w:snapToGrid w:val="0"/>
                <w:color w:val="000000" w:themeColor="text1"/>
                <w:kern w:val="21"/>
                <w:szCs w:val="21"/>
                <w14:textFill>
                  <w14:solidFill>
                    <w14:schemeClr w14:val="tx1"/>
                  </w14:solidFill>
                </w14:textFill>
              </w:rPr>
            </w:pP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0.01</w:t>
            </w:r>
            <w:r>
              <w:rPr>
                <w:rFonts w:hint="eastAsia" w:hAnsi="宋体" w:cs="宋体"/>
                <w:snapToGrid w:val="0"/>
                <w:color w:val="000000" w:themeColor="text1"/>
                <w:kern w:val="21"/>
                <w:szCs w:val="21"/>
                <w14:textFill>
                  <w14:solidFill>
                    <w14:schemeClr w14:val="tx1"/>
                  </w14:solidFill>
                </w14:textFill>
              </w:rPr>
              <w:t xml:space="preserve"> t/a</w:t>
            </w:r>
          </w:p>
        </w:tc>
      </w:tr>
    </w:tbl>
    <w:p>
      <w:pPr>
        <w:pStyle w:val="70"/>
        <w:snapToGrid/>
        <w:spacing w:line="240" w:lineRule="auto"/>
        <w:jc w:val="left"/>
        <w:rPr>
          <w:rFonts w:ascii="黑体" w:hAnsi="黑体"/>
          <w:color w:val="000000" w:themeColor="text1"/>
          <w:sz w:val="30"/>
          <w14:textFill>
            <w14:solidFill>
              <w14:schemeClr w14:val="tx1"/>
            </w14:solidFill>
          </w14:textFill>
        </w:rPr>
      </w:pPr>
      <w:r>
        <w:rPr>
          <w:rFonts w:hAnsi="宋体"/>
          <w:snapToGrid w:val="0"/>
          <w:color w:val="000000" w:themeColor="text1"/>
          <w:kern w:val="21"/>
          <w:szCs w:val="21"/>
          <w14:textFill>
            <w14:solidFill>
              <w14:schemeClr w14:val="tx1"/>
            </w14:solidFill>
          </w14:textFill>
        </w:rPr>
        <w:t>注：</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3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③</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4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④</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5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⑤</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7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⑦</w:t>
      </w:r>
      <w:r>
        <w:rPr>
          <w:rFonts w:hAnsi="宋体"/>
          <w:snapToGrid w:val="0"/>
          <w:color w:val="000000" w:themeColor="text1"/>
          <w:spacing w:val="-6"/>
          <w:kern w:val="21"/>
          <w:szCs w:val="21"/>
          <w14:textFill>
            <w14:solidFill>
              <w14:schemeClr w14:val="tx1"/>
            </w14:solidFill>
          </w14:textFill>
        </w:rPr>
        <w:fldChar w:fldCharType="end"/>
      </w:r>
      <w:r>
        <w:rPr>
          <w:rFonts w:hAnsi="宋体"/>
          <w:snapToGrid w:val="0"/>
          <w:color w:val="000000" w:themeColor="text1"/>
          <w:spacing w:val="-6"/>
          <w:kern w:val="21"/>
          <w:szCs w:val="21"/>
          <w14:textFill>
            <w14:solidFill>
              <w14:schemeClr w14:val="tx1"/>
            </w14:solidFill>
          </w14:textFill>
        </w:rPr>
        <w:t>=</w:t>
      </w:r>
      <w:r>
        <w:rPr>
          <w:rFonts w:hAnsi="宋体"/>
          <w:snapToGrid w:val="0"/>
          <w:color w:val="000000" w:themeColor="text1"/>
          <w:spacing w:val="-16"/>
          <w:kern w:val="21"/>
          <w:szCs w:val="21"/>
          <w14:textFill>
            <w14:solidFill>
              <w14:schemeClr w14:val="tx1"/>
            </w14:solidFill>
          </w14:textFill>
        </w:rPr>
        <w:fldChar w:fldCharType="begin"/>
      </w:r>
      <w:r>
        <w:rPr>
          <w:rFonts w:hAnsi="宋体"/>
          <w:snapToGrid w:val="0"/>
          <w:color w:val="000000" w:themeColor="text1"/>
          <w:spacing w:val="-16"/>
          <w:kern w:val="21"/>
          <w:szCs w:val="21"/>
          <w14:textFill>
            <w14:solidFill>
              <w14:schemeClr w14:val="tx1"/>
            </w14:solidFill>
          </w14:textFill>
        </w:rPr>
        <w:instrText xml:space="preserve"> = 6 \* GB3 \* MERGEFORMAT </w:instrText>
      </w:r>
      <w:r>
        <w:rPr>
          <w:rFonts w:hAnsi="宋体"/>
          <w:snapToGrid w:val="0"/>
          <w:color w:val="000000" w:themeColor="text1"/>
          <w:spacing w:val="-1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⑥</w:t>
      </w:r>
      <w:r>
        <w:rPr>
          <w:rFonts w:hAnsi="宋体"/>
          <w:snapToGrid w:val="0"/>
          <w:color w:val="000000" w:themeColor="text1"/>
          <w:spacing w:val="-16"/>
          <w:kern w:val="21"/>
          <w:szCs w:val="21"/>
          <w14:textFill>
            <w14:solidFill>
              <w14:schemeClr w14:val="tx1"/>
            </w14:solidFill>
          </w14:textFill>
        </w:rPr>
        <w:fldChar w:fldCharType="end"/>
      </w:r>
      <w:r>
        <w:rPr>
          <w:rFonts w:hAnsi="宋体"/>
          <w:snapToGrid w:val="0"/>
          <w:color w:val="000000" w:themeColor="text1"/>
          <w:spacing w:val="-16"/>
          <w:kern w:val="21"/>
          <w:szCs w:val="21"/>
          <w14:textFill>
            <w14:solidFill>
              <w14:schemeClr w14:val="tx1"/>
            </w14:solidFill>
          </w14:textFill>
        </w:rPr>
        <w:t>-</w:t>
      </w:r>
      <w:r>
        <w:rPr>
          <w:rFonts w:hAnsi="宋体"/>
          <w:snapToGrid w:val="0"/>
          <w:color w:val="000000" w:themeColor="text1"/>
          <w:spacing w:val="-6"/>
          <w:kern w:val="21"/>
          <w:szCs w:val="21"/>
          <w14:textFill>
            <w14:solidFill>
              <w14:schemeClr w14:val="tx1"/>
            </w14:solidFill>
          </w14:textFill>
        </w:rPr>
        <w:fldChar w:fldCharType="begin"/>
      </w:r>
      <w:r>
        <w:rPr>
          <w:rFonts w:hAnsi="宋体"/>
          <w:snapToGrid w:val="0"/>
          <w:color w:val="000000" w:themeColor="text1"/>
          <w:spacing w:val="-6"/>
          <w:kern w:val="21"/>
          <w:szCs w:val="21"/>
          <w14:textFill>
            <w14:solidFill>
              <w14:schemeClr w14:val="tx1"/>
            </w14:solidFill>
          </w14:textFill>
        </w:rPr>
        <w:instrText xml:space="preserve"> = 1 \* GB3 \* MERGEFORMAT </w:instrText>
      </w:r>
      <w:r>
        <w:rPr>
          <w:rFonts w:hAnsi="宋体"/>
          <w:snapToGrid w:val="0"/>
          <w:color w:val="000000" w:themeColor="text1"/>
          <w:spacing w:val="-6"/>
          <w:kern w:val="21"/>
          <w:szCs w:val="21"/>
          <w14:textFill>
            <w14:solidFill>
              <w14:schemeClr w14:val="tx1"/>
            </w14:solidFill>
          </w14:textFill>
        </w:rPr>
        <w:fldChar w:fldCharType="separate"/>
      </w:r>
      <w:r>
        <w:rPr>
          <w:rFonts w:hint="eastAsia" w:hAnsi="宋体"/>
          <w:color w:val="000000" w:themeColor="text1"/>
          <w:szCs w:val="21"/>
          <w14:textFill>
            <w14:solidFill>
              <w14:schemeClr w14:val="tx1"/>
            </w14:solidFill>
          </w14:textFill>
        </w:rPr>
        <w:t>①</w:t>
      </w:r>
      <w:r>
        <w:rPr>
          <w:rFonts w:hAnsi="宋体"/>
          <w:snapToGrid w:val="0"/>
          <w:color w:val="000000" w:themeColor="text1"/>
          <w:spacing w:val="-6"/>
          <w:kern w:val="21"/>
          <w:szCs w:val="21"/>
          <w14:textFill>
            <w14:solidFill>
              <w14:schemeClr w14:val="tx1"/>
            </w14:solidFill>
          </w14:textFill>
        </w:rPr>
        <w:fldChar w:fldCharType="end"/>
      </w:r>
    </w:p>
    <w:p>
      <w:pPr>
        <w:jc w:val="left"/>
        <w:rPr>
          <w:rFonts w:ascii="黑体" w:hAnsi="黑体" w:eastAsia="黑体"/>
          <w:color w:val="000000" w:themeColor="text1"/>
          <w:sz w:val="30"/>
          <w14:textFill>
            <w14:solidFill>
              <w14:schemeClr w14:val="tx1"/>
            </w14:solidFill>
          </w14:textFill>
        </w:rPr>
      </w:pPr>
    </w:p>
    <w:p>
      <w:pPr>
        <w:pStyle w:val="38"/>
        <w:rPr>
          <w:color w:val="000000" w:themeColor="text1"/>
          <w14:textFill>
            <w14:solidFill>
              <w14:schemeClr w14:val="tx1"/>
            </w14:solidFill>
          </w14:textFill>
        </w:rPr>
        <w:sectPr>
          <w:pgSz w:w="16838" w:h="11906" w:orient="landscape"/>
          <w:pgMar w:top="1247" w:right="1559" w:bottom="1247" w:left="1474" w:header="851" w:footer="709" w:gutter="0"/>
          <w:cols w:space="720" w:num="1"/>
          <w:docGrid w:type="lines" w:linePitch="312" w:charSpace="0"/>
        </w:sectPr>
      </w:pPr>
    </w:p>
    <w:p>
      <w:pPr>
        <w:spacing w:line="20" w:lineRule="exact"/>
        <w:rPr>
          <w:color w:val="000000" w:themeColor="text1"/>
          <w:sz w:val="28"/>
          <w14:textFill>
            <w14:solidFill>
              <w14:schemeClr w14:val="tx1"/>
            </w14:solidFill>
          </w14:textFill>
        </w:rPr>
      </w:pPr>
    </w:p>
    <w:p>
      <w:pPr>
        <w:widowControl/>
        <w:spacing w:line="360" w:lineRule="auto"/>
        <w:jc w:val="center"/>
        <w:rPr>
          <w:b/>
          <w:color w:val="000000" w:themeColor="text1"/>
          <w14:textFill>
            <w14:solidFill>
              <w14:schemeClr w14:val="tx1"/>
            </w14:solidFill>
          </w14:textFill>
        </w:rPr>
      </w:pPr>
    </w:p>
    <w:p>
      <w:pPr>
        <w:widowControl/>
        <w:spacing w:line="360" w:lineRule="auto"/>
        <w:jc w:val="center"/>
        <w:rPr>
          <w:b/>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0" distR="0" simplePos="0" relativeHeight="251660288" behindDoc="0" locked="0" layoutInCell="1" allowOverlap="1">
                <wp:simplePos x="0" y="0"/>
                <wp:positionH relativeFrom="column">
                  <wp:posOffset>4373880</wp:posOffset>
                </wp:positionH>
                <wp:positionV relativeFrom="paragraph">
                  <wp:posOffset>704850</wp:posOffset>
                </wp:positionV>
                <wp:extent cx="2371090" cy="1924050"/>
                <wp:effectExtent l="0" t="0" r="0" b="0"/>
                <wp:wrapNone/>
                <wp:docPr id="1108" name="文本框 14"/>
                <wp:cNvGraphicFramePr/>
                <a:graphic xmlns:a="http://schemas.openxmlformats.org/drawingml/2006/main">
                  <a:graphicData uri="http://schemas.microsoft.com/office/word/2010/wordprocessingShape">
                    <wps:wsp>
                      <wps:cNvSpPr/>
                      <wps:spPr>
                        <a:xfrm>
                          <a:off x="0" y="0"/>
                          <a:ext cx="2371090" cy="1924050"/>
                        </a:xfrm>
                        <a:prstGeom prst="rect">
                          <a:avLst/>
                        </a:prstGeom>
                        <a:ln>
                          <a:noFill/>
                        </a:ln>
                      </wps:spPr>
                      <wps:txbx>
                        <w:txbxContent>
                          <w:p/>
                        </w:txbxContent>
                      </wps:txbx>
                      <wps:bodyPr vert="horz" wrap="square" lIns="91440" tIns="45720" rIns="91440" bIns="45720" anchor="t">
                        <a:noAutofit/>
                      </wps:bodyPr>
                    </wps:wsp>
                  </a:graphicData>
                </a:graphic>
              </wp:anchor>
            </w:drawing>
          </mc:Choice>
          <mc:Fallback>
            <w:pict>
              <v:rect id="文本框 14" o:spid="_x0000_s1026" o:spt="1" style="position:absolute;left:0pt;margin-left:344.4pt;margin-top:55.5pt;height:151.5pt;width:186.7pt;z-index:251660288;mso-width-relative:page;mso-height-relative:page;" filled="f" stroked="f" coordsize="21600,21600" o:gfxdata="UEsDBAoAAAAAAIdO4kAAAAAAAAAAAAAAAAAEAAAAZHJzL1BLAwQUAAAACACHTuJA0XNgNtsAAAAM&#10;AQAADwAAAGRycy9kb3ducmV2LnhtbE2PwWrDMBBE74X+g9hCL6WRZIIxjuUcAqWhFEKdNmfFUmxT&#10;a+VYip3+fTen9jjMMPOmWF9dzyY7hs6jArkQwCzW3nTYKPjcvzxnwELUaHTv0Sr4sQHW5f1doXPj&#10;Z/ywUxUbRiUYcq2gjXHIOQ91a50OCz9YJO/kR6cjybHhZtQzlbueJ0Kk3OkOaaHVg920tv6uLk7B&#10;XO+mw/79le+eDluP5+15U329KfX4IMUKWLTX+BeGGz6hQ0lMR39BE1ivIM0yQo9kSEmnbgmRJgmw&#10;o4KlXArgZcH/nyh/AVBLAwQUAAAACACHTuJAQ+h1ZdsBAAClAwAADgAAAGRycy9lMm9Eb2MueG1s&#10;rVNLjhMxEN0jcQfLe9IfehjSSmeEFA1CQjDSwAEctzttyT/KTrrDAeAGrNiw51w5B2V3k4mGzSzY&#10;OC5X5dV7r6pXN6NW5CDAS2saWixySoThtpVm19DPn25fvKbEB2ZapqwRDT0KT2/Wz5+tBleL0vZW&#10;tQIIghhfD66hfQiuzjLPe6GZX1gnDCY7C5oFDGGXtcAGRNcqK/P8VTZYaB1YLrzH182UpDMiPAXQ&#10;dp3kYmP5XgsTJlQQigWU5HvpPF0ntl0nePjYdV4EohqKSkM6sQnet/HM1itW74C5XvKZAnsKhUea&#10;NJMGm56hNiwwsgf5D5SWHKy3XVhwq7NJSHIEVRT5I2/ue+ZE0oJWe3c23f8/WP7hcAdEtrgJRY6T&#10;N0zjzE8/vp9+/j79+kaKKlo0OF9j5b27gznyeI16xw50/EUlZEy2Hs+2ijEQjo/ly+siX6LjHHPF&#10;sqzyq2R89vB3Bz68FVaTeGko4NySnezw3gdsiaV/S2I3ZeJp7K1UasrGlyzSnIjFWxi348x2a9sj&#10;ysStR/DewldKBpx5Q/2XPQNBiXpn0NRlUVVxSVJQXV2XGMBlZnuZYYYjVEMnpsa+2QfbycQ2tp96&#10;zqxweknEvGlxPS7jVPXwda3/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NFzYDbbAAAADAEAAA8A&#10;AAAAAAAAAQAgAAAAIgAAAGRycy9kb3ducmV2LnhtbFBLAQIUABQAAAAIAIdO4kBD6HVl2wEAAKUD&#10;AAAOAAAAAAAAAAEAIAAAACoBAABkcnMvZTJvRG9jLnhtbFBLBQYAAAAABgAGAFkBAAB3BQAAAAA=&#10;">
                <v:fill on="f" focussize="0,0"/>
                <v:stroke on="f"/>
                <v:imagedata o:title=""/>
                <o:lock v:ext="edit" aspectratio="f"/>
                <v:textbox>
                  <w:txbxContent>
                    <w:p/>
                  </w:txbxContent>
                </v:textbox>
              </v:rect>
            </w:pict>
          </mc:Fallback>
        </mc:AlternateContent>
      </w:r>
    </w:p>
    <w:p>
      <w:pPr>
        <w:pStyle w:val="2"/>
      </w:pPr>
    </w:p>
    <w:p>
      <w:pPr>
        <w:jc w:val="center"/>
        <w:rPr>
          <w:color w:val="000000" w:themeColor="text1"/>
          <w14:textFill>
            <w14:solidFill>
              <w14:schemeClr w14:val="tx1"/>
            </w14:solidFill>
          </w14:textFill>
        </w:rPr>
      </w:pPr>
    </w:p>
    <w:p>
      <w:pPr>
        <w:rPr>
          <w:color w:val="000000" w:themeColor="text1"/>
          <w:u w:val="single"/>
          <w14:textFill>
            <w14:solidFill>
              <w14:schemeClr w14:val="tx1"/>
            </w14:solidFill>
          </w14:textFill>
        </w:rPr>
      </w:pPr>
    </w:p>
    <w:p>
      <w:pPr>
        <w:pStyle w:val="47"/>
        <w:jc w:val="center"/>
        <w:rPr>
          <w:color w:val="000000" w:themeColor="text1"/>
          <w14:textFill>
            <w14:solidFill>
              <w14:schemeClr w14:val="tx1"/>
            </w14:solidFill>
          </w14:textFill>
        </w:rPr>
      </w:pPr>
    </w:p>
    <w:p>
      <w:pPr>
        <w:tabs>
          <w:tab w:val="center" w:pos="4677"/>
        </w:tabs>
        <w:spacing w:line="360" w:lineRule="auto"/>
        <w:jc w:val="center"/>
        <w:rPr>
          <w:b/>
          <w:color w:val="000000" w:themeColor="text1"/>
          <w:sz w:val="24"/>
          <w14:textFill>
            <w14:solidFill>
              <w14:schemeClr w14:val="tx1"/>
            </w14:solidFill>
          </w14:textFill>
        </w:rPr>
      </w:pPr>
    </w:p>
    <w:p>
      <w:pPr>
        <w:rPr>
          <w:color w:val="000000" w:themeColor="text1"/>
          <w:sz w:val="24"/>
          <w14:textFill>
            <w14:solidFill>
              <w14:schemeClr w14:val="tx1"/>
            </w14:solidFill>
          </w14:textFill>
        </w:rPr>
        <w:sectPr>
          <w:footerReference r:id="rId13" w:type="default"/>
          <w:pgSz w:w="16839" w:h="11907" w:orient="landscape"/>
          <w:pgMar w:top="1134" w:right="1474" w:bottom="1418" w:left="1701" w:header="851" w:footer="709" w:gutter="0"/>
          <w:cols w:space="425" w:num="1"/>
          <w:docGrid w:type="lines" w:linePitch="312" w:charSpace="0"/>
        </w:sectPr>
      </w:pPr>
    </w:p>
    <w:p>
      <w:pPr>
        <w:tabs>
          <w:tab w:val="center" w:pos="4677"/>
        </w:tabs>
        <w:spacing w:line="360" w:lineRule="auto"/>
        <w:jc w:val="center"/>
        <w:rPr>
          <w:b/>
          <w:color w:val="000000" w:themeColor="text1"/>
          <w:sz w:val="24"/>
          <w14:textFill>
            <w14:solidFill>
              <w14:schemeClr w14:val="tx1"/>
            </w14:solidFill>
          </w14:textFill>
        </w:rPr>
      </w:pPr>
    </w:p>
    <w:p>
      <w:pPr>
        <w:tabs>
          <w:tab w:val="center" w:pos="4677"/>
        </w:tabs>
        <w:spacing w:line="360" w:lineRule="auto"/>
        <w:jc w:val="center"/>
        <w:rPr>
          <w:b/>
          <w:color w:val="000000" w:themeColor="text1"/>
          <w:sz w:val="24"/>
          <w14:textFill>
            <w14:solidFill>
              <w14:schemeClr w14:val="tx1"/>
            </w14:solidFill>
          </w14:textFill>
        </w:rPr>
      </w:pPr>
    </w:p>
    <w:p>
      <w:pPr>
        <w:jc w:val="center"/>
        <w:rPr>
          <w:color w:val="000000" w:themeColor="text1"/>
          <w14:textFill>
            <w14:solidFill>
              <w14:schemeClr w14:val="tx1"/>
            </w14:solidFill>
          </w14:textFill>
        </w:rPr>
        <w:sectPr>
          <w:pgSz w:w="16839" w:h="11907" w:orient="landscape"/>
          <w:pgMar w:top="1134" w:right="1134" w:bottom="1134" w:left="1134" w:header="851" w:footer="709" w:gutter="0"/>
          <w:cols w:space="425" w:num="1"/>
          <w:docGrid w:type="lines" w:linePitch="312" w:charSpace="0"/>
        </w:sectPr>
      </w:pPr>
      <w:r>
        <w:rPr>
          <w:b/>
          <w:color w:val="000000" w:themeColor="text1"/>
          <w:sz w:val="24"/>
          <w14:textFill>
            <w14:solidFill>
              <w14:schemeClr w14:val="tx1"/>
            </w14:solidFill>
          </w14:textFill>
        </w:rPr>
        <mc:AlternateContent>
          <mc:Choice Requires="wps">
            <w:drawing>
              <wp:anchor distT="0" distB="0" distL="0" distR="0" simplePos="0" relativeHeight="251662336" behindDoc="0" locked="0" layoutInCell="1" allowOverlap="1">
                <wp:simplePos x="0" y="0"/>
                <wp:positionH relativeFrom="column">
                  <wp:posOffset>4151630</wp:posOffset>
                </wp:positionH>
                <wp:positionV relativeFrom="paragraph">
                  <wp:posOffset>2559685</wp:posOffset>
                </wp:positionV>
                <wp:extent cx="716915" cy="314960"/>
                <wp:effectExtent l="0" t="0" r="0" b="0"/>
                <wp:wrapNone/>
                <wp:docPr id="1175" name="文本框 187"/>
                <wp:cNvGraphicFramePr/>
                <a:graphic xmlns:a="http://schemas.openxmlformats.org/drawingml/2006/main">
                  <a:graphicData uri="http://schemas.microsoft.com/office/word/2010/wordprocessingShape">
                    <wps:wsp>
                      <wps:cNvSpPr/>
                      <wps:spPr>
                        <a:xfrm>
                          <a:off x="0" y="0"/>
                          <a:ext cx="716915" cy="314960"/>
                        </a:xfrm>
                        <a:prstGeom prst="rect">
                          <a:avLst/>
                        </a:prstGeom>
                        <a:ln>
                          <a:noFill/>
                        </a:ln>
                      </wps:spPr>
                      <wps:txbx>
                        <w:txbxContent>
                          <w:p>
                            <w:pPr>
                              <w:jc w:val="center"/>
                              <w:rPr>
                                <w:color w:val="FF00FF"/>
                              </w:rPr>
                            </w:pPr>
                          </w:p>
                        </w:txbxContent>
                      </wps:txbx>
                      <wps:bodyPr lIns="0" tIns="0" rIns="0" bIns="0" upright="1"/>
                    </wps:wsp>
                  </a:graphicData>
                </a:graphic>
              </wp:anchor>
            </w:drawing>
          </mc:Choice>
          <mc:Fallback>
            <w:pict>
              <v:rect id="文本框 187" o:spid="_x0000_s1026" o:spt="1" style="position:absolute;left:0pt;margin-left:326.9pt;margin-top:201.55pt;height:24.8pt;width:56.45pt;z-index:251662336;mso-width-relative:page;mso-height-relative:page;" filled="f" stroked="f" coordsize="21600,21600" o:gfxdata="UEsDBAoAAAAAAIdO4kAAAAAAAAAAAAAAAAAEAAAAZHJzL1BLAwQUAAAACACHTuJAHskS0NwAAAAL&#10;AQAADwAAAGRycy9kb3ducmV2LnhtbE2PzU7DMBCE70i8g7VI3KiTliZtiFMhflSO0CIVbm68JBH2&#10;OordpvD0LCc47uxo5ptydXJWHHEInScF6SQBgVR701Gj4HX7eLUAEaImo60nVPCFAVbV+VmpC+NH&#10;esHjJjaCQygUWkEbY19IGeoWnQ4T3yPx78MPTkc+h0aaQY8c7qycJkkmne6IG1rd412L9efm4BSs&#10;F/3t25P/Hhv78L7ePe+W99tlVOryIk1uQEQ8xT8z/OIzOlTMtPcHMkFYBdl8xuhRwXUyS0GwI8+y&#10;HMSelfk0B1mV8v+G6gdQSwMEFAAAAAgAh07iQGt3WaO1AQAAYQMAAA4AAABkcnMvZTJvRG9jLnht&#10;bK1TS44TMRTcI3EHy3vi9ADJTCud2USDkBCMNMMBHLedtuSfnp105wJwA1Zs2HOunINndyeDhs0s&#10;2Dhlv5d6VWX36nawhhwkRO1dQ6vZnBLphG+12zX06+Pdm2tKYuKu5cY72dCjjPR2/frVqg+1vPKd&#10;N60EgiQu1n1oaJdSqBmLopOWx5kP0mFRebA84RZ2rAXeI7s17Go+X7DeQxvACxkjnm7GIp0Y4SWE&#10;Xikt5MaLvZUujawgDU9oKXY6RLouapWSIn1RKspETEPRaSorDkG8zStbr3i9Ax46LSYJ/CUSnnmy&#10;XDsceqHa8MTJHvQ/VFYL8NGrNBPestFISQRdVPNn2Tx0PMjiBaOO4RJ6/H+04vPhHohu8SVUy/eU&#10;OG7xzk8/vp9+/j79+kaq62XOqA+xxtaHcA/TLiLMhgcFNv+iFTKUXI+XXOWQiMDDZbW4qZBcYOlt&#10;9e5mUXJnT38OENMH6S3JoKGA11bS5IdPMeFAbD235FnG5dX5O23MWM0nLIscZWWUhu0wad369ogu&#10;zUeHyeVXcAZwBtsz2AfQuw41VNl2ocTki4LpleSr/Xtfup6+jPU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HskS0NwAAAALAQAADwAAAAAAAAABACAAAAAiAAAAZHJzL2Rvd25yZXYueG1sUEsBAhQA&#10;FAAAAAgAh07iQGt3WaO1AQAAYQMAAA4AAAAAAAAAAQAgAAAAKwEAAGRycy9lMm9Eb2MueG1sUEsF&#10;BgAAAAAGAAYAWQEAAFIFAAAAAA==&#10;">
                <v:fill on="f" focussize="0,0"/>
                <v:stroke on="f"/>
                <v:imagedata o:title=""/>
                <o:lock v:ext="edit" aspectratio="f"/>
                <v:textbox inset="0mm,0mm,0mm,0mm">
                  <w:txbxContent>
                    <w:p>
                      <w:pPr>
                        <w:jc w:val="center"/>
                        <w:rPr>
                          <w:color w:val="FF00FF"/>
                        </w:rPr>
                      </w:pPr>
                    </w:p>
                  </w:txbxContent>
                </v:textbox>
              </v:rect>
            </w:pict>
          </mc:Fallback>
        </mc:AlternateContent>
      </w:r>
      <w:r>
        <w:rPr>
          <w:color w:val="000000" w:themeColor="text1"/>
          <w:sz w:val="24"/>
          <w14:textFill>
            <w14:solidFill>
              <w14:schemeClr w14:val="tx1"/>
            </w14:solidFill>
          </w14:textFill>
        </w:rPr>
        <mc:AlternateContent>
          <mc:Choice Requires="wps">
            <w:drawing>
              <wp:anchor distT="0" distB="0" distL="0" distR="0" simplePos="0" relativeHeight="251660288" behindDoc="0" locked="0" layoutInCell="1" allowOverlap="1">
                <wp:simplePos x="0" y="0"/>
                <wp:positionH relativeFrom="column">
                  <wp:posOffset>8122285</wp:posOffset>
                </wp:positionH>
                <wp:positionV relativeFrom="paragraph">
                  <wp:posOffset>116840</wp:posOffset>
                </wp:positionV>
                <wp:extent cx="1381125" cy="1371600"/>
                <wp:effectExtent l="0" t="0" r="0" b="0"/>
                <wp:wrapNone/>
                <wp:docPr id="1181" name="文本框 195"/>
                <wp:cNvGraphicFramePr/>
                <a:graphic xmlns:a="http://schemas.openxmlformats.org/drawingml/2006/main">
                  <a:graphicData uri="http://schemas.microsoft.com/office/word/2010/wordprocessingShape">
                    <wps:wsp>
                      <wps:cNvSpPr/>
                      <wps:spPr>
                        <a:xfrm>
                          <a:off x="0" y="0"/>
                          <a:ext cx="1381125" cy="1371600"/>
                        </a:xfrm>
                        <a:prstGeom prst="rect">
                          <a:avLst/>
                        </a:prstGeom>
                        <a:ln>
                          <a:noFill/>
                        </a:ln>
                      </wps:spPr>
                      <wps:txbx>
                        <w:txbxContent>
                          <w:p/>
                        </w:txbxContent>
                      </wps:txbx>
                      <wps:bodyPr vert="horz" wrap="square" lIns="91440" tIns="45720" rIns="91440" bIns="45720" anchor="t">
                        <a:noAutofit/>
                      </wps:bodyPr>
                    </wps:wsp>
                  </a:graphicData>
                </a:graphic>
              </wp:anchor>
            </w:drawing>
          </mc:Choice>
          <mc:Fallback>
            <w:pict>
              <v:rect id="文本框 195" o:spid="_x0000_s1026" o:spt="1" style="position:absolute;left:0pt;margin-left:639.55pt;margin-top:9.2pt;height:108pt;width:108.75pt;z-index:251660288;mso-width-relative:page;mso-height-relative:page;" filled="f" stroked="f" coordsize="21600,21600" o:gfxdata="UEsDBAoAAAAAAIdO4kAAAAAAAAAAAAAAAAAEAAAAZHJzL1BLAwQUAAAACACHTuJALn6UxtwAAAAM&#10;AQAADwAAAGRycy9kb3ducmV2LnhtbE2PTU+DQBCG7yb+h82YeDF2AQm2yNJDE2NjTBrpx3kLIxDZ&#10;Wcpuof57pye9zZt58s4z2fJiOjHi4FpLCsJZAAKptFVLtYLd9vVxDsJ5TZXuLKGCH3SwzG9vMp1W&#10;dqJPHAtfCy4hl2oFjfd9KqUrGzTazWyPxLsvOxjtOQ61rAY9cbnpZBQEiTS6Jb7Q6B5XDZbfxdko&#10;mMrNeNh+vMnNw2Ft6bQ+rYr9u1L3d2HwAsLjxf/BcNVndcjZ6WjPVDnRcY6eFyGzPM1jEFciXiQJ&#10;iKOC6CmOQeaZ/P9E/gtQSwMEFAAAAAgAh07iQLeDRu3dAQAApgMAAA4AAABkcnMvZTJvRG9jLnht&#10;bK1TS27bMBDdF+gdCO5riY6dOILloICRokDRBkh7AJoiLQL8laQtuQdob9BVN93nXD5Hh5TqGMkm&#10;i2xoDmf85r03o+VNrxXacx+kNTUmkxIjbphtpNnW+NvX23cLjEKkpqHKGl7jAw/4ZvX2zbJzFZ/a&#10;1qqGewQgJlSdq3Ebo6uKIrCWaxom1nEDSWG9phFCvy0aTztA16qYluVl0VnfOG8ZDwFe10MSj4j+&#10;JYBWCMn42rKd5iYOqJ4rGkFSaKULeJXZCsFZ/CJE4BGpGoPSmE9oAvdNOovVklZbT10r2UiBvoTC&#10;E02aSgNNT1BrGinaefkMSkvmbbAiTpjVxSAkOwIqSPnEm/uWOp61gNXBnUwPrwfLPu/vPJINbAJZ&#10;EIwM1TDz4+9fxz8Px78/EbmeJ486FyoovXd3fowCXJPgXnidfkEK6rOvh5OvvI+IwSO5WBAynWPE&#10;IEcurshlmZ0vHv/ufIgfuNUoXWrsYXDZT7r/FCK0hNL/JambMuk09lYqNWTTS5FoDsTSLfabfmS7&#10;sc0BdMLaA3hr/Q+MOhh6jcP3HfUcI/XRgKvXZDZLW5KD2fxqCoE/z2zOM9QwgKrxwNTY97tohcxs&#10;U/uh58gKxpdFjKuW9uM8zlWPn9fq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5+lMbcAAAADAEA&#10;AA8AAAAAAAAAAQAgAAAAIgAAAGRycy9kb3ducmV2LnhtbFBLAQIUABQAAAAIAIdO4kC3g0bt3QEA&#10;AKYDAAAOAAAAAAAAAAEAIAAAACsBAABkcnMvZTJvRG9jLnhtbFBLBQYAAAAABgAGAFkBAAB6BQAA&#10;AAA=&#10;">
                <v:fill on="f" focussize="0,0"/>
                <v:stroke on="f"/>
                <v:imagedata o:title=""/>
                <o:lock v:ext="edit" aspectratio="f"/>
                <v:textbox>
                  <w:txbxContent>
                    <w:p/>
                  </w:txbxContent>
                </v:textbox>
              </v:rect>
            </w:pict>
          </mc:Fallback>
        </mc:AlternateContent>
      </w:r>
    </w:p>
    <w:p>
      <w:pPr>
        <w:pStyle w:val="2"/>
        <w:rPr>
          <w:b/>
          <w:color w:val="000000" w:themeColor="text1"/>
          <w14:textFill>
            <w14:solidFill>
              <w14:schemeClr w14:val="tx1"/>
            </w14:solidFill>
          </w14:textFill>
        </w:rPr>
        <w:sectPr>
          <w:pgSz w:w="16839" w:h="11907" w:orient="landscape"/>
          <w:pgMar w:top="1134" w:right="1134" w:bottom="1134" w:left="1134" w:header="851" w:footer="709" w:gutter="0"/>
          <w:cols w:space="425" w:num="1"/>
          <w:docGrid w:type="lines" w:linePitch="312" w:charSpace="0"/>
        </w:sectPr>
      </w:pPr>
    </w:p>
    <w:p>
      <w:pPr>
        <w:pStyle w:val="2"/>
        <w:rPr>
          <w:color w:val="000000" w:themeColor="text1"/>
          <w14:textFill>
            <w14:solidFill>
              <w14:schemeClr w14:val="tx1"/>
            </w14:solidFill>
          </w14:textFill>
        </w:rPr>
      </w:pPr>
    </w:p>
    <w:p>
      <w:pPr>
        <w:rPr>
          <w:color w:val="000000" w:themeColor="text1"/>
          <w14:textFill>
            <w14:solidFill>
              <w14:schemeClr w14:val="tx1"/>
            </w14:solidFill>
          </w14:textFill>
        </w:rPr>
        <w:sectPr>
          <w:pgSz w:w="11907" w:h="16839"/>
          <w:pgMar w:top="1134" w:right="1134" w:bottom="1134" w:left="1134" w:header="851" w:footer="709" w:gutter="0"/>
          <w:cols w:space="425" w:num="1"/>
          <w:docGrid w:type="lines" w:linePitch="312" w:charSpace="0"/>
        </w:sectPr>
      </w:pPr>
    </w:p>
    <w:p>
      <w:pPr>
        <w:jc w:val="center"/>
        <w:rPr>
          <w:b/>
          <w:color w:val="000000" w:themeColor="text1"/>
          <w14:textFill>
            <w14:solidFill>
              <w14:schemeClr w14:val="tx1"/>
            </w14:solidFill>
          </w14:textFill>
        </w:rPr>
      </w:pPr>
      <w:bookmarkStart w:id="0" w:name="_GoBack"/>
      <w:bookmarkEnd w:id="0"/>
    </w:p>
    <w:p>
      <w:pPr>
        <w:rPr>
          <w:color w:val="000000"/>
          <w:szCs w:val="21"/>
        </w:rPr>
      </w:pPr>
    </w:p>
    <w:p>
      <w:pPr>
        <w:rPr>
          <w:rFonts w:ascii="宋体" w:hAnsi="宋体"/>
          <w:b/>
          <w:bCs/>
          <w:color w:val="000000"/>
          <w:szCs w:val="21"/>
        </w:rPr>
      </w:pPr>
      <w:r>
        <w:rPr>
          <w:rFonts w:hint="eastAsia" w:ascii="宋体" w:hAnsi="宋体"/>
          <w:b/>
          <w:bCs/>
          <w:color w:val="000000"/>
        </w:rPr>
        <w:t xml:space="preserve"> </w:t>
      </w:r>
    </w:p>
    <w:p>
      <w:pPr>
        <w:jc w:val="center"/>
        <w:rPr>
          <w:rFonts w:ascii="宋体" w:hAnsi="宋体"/>
          <w:color w:val="000000"/>
          <w:szCs w:val="21"/>
        </w:rPr>
      </w:pPr>
      <w:r>
        <w:fldChar w:fldCharType="begin"/>
      </w:r>
      <w:r>
        <w:instrText xml:space="preserve"> INCLUDEPICTURE "C:\\Users\\jess\\AppData\\Local\\Temp\\ksohtml15772\\wps10.png" \* MERGEFORMATINET </w:instrText>
      </w:r>
      <w:r>
        <w:fldChar w:fldCharType="separate"/>
      </w:r>
      <w:r>
        <w:fldChar w:fldCharType="begin"/>
      </w:r>
      <w:r>
        <w:instrText xml:space="preserve"> INCLUDEPICTURE  "C:\\Users\\jess\\AppData\\Local\\Temp\\ksohtml15772\\wps10.png" \* MERGEFORMATINET </w:instrText>
      </w:r>
      <w:r>
        <w:fldChar w:fldCharType="separate"/>
      </w:r>
      <w:r>
        <w:fldChar w:fldCharType="begin"/>
      </w:r>
      <w:r>
        <w:instrText xml:space="preserve"> INCLUDEPICTURE  "C:\\Users\\jess\\AppData\\Local\\Temp\\ksohtml15772\\wps10.png" \* MERGEFORMATINET </w:instrText>
      </w:r>
      <w:r>
        <w:fldChar w:fldCharType="separate"/>
      </w:r>
      <w:r>
        <w:fldChar w:fldCharType="begin"/>
      </w:r>
      <w:r>
        <w:instrText xml:space="preserve"> INCLUDEPICTURE  "C:\\Users\\jess\\AppData\\Local\\Temp\\ksohtml15772\\wps10.png" \* MERGEFORMATINET </w:instrText>
      </w:r>
      <w:r>
        <w:fldChar w:fldCharType="separate"/>
      </w:r>
      <w:r>
        <w:fldChar w:fldCharType="end"/>
      </w:r>
      <w:r>
        <w:fldChar w:fldCharType="end"/>
      </w:r>
      <w:r>
        <w:fldChar w:fldCharType="end"/>
      </w:r>
      <w:r>
        <w:fldChar w:fldCharType="end"/>
      </w:r>
      <w:r>
        <w:rPr>
          <w:rFonts w:hint="eastAsia" w:ascii="宋体" w:hAnsi="宋体"/>
          <w:color w:val="000000"/>
        </w:rPr>
        <w:t xml:space="preserve"> </w:t>
      </w:r>
    </w:p>
    <w:p>
      <w:pPr>
        <w:jc w:val="center"/>
        <w:rPr>
          <w:color w:val="000000"/>
          <w:szCs w:val="21"/>
        </w:rPr>
      </w:pPr>
      <w:r>
        <w:fldChar w:fldCharType="begin"/>
      </w:r>
      <w:r>
        <w:instrText xml:space="preserve"> INCLUDEPICTURE "C:\\Users\\jess\\AppData\\Local\\Temp\\ksohtml15772\\wps12.png" \* MERGEFORMATINET </w:instrText>
      </w:r>
      <w:r>
        <w:fldChar w:fldCharType="separate"/>
      </w:r>
      <w:r>
        <w:fldChar w:fldCharType="begin"/>
      </w:r>
      <w:r>
        <w:instrText xml:space="preserve"> INCLUDEPICTURE  "C:\\Users\\jess\\AppData\\Local\\Temp\\ksohtml15772\\wps12.png" \* MERGEFORMATINET </w:instrText>
      </w:r>
      <w:r>
        <w:fldChar w:fldCharType="separate"/>
      </w:r>
      <w:r>
        <w:fldChar w:fldCharType="begin"/>
      </w:r>
      <w:r>
        <w:instrText xml:space="preserve"> INCLUDEPICTURE  "C:\\Users\\jess\\AppData\\Local\\Temp\\ksohtml15772\\wps12.png" \* MERGEFORMATINET </w:instrText>
      </w:r>
      <w:r>
        <w:fldChar w:fldCharType="separate"/>
      </w:r>
      <w:r>
        <w:fldChar w:fldCharType="begin"/>
      </w:r>
      <w:r>
        <w:instrText xml:space="preserve"> INCLUDEPICTURE  "C:\\Users\\jess\\AppData\\Local\\Temp\\ksohtml15772\\wps12.png" \* MERGEFORMATINET </w:instrText>
      </w:r>
      <w:r>
        <w:fldChar w:fldCharType="separate"/>
      </w:r>
      <w:r>
        <w:fldChar w:fldCharType="end"/>
      </w:r>
      <w:r>
        <w:fldChar w:fldCharType="end"/>
      </w:r>
      <w:r>
        <w:fldChar w:fldCharType="end"/>
      </w:r>
      <w:r>
        <w:fldChar w:fldCharType="end"/>
      </w:r>
      <w:r>
        <w:rPr>
          <w:color w:val="000000"/>
        </w:rPr>
        <w:t xml:space="preserve"> </w:t>
      </w:r>
    </w:p>
    <w:p>
      <w:pPr>
        <w:jc w:val="center"/>
        <w:rPr>
          <w:color w:val="000000"/>
          <w:szCs w:val="21"/>
        </w:rPr>
      </w:pPr>
      <w:r>
        <w:fldChar w:fldCharType="begin"/>
      </w:r>
      <w:r>
        <w:instrText xml:space="preserve"> INCLUDEPICTURE "C:\\Users\\jess\\AppData\\Local\\Temp\\ksohtml15772\\wps13.png" \* MERGEFORMATINET </w:instrText>
      </w:r>
      <w:r>
        <w:fldChar w:fldCharType="separate"/>
      </w:r>
      <w:r>
        <w:fldChar w:fldCharType="begin"/>
      </w:r>
      <w:r>
        <w:instrText xml:space="preserve"> INCLUDEPICTURE  "C:\\Users\\jess\\AppData\\Local\\Temp\\ksohtml15772\\wps13.png" \* MERGEFORMATINET </w:instrText>
      </w:r>
      <w:r>
        <w:fldChar w:fldCharType="separate"/>
      </w:r>
      <w:r>
        <w:fldChar w:fldCharType="begin"/>
      </w:r>
      <w:r>
        <w:instrText xml:space="preserve"> INCLUDEPICTURE  "C:\\Users\\jess\\AppData\\Local\\Temp\\ksohtml15772\\wps13.png" \* MERGEFORMATINET </w:instrText>
      </w:r>
      <w:r>
        <w:fldChar w:fldCharType="separate"/>
      </w:r>
      <w:r>
        <w:fldChar w:fldCharType="begin"/>
      </w:r>
      <w:r>
        <w:instrText xml:space="preserve"> INCLUDEPICTURE  "C:\\Users\\jess\\AppData\\Local\\Temp\\ksohtml15772\\wps13.png" \* MERGEFORMATINET </w:instrText>
      </w:r>
      <w:r>
        <w:fldChar w:fldCharType="separate"/>
      </w:r>
      <w:r>
        <w:fldChar w:fldCharType="end"/>
      </w:r>
      <w:r>
        <w:fldChar w:fldCharType="end"/>
      </w:r>
      <w:r>
        <w:fldChar w:fldCharType="end"/>
      </w:r>
      <w:r>
        <w:fldChar w:fldCharType="end"/>
      </w:r>
      <w:r>
        <w:rPr>
          <w:color w:val="000000"/>
        </w:rPr>
        <w:t xml:space="preserve"> </w:t>
      </w:r>
    </w:p>
    <w:p>
      <w:pPr>
        <w:pStyle w:val="2"/>
        <w:jc w:val="center"/>
        <w:outlineLvl w:val="1"/>
        <w:rPr>
          <w:rFonts w:eastAsia="宋体"/>
          <w:b/>
          <w:bCs/>
          <w:color w:val="000000" w:themeColor="text1"/>
          <w:sz w:val="24"/>
          <w:szCs w:val="24"/>
          <w14:textFill>
            <w14:solidFill>
              <w14:schemeClr w14:val="tx1"/>
            </w14:solidFill>
          </w14:textFill>
        </w:rPr>
        <w:sectPr>
          <w:pgSz w:w="11907" w:h="16839"/>
          <w:pgMar w:top="1134" w:right="1134" w:bottom="1134" w:left="1134" w:header="851" w:footer="709" w:gutter="0"/>
          <w:cols w:space="425" w:num="1"/>
          <w:docGrid w:type="lines" w:linePitch="312" w:charSpace="0"/>
        </w:sectPr>
      </w:pPr>
      <w:r>
        <w:fldChar w:fldCharType="begin"/>
      </w:r>
      <w:r>
        <w:instrText xml:space="preserve"> INCLUDEPICTURE "C:\\Users\\jess\\AppData\\Local\\Temp\\ksohtml15772\\wps14.png" \* MERGEFORMATINET </w:instrText>
      </w:r>
      <w:r>
        <w:fldChar w:fldCharType="separate"/>
      </w:r>
      <w:r>
        <w:fldChar w:fldCharType="begin"/>
      </w:r>
      <w:r>
        <w:instrText xml:space="preserve"> INCLUDEPICTURE  "C:\\Users\\jess\\AppData\\Local\\Temp\\ksohtml15772\\wps14.png" \* MERGEFORMATINET </w:instrText>
      </w:r>
      <w:r>
        <w:fldChar w:fldCharType="separate"/>
      </w:r>
      <w:r>
        <w:fldChar w:fldCharType="begin"/>
      </w:r>
      <w:r>
        <w:instrText xml:space="preserve"> INCLUDEPICTURE  "C:\\Users\\jess\\AppData\\Local\\Temp\\ksohtml15772\\wps14.png" \* MERGEFORMATINET </w:instrText>
      </w:r>
      <w:r>
        <w:fldChar w:fldCharType="separate"/>
      </w:r>
      <w:r>
        <w:fldChar w:fldCharType="begin"/>
      </w:r>
      <w:r>
        <w:instrText xml:space="preserve"> INCLUDEPICTURE  "C:\\Users\\jess\\AppData\\Local\\Temp\\ksohtml15772\\wps14.png" \* MERGEFORMATINET </w:instrText>
      </w:r>
      <w:r>
        <w:fldChar w:fldCharType="separate"/>
      </w:r>
      <w:r>
        <w:fldChar w:fldCharType="end"/>
      </w:r>
      <w:r>
        <w:fldChar w:fldCharType="end"/>
      </w:r>
      <w:r>
        <w:fldChar w:fldCharType="end"/>
      </w:r>
      <w:r>
        <w:fldChar w:fldCharType="end"/>
      </w:r>
      <w:r>
        <w:rPr>
          <w:b/>
          <w:bCs/>
          <w:color w:val="000000"/>
        </w:rPr>
        <w:t xml:space="preserve"> </w:t>
      </w:r>
      <w:r>
        <w:rPr>
          <w:rFonts w:hint="eastAsia" w:eastAsia="宋体"/>
          <w:b/>
          <w:bCs/>
          <w:color w:val="000000" w:themeColor="text1"/>
          <w:sz w:val="24"/>
          <w:szCs w:val="24"/>
          <w14:textFill>
            <w14:solidFill>
              <w14:schemeClr w14:val="tx1"/>
            </w14:solidFill>
          </w14:textFill>
        </w:rPr>
        <w:t xml:space="preserve"> </w:t>
      </w:r>
      <w:r>
        <w:rPr>
          <w:rFonts w:eastAsia="宋体"/>
          <w:b/>
          <w:bCs/>
          <w:color w:val="000000" w:themeColor="text1"/>
          <w:sz w:val="24"/>
          <w:szCs w:val="24"/>
          <w14:textFill>
            <w14:solidFill>
              <w14:schemeClr w14:val="tx1"/>
            </w14:solidFill>
          </w14:textFill>
        </w:rPr>
        <w:t xml:space="preserve"> </w:t>
      </w:r>
      <w:r>
        <mc:AlternateContent>
          <mc:Choice Requires="wps">
            <w:drawing>
              <wp:anchor distT="0" distB="0" distL="114300" distR="114300" simplePos="0" relativeHeight="251665408" behindDoc="0" locked="0" layoutInCell="1" allowOverlap="1">
                <wp:simplePos x="0" y="0"/>
                <wp:positionH relativeFrom="column">
                  <wp:posOffset>2893060</wp:posOffset>
                </wp:positionH>
                <wp:positionV relativeFrom="paragraph">
                  <wp:posOffset>5549900</wp:posOffset>
                </wp:positionV>
                <wp:extent cx="530225" cy="1174115"/>
                <wp:effectExtent l="0" t="0" r="22225" b="26670"/>
                <wp:wrapNone/>
                <wp:docPr id="137" name="直接连接符 137"/>
                <wp:cNvGraphicFramePr/>
                <a:graphic xmlns:a="http://schemas.openxmlformats.org/drawingml/2006/main">
                  <a:graphicData uri="http://schemas.microsoft.com/office/word/2010/wordprocessingShape">
                    <wps:wsp>
                      <wps:cNvCnPr/>
                      <wps:spPr>
                        <a:xfrm flipH="1" flipV="1">
                          <a:off x="0" y="0"/>
                          <a:ext cx="530225" cy="1173798"/>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227.8pt;margin-top:437pt;height:92.45pt;width:41.75pt;z-index:251665408;mso-width-relative:page;mso-height-relative:page;" filled="f" stroked="t" coordsize="21600,21600" o:gfxdata="UEsDBAoAAAAAAIdO4kAAAAAAAAAAAAAAAAAEAAAAZHJzL1BLAwQUAAAACACHTuJAPHBZ7dcAAAAM&#10;AQAADwAAAGRycy9kb3ducmV2LnhtbE2PQU7DMBBF90jcwRokdtQONI0b4nRRqQdoQVWXbmziCHsc&#10;Yrcpt2dYwXI0T/+/32xuwbOrndIQUUGxEMAsdtEM2Ct4f9s9SWApazTaR7QKvm2CTXt/1+jaxBn3&#10;9nrIPaMQTLVW4HIea85T52zQaRFHi/T7iFPQmc6p52bSM4UHz5+FWPGgB6QGp0e7dbb7PFyCAi+F&#10;/Dpuq/m0N9SyO3qHVaHU40MhXoFle8t/MPzqkzq05HSOFzSJeQXLslwRqkBWSxpFRPmyLoCdCRWl&#10;XANvG/5/RPsDUEsDBBQAAAAIAIdO4kAlOIs46QEAALcDAAAOAAAAZHJzL2Uyb0RvYy54bWytU0uO&#10;EzEQ3SNxB8t70vkoZKaVziwmGlggiMRnX3G7uy35J5cnnVyCCyCxgxVL9tyG4RiU3U2AYTMLemGV&#10;6/Oq3uvy+upoNDvIgMrZis8mU86kFa5Wtq342zc3Ty44wwi2Bu2srPhJIr/aPH607n0p565zupaB&#10;EYjFsvcV72L0ZVGg6KQBnDgvLQUbFwxEuoa2qAP0hG50MZ9Onxa9C7UPTkhE8m6HIB8Rw0MAXdMo&#10;IbdO3Bpp44AapIZIlLBTHvkmT9s0UsRXTYMyMl1xYhrzSU3I3qez2KyhbAP4TolxBHjICPc4GVCW&#10;mp6hthCB3Qb1D5RRIjh0TZwIZ4qBSFaEWMym97R53YGXmQtJjf4sOv4/WPHysAtM1bQJixVnFgz9&#10;8rsPX7+///Tj20c67758ZilEQvUeS8q/trsw3tDvQmJ9bIJhjVb+OeHwbL1LVooRR3bMgp/Ogstj&#10;ZIKcy8V0Pl9yJig0m60Wq8uL1KgYEFO1DxifSWdYMiqulU2CQAmHFxiH1F8pyW3djdKa/FBqy/qK&#10;Xy4zPtCiNrQg1Mp4Iou25Qx0Sy9AxJAR0WlVp+pUjKHdX+vADpD2Jn/jYH+lpdZbwG7Iy6ExTVui&#10;kQQbJErW3tWnrFz20//MRMfdSwvz5z1X/35vm5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8cFnt&#10;1wAAAAwBAAAPAAAAAAAAAAEAIAAAACIAAABkcnMvZG93bnJldi54bWxQSwECFAAUAAAACACHTuJA&#10;JTiLOOkBAAC3AwAADgAAAAAAAAABACAAAAAmAQAAZHJzL2Uyb0RvYy54bWxQSwUGAAAAAAYABgBZ&#10;AQAAgQUAAAAA&#10;">
                <v:fill on="f" focussize="0,0"/>
                <v:stroke color="#000000 [3213]" joinstyle="round"/>
                <v:imagedata o:title=""/>
                <o:lock v:ext="edit" aspectratio="f"/>
              </v:lin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3423285</wp:posOffset>
                </wp:positionH>
                <wp:positionV relativeFrom="paragraph">
                  <wp:posOffset>6723380</wp:posOffset>
                </wp:positionV>
                <wp:extent cx="314325" cy="257175"/>
                <wp:effectExtent l="0" t="0" r="28575" b="28575"/>
                <wp:wrapNone/>
                <wp:docPr id="136" name="矩形 136"/>
                <wp:cNvGraphicFramePr/>
                <a:graphic xmlns:a="http://schemas.openxmlformats.org/drawingml/2006/main">
                  <a:graphicData uri="http://schemas.microsoft.com/office/word/2010/wordprocessingShape">
                    <wps:wsp>
                      <wps:cNvSpPr/>
                      <wps:spPr>
                        <a:xfrm>
                          <a:off x="0" y="0"/>
                          <a:ext cx="314325" cy="2571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69.55pt;margin-top:529.4pt;height:20.25pt;width:24.75pt;z-index:251664384;v-text-anchor:middle;mso-width-relative:page;mso-height-relative:page;" filled="f" stroked="t" coordsize="21600,21600" o:gfxdata="UEsDBAoAAAAAAIdO4kAAAAAAAAAAAAAAAAAEAAAAZHJzL1BLAwQUAAAACACHTuJAtCVhZtoAAAAN&#10;AQAADwAAAGRycy9kb3ducmV2LnhtbE2PMU/DMBCFdyT+g3VIbNQOJVUT4nQIYkAgIQoLmxsfSSA+&#10;R7GTlH/PdaLT6e49vftesTu6Xsw4hs6ThmSlQCDV3nbUaPh4f7zZggjRkDW9J9TwiwF25eVFYXLr&#10;F3rDeR8bwSEUcqOhjXHIpQx1i86ElR+QWPvyozOR17GRdjQLh7te3iq1kc50xB9aM2DVYv2zn5yG&#10;z/RbvnbVYqaXp4fndB69qu681tdXiboHEfEY/81wwmd0KJnp4CeyQfQa0nWWsJUFlW65BFt4bkAc&#10;TqcsW4MsC3neovwDUEsDBBQAAAAIAIdO4kDXchPPXQIAALcEAAAOAAAAZHJzL2Uyb0RvYy54bWyt&#10;VM1uEzEQviPxDpbvdPPbQNSkihIVIVW0UkGcHa+dtWR7zNjJprwMEjcegsdBvAZj7/aHwqEHcnBm&#10;POP5+eabPTs/OssOCqMBv+DDkwFnykuojd8t+McPF69ecxaT8LWw4NWC36rIz5cvX5y1Ya5G0ICt&#10;FTIK4uO8DQvepBTmVRVlo5yIJxCUJ6MGdCKRiruqRtFSdGer0WBwWrWAdUCQKka63XRG3kfE5wQE&#10;rY1UG5B7p3zqoqKyIlFLsTEh8mWpVmsl05XWUSVmF5w6TeWkJCRv81ktz8R8hyI0RvYliOeU8KQn&#10;J4ynpPehNiIJtkfzVyhnJEIEnU4kuKprpCBCXQwHT7C5aURQpReCOoZ70OP/CyvfH66RmZqYMD7l&#10;zAtHI//19fvPH99YviF82hDn5HYTrrHXIom52aNGl/+pDXYsmN7eY6qOiUm6HA8n49GUM0mm0XQ2&#10;nE1zzOrhccCY3ipwLAsLjjSygqQ4XMbUud655FweLoy1dC/m1rOW6h7NBjRNKYiLmjhAogvUT/Q7&#10;zoTdEcllwhIygjV1fp5fR9xt1xbZQWRqlF9f2R9uOfdGxKbzK6bezXrqI4PTwZGlLdS3BCdCx7MY&#10;5IWh95cipmuBRCwqlFYvXdGhLVD10EucNYBf/nWf/WneZOWsJaJSZ5/3AhVn9p0nJrwZTiaZ2UWZ&#10;TGcjUvCxZfvY4vduDdTwkJY8yCJm/2TvRI3gPtGGrnJWMgkvKXeHYa+sU7dAtONSrVbFjdgcRLr0&#10;N0Hm4N2kVvsE2pQhPqDTg0Z8LjTody8vzGO9eD18b5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LQlYWbaAAAADQEAAA8AAAAAAAAAAQAgAAAAIgAAAGRycy9kb3ducmV2LnhtbFBLAQIUABQAAAAI&#10;AIdO4kDXchPPXQIAALcEAAAOAAAAAAAAAAEAIAAAACkBAABkcnMvZTJvRG9jLnhtbFBLBQYAAAAA&#10;BgAGAFkBAAD4BQAAAAA=&#10;">
                <v:fill on="f" focussize="0,0"/>
                <v:stroke weight="1pt" color="#000000 [3213]" joinstyle="round"/>
                <v:imagedata o:title=""/>
                <o:lock v:ext="edit" aspectratio="f"/>
              </v:rect>
            </w:pict>
          </mc:Fallback>
        </mc:AlternateContent>
      </w:r>
    </w:p>
    <w:p>
      <w:pPr>
        <w:pStyle w:val="2"/>
        <w:sectPr>
          <w:headerReference r:id="rId14" w:type="default"/>
          <w:pgSz w:w="11907" w:h="16839"/>
          <w:pgMar w:top="1474" w:right="1418" w:bottom="1701" w:left="1134" w:header="851" w:footer="709" w:gutter="0"/>
          <w:cols w:space="720" w:num="1"/>
          <w:docGrid w:linePitch="312" w:charSpace="0"/>
        </w:sectPr>
      </w:pPr>
    </w:p>
    <w:p>
      <w:pPr>
        <w:pStyle w:val="34"/>
        <w:rPr>
          <w:color w:val="000000" w:themeColor="text1"/>
          <w14:textFill>
            <w14:solidFill>
              <w14:schemeClr w14:val="tx1"/>
            </w14:solidFill>
          </w14:textFill>
        </w:rPr>
        <w:sectPr>
          <w:headerReference r:id="rId15" w:type="default"/>
          <w:footerReference r:id="rId16" w:type="default"/>
          <w:pgSz w:w="11907" w:h="16839"/>
          <w:pgMar w:top="1474" w:right="1418" w:bottom="1701" w:left="1134" w:header="851" w:footer="709" w:gutter="0"/>
          <w:cols w:space="720" w:num="1"/>
          <w:docGrid w:linePitch="312" w:charSpace="0"/>
        </w:sectPr>
      </w:pPr>
    </w:p>
    <w:p>
      <w:pPr>
        <w:pStyle w:val="47"/>
        <w:jc w:val="both"/>
        <w:rPr>
          <w:rFonts w:hint="eastAsia" w:eastAsia="宋体"/>
          <w:color w:val="000000" w:themeColor="text1"/>
          <w:lang w:eastAsia="zh-CN"/>
          <w14:textFill>
            <w14:solidFill>
              <w14:schemeClr w14:val="tx1"/>
            </w14:solidFill>
          </w14:textFill>
        </w:rPr>
      </w:pPr>
    </w:p>
    <w:sectPr>
      <w:pgSz w:w="11907" w:h="16839"/>
      <w:pgMar w:top="1474" w:right="1418" w:bottom="1701" w:left="1134" w:header="851" w:footer="709"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Impact">
    <w:panose1 w:val="020B0806030902050204"/>
    <w:charset w:val="00"/>
    <w:family w:val="swiss"/>
    <w:pitch w:val="default"/>
    <w:sig w:usb0="00000287" w:usb1="00000000" w:usb2="00000000" w:usb3="00000000" w:csb0="2000009F" w:csb1="DFD70000"/>
  </w:font>
  <w:font w:name="仿宋体">
    <w:altName w:val="宋体"/>
    <w:panose1 w:val="00000000000000000000"/>
    <w:charset w:val="86"/>
    <w:family w:val="roma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imesNewRoman">
    <w:altName w:val="宋体"/>
    <w:panose1 w:val="00000000000000000000"/>
    <w:charset w:val="00"/>
    <w:family w:val="roman"/>
    <w:pitch w:val="default"/>
    <w:sig w:usb0="00000000" w:usb1="00000000" w:usb2="00000000" w:usb3="00000000" w:csb0="00000000" w:csb1="00000000"/>
  </w:font>
  <w:font w:name="TimesNewRomanPSMT">
    <w:altName w:val="Times New Roman"/>
    <w:panose1 w:val="00000000000000000000"/>
    <w:charset w:val="01"/>
    <w:family w:val="auto"/>
    <w:pitch w:val="default"/>
    <w:sig w:usb0="00000000" w:usb1="00000000" w:usb2="00000010" w:usb3="00000000" w:csb0="00040001" w:csb1="00000000"/>
  </w:font>
  <w:font w:name="ArialMT">
    <w:altName w:val="Times New Roman"/>
    <w:panose1 w:val="00000000000000000000"/>
    <w:charset w:val="00"/>
    <w:family w:val="roman"/>
    <w:pitch w:val="default"/>
    <w:sig w:usb0="00000000" w:usb1="00000000" w:usb2="00000000" w:usb3="00000000" w:csb0="00000000" w:csb1="00000000"/>
  </w:font>
  <w:font w:name="Hei">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rPr>
        <w:rStyle w:val="42"/>
      </w:rPr>
    </w:pPr>
    <w:r>
      <w:rPr>
        <w:rStyle w:val="42"/>
      </w:rPr>
      <w:fldChar w:fldCharType="begin"/>
    </w:r>
    <w:r>
      <w:rPr>
        <w:rStyle w:val="42"/>
      </w:rPr>
      <w:instrText xml:space="preserve">PAGE  </w:instrText>
    </w:r>
    <w:r>
      <w:rPr>
        <w:rStyle w:val="42"/>
      </w:rPr>
      <w:fldChar w:fldCharType="separate"/>
    </w:r>
    <w:r>
      <w:rPr>
        <w:rStyle w:val="42"/>
      </w:rPr>
      <w:t>8</w:t>
    </w:r>
    <w:r>
      <w:rPr>
        <w:rStyle w:val="42"/>
      </w:rPr>
      <w:fldChar w:fldCharType="end"/>
    </w:r>
  </w:p>
  <w:p>
    <w:pPr>
      <w:pStyle w:val="27"/>
      <w:tabs>
        <w:tab w:val="clear" w:pos="4153"/>
        <w:tab w:val="clear" w:pos="8306"/>
      </w:tabs>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rPr>
        <w:rStyle w:val="42"/>
      </w:rPr>
    </w:pPr>
    <w:r>
      <w:rPr>
        <w:rStyle w:val="42"/>
      </w:rPr>
      <w:fldChar w:fldCharType="begin"/>
    </w:r>
    <w:r>
      <w:rPr>
        <w:rStyle w:val="42"/>
      </w:rPr>
      <w:instrText xml:space="preserve">PAGE  </w:instrText>
    </w:r>
    <w:r>
      <w:rPr>
        <w:rStyle w:val="42"/>
      </w:rPr>
      <w:fldChar w:fldCharType="end"/>
    </w:r>
  </w:p>
  <w:p>
    <w:pPr>
      <w:pStyle w:val="2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w:fldChar w:fldCharType="begin"/>
    </w:r>
    <w:r>
      <w:instrText xml:space="preserve">PAGE   \* MERGEFORMAT</w:instrText>
    </w:r>
    <w:r>
      <w:fldChar w:fldCharType="separate"/>
    </w:r>
    <w:r>
      <w:rPr>
        <w:lang w:val="zh-CN"/>
      </w:rPr>
      <w:t>49</w:t>
    </w:r>
    <w:r>
      <w:rPr>
        <w:lang w:val="zh-CN"/>
      </w:rPr>
      <w:fldChar w:fldCharType="end"/>
    </w:r>
  </w:p>
  <w:p>
    <w:pPr>
      <w:pStyle w:val="27"/>
      <w:tabs>
        <w:tab w:val="clear" w:pos="4153"/>
        <w:tab w:val="clear" w:pos="8306"/>
      </w:tabs>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center" w:y="1"/>
      <w:rPr>
        <w:rStyle w:val="42"/>
      </w:rPr>
    </w:pPr>
    <w:r>
      <w:rPr>
        <w:rStyle w:val="42"/>
      </w:rPr>
      <w:fldChar w:fldCharType="begin"/>
    </w:r>
    <w:r>
      <w:rPr>
        <w:rStyle w:val="42"/>
      </w:rPr>
      <w:instrText xml:space="preserve">PAGE  </w:instrText>
    </w:r>
    <w:r>
      <w:rPr>
        <w:rStyle w:val="42"/>
      </w:rPr>
      <w:fldChar w:fldCharType="separate"/>
    </w:r>
    <w:r>
      <w:rPr>
        <w:rStyle w:val="42"/>
      </w:rPr>
      <w:t>92</w:t>
    </w:r>
    <w:r>
      <w:rPr>
        <w:rStyle w:val="42"/>
      </w:rPr>
      <w:fldChar w:fldCharType="end"/>
    </w:r>
  </w:p>
  <w:p>
    <w:pPr>
      <w:pStyle w:val="27"/>
      <w:framePr w:h="197" w:hRule="exact" w:wrap="around" w:vAnchor="text" w:hAnchor="page" w:x="5739" w:y="-54"/>
      <w:ind w:right="360"/>
      <w:jc w:val="both"/>
      <w:rPr>
        <w:rStyle w:val="42"/>
      </w:rPr>
    </w:pPr>
  </w:p>
  <w:p>
    <w:pPr>
      <w:pStyle w:val="27"/>
      <w:tabs>
        <w:tab w:val="clear" w:pos="4153"/>
        <w:tab w:val="clear" w:pos="8306"/>
      </w:tabs>
    </w:pPr>
    <w: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tabs>
        <w:tab w:val="left" w:pos="14060"/>
        <w:tab w:val="right" w:pos="20934"/>
      </w:tabs>
      <w:jc w:val="center"/>
    </w:pPr>
    <w:r>
      <w:fldChar w:fldCharType="begin"/>
    </w:r>
    <w:r>
      <w:instrText xml:space="preserve"> PAGE   \* MERGEFORMAT </w:instrText>
    </w:r>
    <w:r>
      <w:fldChar w:fldCharType="separate"/>
    </w:r>
    <w:r>
      <w:rPr>
        <w:lang w:val="zh-CN"/>
      </w:rPr>
      <w:t>108</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F79E86"/>
    <w:multiLevelType w:val="singleLevel"/>
    <w:tmpl w:val="E8F79E86"/>
    <w:lvl w:ilvl="0" w:tentative="0">
      <w:start w:val="1"/>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suff w:val="nothing"/>
      <w:lvlText w:val="%1、"/>
      <w:lvlJc w:val="left"/>
    </w:lvl>
  </w:abstractNum>
  <w:abstractNum w:abstractNumId="2">
    <w:nsid w:val="00000002"/>
    <w:multiLevelType w:val="singleLevel"/>
    <w:tmpl w:val="00000002"/>
    <w:lvl w:ilvl="0" w:tentative="0">
      <w:start w:val="1"/>
      <w:numFmt w:val="decimal"/>
      <w:suff w:val="nothing"/>
      <w:lvlText w:val="%1、"/>
      <w:lvlJc w:val="left"/>
    </w:lvl>
  </w:abstractNum>
  <w:abstractNum w:abstractNumId="3">
    <w:nsid w:val="00000003"/>
    <w:multiLevelType w:val="singleLevel"/>
    <w:tmpl w:val="00000003"/>
    <w:lvl w:ilvl="0" w:tentative="0">
      <w:start w:val="1"/>
      <w:numFmt w:val="decimalEnclosedCircleChinese"/>
      <w:suff w:val="nothing"/>
      <w:lvlText w:val="%1　"/>
      <w:lvlJc w:val="left"/>
      <w:pPr>
        <w:ind w:left="0" w:firstLine="400"/>
      </w:pPr>
      <w:rPr>
        <w:rFonts w:hint="eastAsia"/>
      </w:rPr>
    </w:lvl>
  </w:abstractNum>
  <w:abstractNum w:abstractNumId="4">
    <w:nsid w:val="00000004"/>
    <w:multiLevelType w:val="singleLevel"/>
    <w:tmpl w:val="00000004"/>
    <w:lvl w:ilvl="0" w:tentative="0">
      <w:start w:val="1"/>
      <w:numFmt w:val="decimal"/>
      <w:suff w:val="nothing"/>
      <w:lvlText w:val="%1、"/>
      <w:lvlJc w:val="left"/>
    </w:lvl>
  </w:abstractNum>
  <w:abstractNum w:abstractNumId="5">
    <w:nsid w:val="00000006"/>
    <w:multiLevelType w:val="singleLevel"/>
    <w:tmpl w:val="00000006"/>
    <w:lvl w:ilvl="0" w:tentative="0">
      <w:start w:val="1"/>
      <w:numFmt w:val="decimalEnclosedCircleChinese"/>
      <w:suff w:val="nothing"/>
      <w:lvlText w:val="%1　"/>
      <w:lvlJc w:val="left"/>
      <w:pPr>
        <w:ind w:left="0" w:firstLine="400"/>
      </w:pPr>
      <w:rPr>
        <w:rFonts w:hint="eastAsia"/>
      </w:rPr>
    </w:lvl>
  </w:abstractNum>
  <w:abstractNum w:abstractNumId="6">
    <w:nsid w:val="00000007"/>
    <w:multiLevelType w:val="singleLevel"/>
    <w:tmpl w:val="00000007"/>
    <w:lvl w:ilvl="0" w:tentative="0">
      <w:start w:val="1"/>
      <w:numFmt w:val="chineseCounting"/>
      <w:suff w:val="nothing"/>
      <w:lvlText w:val="（%1）"/>
      <w:lvlJc w:val="left"/>
      <w:rPr>
        <w:rFonts w:hint="eastAsia"/>
      </w:rPr>
    </w:lvl>
  </w:abstractNum>
  <w:abstractNum w:abstractNumId="7">
    <w:nsid w:val="00000009"/>
    <w:multiLevelType w:val="singleLevel"/>
    <w:tmpl w:val="00000009"/>
    <w:lvl w:ilvl="0" w:tentative="0">
      <w:start w:val="1"/>
      <w:numFmt w:val="decimal"/>
      <w:lvlText w:val="(%1)"/>
      <w:lvlJc w:val="left"/>
      <w:pPr>
        <w:ind w:left="425" w:hanging="425"/>
      </w:pPr>
      <w:rPr>
        <w:rFonts w:hint="default"/>
      </w:rPr>
    </w:lvl>
  </w:abstractNum>
  <w:abstractNum w:abstractNumId="8">
    <w:nsid w:val="0000000A"/>
    <w:multiLevelType w:val="singleLevel"/>
    <w:tmpl w:val="0000000A"/>
    <w:lvl w:ilvl="0" w:tentative="0">
      <w:start w:val="1"/>
      <w:numFmt w:val="decimal"/>
      <w:lvlText w:val="%1)"/>
      <w:lvlJc w:val="left"/>
      <w:pPr>
        <w:ind w:left="425" w:hanging="425"/>
      </w:pPr>
      <w:rPr>
        <w:rFonts w:hint="default"/>
      </w:rPr>
    </w:lvl>
  </w:abstractNum>
  <w:abstractNum w:abstractNumId="9">
    <w:nsid w:val="0000000B"/>
    <w:multiLevelType w:val="singleLevel"/>
    <w:tmpl w:val="0000000B"/>
    <w:lvl w:ilvl="0" w:tentative="0">
      <w:start w:val="1"/>
      <w:numFmt w:val="lowerLetter"/>
      <w:lvlText w:val="%1)"/>
      <w:lvlJc w:val="left"/>
      <w:pPr>
        <w:ind w:left="840" w:hanging="420"/>
      </w:pPr>
      <w:rPr>
        <w:rFonts w:hint="default"/>
      </w:rPr>
    </w:lvl>
  </w:abstractNum>
  <w:abstractNum w:abstractNumId="10">
    <w:nsid w:val="0000000C"/>
    <w:multiLevelType w:val="singleLevel"/>
    <w:tmpl w:val="0000000C"/>
    <w:lvl w:ilvl="0" w:tentative="0">
      <w:start w:val="1"/>
      <w:numFmt w:val="decimalEnclosedCircleChinese"/>
      <w:suff w:val="nothing"/>
      <w:lvlText w:val="%1　"/>
      <w:lvlJc w:val="left"/>
      <w:pPr>
        <w:ind w:left="420" w:firstLine="400"/>
      </w:pPr>
      <w:rPr>
        <w:rFonts w:hint="eastAsia"/>
      </w:rPr>
    </w:lvl>
  </w:abstractNum>
  <w:abstractNum w:abstractNumId="11">
    <w:nsid w:val="0000000D"/>
    <w:multiLevelType w:val="singleLevel"/>
    <w:tmpl w:val="0000000D"/>
    <w:lvl w:ilvl="0" w:tentative="0">
      <w:start w:val="1"/>
      <w:numFmt w:val="decimal"/>
      <w:lvlText w:val="%1)"/>
      <w:lvlJc w:val="left"/>
      <w:pPr>
        <w:ind w:left="425" w:hanging="425"/>
      </w:pPr>
      <w:rPr>
        <w:rFonts w:hint="default"/>
        <w:b/>
        <w:bCs/>
      </w:rPr>
    </w:lvl>
  </w:abstractNum>
  <w:abstractNum w:abstractNumId="12">
    <w:nsid w:val="0000000E"/>
    <w:multiLevelType w:val="singleLevel"/>
    <w:tmpl w:val="0000000E"/>
    <w:lvl w:ilvl="0" w:tentative="0">
      <w:start w:val="1"/>
      <w:numFmt w:val="decimalEnclosedCircleChinese"/>
      <w:suff w:val="nothing"/>
      <w:lvlText w:val="%1　"/>
      <w:lvlJc w:val="left"/>
      <w:pPr>
        <w:ind w:left="-62" w:firstLine="400"/>
      </w:pPr>
      <w:rPr>
        <w:rFonts w:hint="eastAsia"/>
        <w:b/>
        <w:bCs/>
      </w:rPr>
    </w:lvl>
  </w:abstractNum>
  <w:abstractNum w:abstractNumId="13">
    <w:nsid w:val="3D8E24A6"/>
    <w:multiLevelType w:val="multilevel"/>
    <w:tmpl w:val="3D8E24A6"/>
    <w:lvl w:ilvl="0" w:tentative="0">
      <w:start w:val="1"/>
      <w:numFmt w:val="decimal"/>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42462EEC"/>
    <w:multiLevelType w:val="singleLevel"/>
    <w:tmpl w:val="42462EEC"/>
    <w:lvl w:ilvl="0" w:tentative="0">
      <w:start w:val="1"/>
      <w:numFmt w:val="decimal"/>
      <w:suff w:val="nothing"/>
      <w:lvlText w:val="%1、"/>
      <w:lvlJc w:val="left"/>
    </w:lvl>
  </w:abstractNum>
  <w:num w:numId="1">
    <w:abstractNumId w:val="0"/>
  </w:num>
  <w:num w:numId="2">
    <w:abstractNumId w:val="1"/>
  </w:num>
  <w:num w:numId="3">
    <w:abstractNumId w:val="4"/>
  </w:num>
  <w:num w:numId="4">
    <w:abstractNumId w:val="2"/>
  </w:num>
  <w:num w:numId="5">
    <w:abstractNumId w:val="6"/>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5"/>
  </w:num>
  <w:num w:numId="9">
    <w:abstractNumId w:val="8"/>
  </w:num>
  <w:num w:numId="10">
    <w:abstractNumId w:val="9"/>
  </w:num>
  <w:num w:numId="11">
    <w:abstractNumId w:val="12"/>
  </w:num>
  <w:num w:numId="12">
    <w:abstractNumId w:val="11"/>
  </w:num>
  <w:num w:numId="13">
    <w:abstractNumId w:val="14"/>
  </w:num>
  <w:num w:numId="14">
    <w:abstractNumId w:val="10"/>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HorizontalSpacing w:val="105"/>
  <w:drawingGridVerticalSpacing w:val="156"/>
  <w:displayHorizontalDrawingGridEvery w:val="2"/>
  <w:displayVerticalDrawingGridEvery w:val="2"/>
  <w:noPunctuationKerning w:val="1"/>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lmNTYwZTMxNTNhNzU3YjBmNzU1MzMyNjRmYTBmNTUifQ=="/>
  </w:docVars>
  <w:rsids>
    <w:rsidRoot w:val="00C02657"/>
    <w:rsid w:val="0000191D"/>
    <w:rsid w:val="000050EE"/>
    <w:rsid w:val="00012915"/>
    <w:rsid w:val="00021623"/>
    <w:rsid w:val="0003098F"/>
    <w:rsid w:val="00034CE5"/>
    <w:rsid w:val="00057A8B"/>
    <w:rsid w:val="0006058F"/>
    <w:rsid w:val="00061CF6"/>
    <w:rsid w:val="000642EB"/>
    <w:rsid w:val="0007067E"/>
    <w:rsid w:val="00074FFD"/>
    <w:rsid w:val="000810C2"/>
    <w:rsid w:val="00090BDF"/>
    <w:rsid w:val="000A76B0"/>
    <w:rsid w:val="000C23B2"/>
    <w:rsid w:val="000C7042"/>
    <w:rsid w:val="000C7C4C"/>
    <w:rsid w:val="000F0364"/>
    <w:rsid w:val="001147EF"/>
    <w:rsid w:val="00116D8E"/>
    <w:rsid w:val="00130862"/>
    <w:rsid w:val="00134E8C"/>
    <w:rsid w:val="00135801"/>
    <w:rsid w:val="00140EBE"/>
    <w:rsid w:val="00185A57"/>
    <w:rsid w:val="001A4C61"/>
    <w:rsid w:val="001B6405"/>
    <w:rsid w:val="001D3962"/>
    <w:rsid w:val="001D67F6"/>
    <w:rsid w:val="001E48EA"/>
    <w:rsid w:val="001E4ACC"/>
    <w:rsid w:val="001E7F9D"/>
    <w:rsid w:val="001F0B15"/>
    <w:rsid w:val="002021D0"/>
    <w:rsid w:val="002059F6"/>
    <w:rsid w:val="002114BB"/>
    <w:rsid w:val="00230B1D"/>
    <w:rsid w:val="0023631C"/>
    <w:rsid w:val="002448B9"/>
    <w:rsid w:val="002504CD"/>
    <w:rsid w:val="00255F03"/>
    <w:rsid w:val="00260F02"/>
    <w:rsid w:val="0026187A"/>
    <w:rsid w:val="00265181"/>
    <w:rsid w:val="00281B88"/>
    <w:rsid w:val="002934C9"/>
    <w:rsid w:val="002A1F97"/>
    <w:rsid w:val="002A36F4"/>
    <w:rsid w:val="002B4110"/>
    <w:rsid w:val="002C2338"/>
    <w:rsid w:val="002C38B8"/>
    <w:rsid w:val="002C71EA"/>
    <w:rsid w:val="002F0BDE"/>
    <w:rsid w:val="002F3719"/>
    <w:rsid w:val="002F4480"/>
    <w:rsid w:val="00306673"/>
    <w:rsid w:val="00306CE3"/>
    <w:rsid w:val="00311C8D"/>
    <w:rsid w:val="003246C5"/>
    <w:rsid w:val="00326D0E"/>
    <w:rsid w:val="00332615"/>
    <w:rsid w:val="0033688F"/>
    <w:rsid w:val="0034099C"/>
    <w:rsid w:val="003505BE"/>
    <w:rsid w:val="00361E44"/>
    <w:rsid w:val="00364918"/>
    <w:rsid w:val="00366E94"/>
    <w:rsid w:val="00367FF7"/>
    <w:rsid w:val="00371379"/>
    <w:rsid w:val="00384760"/>
    <w:rsid w:val="00390508"/>
    <w:rsid w:val="0039374B"/>
    <w:rsid w:val="00393A74"/>
    <w:rsid w:val="003A0731"/>
    <w:rsid w:val="003A0F90"/>
    <w:rsid w:val="003A3BF2"/>
    <w:rsid w:val="003D41F2"/>
    <w:rsid w:val="003D4271"/>
    <w:rsid w:val="003E32E8"/>
    <w:rsid w:val="003E796D"/>
    <w:rsid w:val="003F4E1A"/>
    <w:rsid w:val="003F6D3A"/>
    <w:rsid w:val="003F6E68"/>
    <w:rsid w:val="00402AAF"/>
    <w:rsid w:val="00405677"/>
    <w:rsid w:val="00407A01"/>
    <w:rsid w:val="0042235F"/>
    <w:rsid w:val="004266C1"/>
    <w:rsid w:val="00433F52"/>
    <w:rsid w:val="00440C59"/>
    <w:rsid w:val="0044322A"/>
    <w:rsid w:val="0046797A"/>
    <w:rsid w:val="0047152D"/>
    <w:rsid w:val="0048689F"/>
    <w:rsid w:val="0049766C"/>
    <w:rsid w:val="004B2640"/>
    <w:rsid w:val="004D6B61"/>
    <w:rsid w:val="004E1C64"/>
    <w:rsid w:val="004E29C2"/>
    <w:rsid w:val="004E3D7D"/>
    <w:rsid w:val="004F2877"/>
    <w:rsid w:val="004F4AF5"/>
    <w:rsid w:val="00510B13"/>
    <w:rsid w:val="0051233D"/>
    <w:rsid w:val="005241EC"/>
    <w:rsid w:val="005258CE"/>
    <w:rsid w:val="00540AD4"/>
    <w:rsid w:val="00550BDB"/>
    <w:rsid w:val="00566F8E"/>
    <w:rsid w:val="005679C0"/>
    <w:rsid w:val="0058668E"/>
    <w:rsid w:val="0059015D"/>
    <w:rsid w:val="00592E76"/>
    <w:rsid w:val="00592E82"/>
    <w:rsid w:val="00594288"/>
    <w:rsid w:val="00595EB4"/>
    <w:rsid w:val="005B00DA"/>
    <w:rsid w:val="005B57C2"/>
    <w:rsid w:val="005B767C"/>
    <w:rsid w:val="005C67B5"/>
    <w:rsid w:val="005D4318"/>
    <w:rsid w:val="005D4A3C"/>
    <w:rsid w:val="005E2B3D"/>
    <w:rsid w:val="005E3872"/>
    <w:rsid w:val="005E3B18"/>
    <w:rsid w:val="00603213"/>
    <w:rsid w:val="00603EDA"/>
    <w:rsid w:val="00611A40"/>
    <w:rsid w:val="00611F07"/>
    <w:rsid w:val="00620E2E"/>
    <w:rsid w:val="00621480"/>
    <w:rsid w:val="006344F0"/>
    <w:rsid w:val="006517BD"/>
    <w:rsid w:val="00667C56"/>
    <w:rsid w:val="006708CD"/>
    <w:rsid w:val="00673ED4"/>
    <w:rsid w:val="00676952"/>
    <w:rsid w:val="00683F2F"/>
    <w:rsid w:val="00692148"/>
    <w:rsid w:val="006A2BA1"/>
    <w:rsid w:val="006C2608"/>
    <w:rsid w:val="006C583C"/>
    <w:rsid w:val="006C5AFB"/>
    <w:rsid w:val="006F4353"/>
    <w:rsid w:val="00706475"/>
    <w:rsid w:val="00710184"/>
    <w:rsid w:val="00712A11"/>
    <w:rsid w:val="0071406D"/>
    <w:rsid w:val="00716B91"/>
    <w:rsid w:val="00732D88"/>
    <w:rsid w:val="00751184"/>
    <w:rsid w:val="007633AC"/>
    <w:rsid w:val="007636CC"/>
    <w:rsid w:val="00775A7D"/>
    <w:rsid w:val="007810A4"/>
    <w:rsid w:val="00784456"/>
    <w:rsid w:val="007918F9"/>
    <w:rsid w:val="0079301F"/>
    <w:rsid w:val="007A04DE"/>
    <w:rsid w:val="007A1107"/>
    <w:rsid w:val="007A7E4C"/>
    <w:rsid w:val="007B7AF7"/>
    <w:rsid w:val="007C0248"/>
    <w:rsid w:val="007C1A1C"/>
    <w:rsid w:val="007D3F0C"/>
    <w:rsid w:val="007E7179"/>
    <w:rsid w:val="008008D3"/>
    <w:rsid w:val="00821FD0"/>
    <w:rsid w:val="00823723"/>
    <w:rsid w:val="0082547E"/>
    <w:rsid w:val="00836759"/>
    <w:rsid w:val="00837D3B"/>
    <w:rsid w:val="00840A51"/>
    <w:rsid w:val="00843AF0"/>
    <w:rsid w:val="00845ABA"/>
    <w:rsid w:val="00854332"/>
    <w:rsid w:val="00857C23"/>
    <w:rsid w:val="008640BB"/>
    <w:rsid w:val="00864C1A"/>
    <w:rsid w:val="00864D2F"/>
    <w:rsid w:val="00871F08"/>
    <w:rsid w:val="00872DD6"/>
    <w:rsid w:val="00874A17"/>
    <w:rsid w:val="00875724"/>
    <w:rsid w:val="00877D84"/>
    <w:rsid w:val="008815F6"/>
    <w:rsid w:val="008864E8"/>
    <w:rsid w:val="00890933"/>
    <w:rsid w:val="00893047"/>
    <w:rsid w:val="008A2ACF"/>
    <w:rsid w:val="008B1F5C"/>
    <w:rsid w:val="008C25E4"/>
    <w:rsid w:val="008D007D"/>
    <w:rsid w:val="008E3152"/>
    <w:rsid w:val="008F3A3F"/>
    <w:rsid w:val="008F4D82"/>
    <w:rsid w:val="008F74D1"/>
    <w:rsid w:val="00900560"/>
    <w:rsid w:val="00910055"/>
    <w:rsid w:val="00922581"/>
    <w:rsid w:val="00931FD6"/>
    <w:rsid w:val="009463B1"/>
    <w:rsid w:val="00956392"/>
    <w:rsid w:val="00957D42"/>
    <w:rsid w:val="00972585"/>
    <w:rsid w:val="00972B0D"/>
    <w:rsid w:val="00973973"/>
    <w:rsid w:val="009865F0"/>
    <w:rsid w:val="00992001"/>
    <w:rsid w:val="009969D7"/>
    <w:rsid w:val="00997D78"/>
    <w:rsid w:val="009A3102"/>
    <w:rsid w:val="009A6983"/>
    <w:rsid w:val="009B3EC5"/>
    <w:rsid w:val="009B423D"/>
    <w:rsid w:val="009C793C"/>
    <w:rsid w:val="009D4F47"/>
    <w:rsid w:val="009E3FB1"/>
    <w:rsid w:val="009F4963"/>
    <w:rsid w:val="00A05707"/>
    <w:rsid w:val="00A07523"/>
    <w:rsid w:val="00A15955"/>
    <w:rsid w:val="00A20810"/>
    <w:rsid w:val="00A25B57"/>
    <w:rsid w:val="00A31C8B"/>
    <w:rsid w:val="00A342E8"/>
    <w:rsid w:val="00A342EF"/>
    <w:rsid w:val="00A35604"/>
    <w:rsid w:val="00A55156"/>
    <w:rsid w:val="00A573AD"/>
    <w:rsid w:val="00A57CE7"/>
    <w:rsid w:val="00A6085D"/>
    <w:rsid w:val="00A70525"/>
    <w:rsid w:val="00A81025"/>
    <w:rsid w:val="00A83FF4"/>
    <w:rsid w:val="00A960F1"/>
    <w:rsid w:val="00A96202"/>
    <w:rsid w:val="00A966F5"/>
    <w:rsid w:val="00AC58E9"/>
    <w:rsid w:val="00AD563E"/>
    <w:rsid w:val="00AE3B5E"/>
    <w:rsid w:val="00AE6867"/>
    <w:rsid w:val="00AF4071"/>
    <w:rsid w:val="00AF53B9"/>
    <w:rsid w:val="00AF76AC"/>
    <w:rsid w:val="00B02098"/>
    <w:rsid w:val="00B06065"/>
    <w:rsid w:val="00B10089"/>
    <w:rsid w:val="00B4237C"/>
    <w:rsid w:val="00B4499A"/>
    <w:rsid w:val="00B46560"/>
    <w:rsid w:val="00B50D8E"/>
    <w:rsid w:val="00B6585B"/>
    <w:rsid w:val="00B67451"/>
    <w:rsid w:val="00B7303C"/>
    <w:rsid w:val="00B744E0"/>
    <w:rsid w:val="00B76D4F"/>
    <w:rsid w:val="00B77F07"/>
    <w:rsid w:val="00B828F6"/>
    <w:rsid w:val="00B87124"/>
    <w:rsid w:val="00BA2CAF"/>
    <w:rsid w:val="00BB0819"/>
    <w:rsid w:val="00BD1995"/>
    <w:rsid w:val="00BD2B7A"/>
    <w:rsid w:val="00BD4411"/>
    <w:rsid w:val="00BE72AD"/>
    <w:rsid w:val="00BE72CE"/>
    <w:rsid w:val="00BF2786"/>
    <w:rsid w:val="00BF479F"/>
    <w:rsid w:val="00C0186C"/>
    <w:rsid w:val="00C02657"/>
    <w:rsid w:val="00C10074"/>
    <w:rsid w:val="00C321AD"/>
    <w:rsid w:val="00C34664"/>
    <w:rsid w:val="00C36A7B"/>
    <w:rsid w:val="00C4413C"/>
    <w:rsid w:val="00C441C3"/>
    <w:rsid w:val="00C446C3"/>
    <w:rsid w:val="00C5083F"/>
    <w:rsid w:val="00C51F5C"/>
    <w:rsid w:val="00C64995"/>
    <w:rsid w:val="00C711BD"/>
    <w:rsid w:val="00C74498"/>
    <w:rsid w:val="00C80818"/>
    <w:rsid w:val="00C93461"/>
    <w:rsid w:val="00C95870"/>
    <w:rsid w:val="00CA7885"/>
    <w:rsid w:val="00CC7746"/>
    <w:rsid w:val="00CD1F0F"/>
    <w:rsid w:val="00CD70E8"/>
    <w:rsid w:val="00CE45EA"/>
    <w:rsid w:val="00CE4E1B"/>
    <w:rsid w:val="00D011BC"/>
    <w:rsid w:val="00D05845"/>
    <w:rsid w:val="00D05C7E"/>
    <w:rsid w:val="00D1089E"/>
    <w:rsid w:val="00D11846"/>
    <w:rsid w:val="00D17296"/>
    <w:rsid w:val="00D17890"/>
    <w:rsid w:val="00D253CA"/>
    <w:rsid w:val="00D42F2B"/>
    <w:rsid w:val="00D53ADA"/>
    <w:rsid w:val="00D647EC"/>
    <w:rsid w:val="00D64F12"/>
    <w:rsid w:val="00D6625A"/>
    <w:rsid w:val="00D71869"/>
    <w:rsid w:val="00D808D4"/>
    <w:rsid w:val="00D82708"/>
    <w:rsid w:val="00D940A8"/>
    <w:rsid w:val="00D97796"/>
    <w:rsid w:val="00D97EF0"/>
    <w:rsid w:val="00DA3F29"/>
    <w:rsid w:val="00DA5001"/>
    <w:rsid w:val="00DA7AE6"/>
    <w:rsid w:val="00DB7890"/>
    <w:rsid w:val="00DC076E"/>
    <w:rsid w:val="00DC4608"/>
    <w:rsid w:val="00DE6BF4"/>
    <w:rsid w:val="00DF7DE1"/>
    <w:rsid w:val="00E103B1"/>
    <w:rsid w:val="00E147A0"/>
    <w:rsid w:val="00E17C1C"/>
    <w:rsid w:val="00E2108F"/>
    <w:rsid w:val="00E2324F"/>
    <w:rsid w:val="00E32EC7"/>
    <w:rsid w:val="00E3445F"/>
    <w:rsid w:val="00E50FBD"/>
    <w:rsid w:val="00E53943"/>
    <w:rsid w:val="00E55161"/>
    <w:rsid w:val="00E60669"/>
    <w:rsid w:val="00E7058D"/>
    <w:rsid w:val="00E72611"/>
    <w:rsid w:val="00E77809"/>
    <w:rsid w:val="00E80402"/>
    <w:rsid w:val="00E87206"/>
    <w:rsid w:val="00EA607F"/>
    <w:rsid w:val="00EA73C4"/>
    <w:rsid w:val="00EB564B"/>
    <w:rsid w:val="00EC2F36"/>
    <w:rsid w:val="00EE1D5F"/>
    <w:rsid w:val="00EE3B53"/>
    <w:rsid w:val="00EE59C5"/>
    <w:rsid w:val="00EF4D0F"/>
    <w:rsid w:val="00F074D6"/>
    <w:rsid w:val="00F1057F"/>
    <w:rsid w:val="00F11623"/>
    <w:rsid w:val="00F116E3"/>
    <w:rsid w:val="00F1299B"/>
    <w:rsid w:val="00F14444"/>
    <w:rsid w:val="00F21803"/>
    <w:rsid w:val="00F2676D"/>
    <w:rsid w:val="00F447B7"/>
    <w:rsid w:val="00F53127"/>
    <w:rsid w:val="00F56EB5"/>
    <w:rsid w:val="00F65B10"/>
    <w:rsid w:val="00F672F9"/>
    <w:rsid w:val="00F800CD"/>
    <w:rsid w:val="00F83C34"/>
    <w:rsid w:val="00F93EEF"/>
    <w:rsid w:val="00FA6390"/>
    <w:rsid w:val="00FB2856"/>
    <w:rsid w:val="00FD401B"/>
    <w:rsid w:val="00FE2901"/>
    <w:rsid w:val="00FE5269"/>
    <w:rsid w:val="106E408C"/>
    <w:rsid w:val="288D07D2"/>
    <w:rsid w:val="2D9F397D"/>
    <w:rsid w:val="453639C5"/>
    <w:rsid w:val="55DE6F93"/>
    <w:rsid w:val="5BAB6AEB"/>
    <w:rsid w:val="619F3D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2"/>
    <w:qFormat/>
    <w:uiPriority w:val="0"/>
    <w:pPr>
      <w:keepNext/>
      <w:spacing w:line="400" w:lineRule="exact"/>
      <w:jc w:val="center"/>
      <w:outlineLvl w:val="1"/>
    </w:pPr>
    <w:rPr>
      <w:sz w:val="28"/>
    </w:rPr>
  </w:style>
  <w:style w:type="paragraph" w:styleId="5">
    <w:name w:val="heading 3"/>
    <w:basedOn w:val="1"/>
    <w:next w:val="1"/>
    <w:link w:val="53"/>
    <w:qFormat/>
    <w:uiPriority w:val="0"/>
    <w:pPr>
      <w:keepNext/>
      <w:keepLines/>
      <w:spacing w:before="260" w:after="260" w:line="416" w:lineRule="auto"/>
      <w:outlineLvl w:val="2"/>
    </w:pPr>
    <w:rPr>
      <w:b/>
      <w:bCs/>
      <w:sz w:val="32"/>
      <w:szCs w:val="32"/>
    </w:rPr>
  </w:style>
  <w:style w:type="paragraph" w:styleId="6">
    <w:name w:val="heading 4"/>
    <w:basedOn w:val="1"/>
    <w:next w:val="1"/>
    <w:link w:val="54"/>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qFormat/>
    <w:uiPriority w:val="0"/>
    <w:pPr>
      <w:keepNext/>
      <w:keepLines/>
      <w:spacing w:before="280" w:after="290" w:line="376" w:lineRule="auto"/>
      <w:outlineLvl w:val="4"/>
    </w:pPr>
    <w:rPr>
      <w:b/>
      <w:bCs/>
      <w:sz w:val="28"/>
      <w:szCs w:val="28"/>
    </w:rPr>
  </w:style>
  <w:style w:type="paragraph" w:styleId="8">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1"/>
    <w:qFormat/>
    <w:uiPriority w:val="0"/>
    <w:pPr>
      <w:keepNext/>
      <w:keepLines/>
      <w:spacing w:before="240" w:after="64" w:line="320" w:lineRule="auto"/>
      <w:outlineLvl w:val="6"/>
    </w:pPr>
    <w:rPr>
      <w:b/>
      <w:bCs/>
      <w:sz w:val="24"/>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9"/>
    <w:qFormat/>
    <w:uiPriority w:val="0"/>
    <w:rPr>
      <w:rFonts w:eastAsia="仿宋_GB2312"/>
      <w:sz w:val="28"/>
      <w:szCs w:val="20"/>
    </w:rPr>
  </w:style>
  <w:style w:type="paragraph" w:styleId="10">
    <w:name w:val="List 3"/>
    <w:basedOn w:val="1"/>
    <w:next w:val="1"/>
    <w:qFormat/>
    <w:uiPriority w:val="0"/>
    <w:pPr>
      <w:ind w:left="100" w:leftChars="400" w:hanging="200" w:hangingChars="200"/>
    </w:pPr>
  </w:style>
  <w:style w:type="paragraph" w:styleId="11">
    <w:name w:val="Normal Indent"/>
    <w:basedOn w:val="1"/>
    <w:next w:val="1"/>
    <w:link w:val="82"/>
    <w:qFormat/>
    <w:uiPriority w:val="0"/>
    <w:pPr>
      <w:spacing w:line="360" w:lineRule="auto"/>
      <w:ind w:firstLine="420" w:firstLineChars="200"/>
    </w:pPr>
    <w:rPr>
      <w:sz w:val="24"/>
    </w:rPr>
  </w:style>
  <w:style w:type="paragraph" w:styleId="12">
    <w:name w:val="caption"/>
    <w:basedOn w:val="1"/>
    <w:next w:val="1"/>
    <w:qFormat/>
    <w:uiPriority w:val="0"/>
    <w:pPr>
      <w:keepNext/>
      <w:spacing w:line="360" w:lineRule="auto"/>
      <w:jc w:val="center"/>
    </w:pPr>
    <w:rPr>
      <w:rFonts w:ascii="黑体" w:hAnsi="宋体" w:eastAsia="黑体"/>
      <w:sz w:val="24"/>
      <w:szCs w:val="20"/>
    </w:rPr>
  </w:style>
  <w:style w:type="paragraph" w:styleId="13">
    <w:name w:val="Document Map"/>
    <w:basedOn w:val="1"/>
    <w:qFormat/>
    <w:uiPriority w:val="0"/>
    <w:pPr>
      <w:shd w:val="clear" w:color="auto" w:fill="000080"/>
    </w:pPr>
  </w:style>
  <w:style w:type="paragraph" w:styleId="14">
    <w:name w:val="annotation text"/>
    <w:basedOn w:val="1"/>
    <w:next w:val="1"/>
    <w:link w:val="107"/>
    <w:qFormat/>
    <w:uiPriority w:val="99"/>
    <w:pPr>
      <w:jc w:val="left"/>
    </w:pPr>
  </w:style>
  <w:style w:type="paragraph" w:styleId="15">
    <w:name w:val="Body Text 3"/>
    <w:basedOn w:val="1"/>
    <w:qFormat/>
    <w:uiPriority w:val="0"/>
    <w:pPr>
      <w:spacing w:after="120"/>
    </w:pPr>
    <w:rPr>
      <w:sz w:val="16"/>
      <w:szCs w:val="16"/>
    </w:rPr>
  </w:style>
  <w:style w:type="paragraph" w:styleId="16">
    <w:name w:val="Body Text Indent"/>
    <w:basedOn w:val="1"/>
    <w:next w:val="1"/>
    <w:qFormat/>
    <w:uiPriority w:val="0"/>
    <w:pPr>
      <w:snapToGrid w:val="0"/>
      <w:spacing w:line="360" w:lineRule="auto"/>
      <w:ind w:firstLine="573"/>
    </w:pPr>
    <w:rPr>
      <w:spacing w:val="20"/>
      <w:sz w:val="28"/>
      <w:szCs w:val="20"/>
    </w:rPr>
  </w:style>
  <w:style w:type="paragraph" w:styleId="17">
    <w:name w:val="List 2"/>
    <w:basedOn w:val="1"/>
    <w:qFormat/>
    <w:uiPriority w:val="0"/>
    <w:pPr>
      <w:ind w:left="100" w:leftChars="200" w:hanging="200" w:hangingChars="200"/>
    </w:pPr>
  </w:style>
  <w:style w:type="paragraph" w:styleId="18">
    <w:name w:val="Block Text"/>
    <w:basedOn w:val="1"/>
    <w:qFormat/>
    <w:uiPriority w:val="0"/>
    <w:pPr>
      <w:snapToGrid w:val="0"/>
      <w:spacing w:before="180" w:line="380" w:lineRule="atLeast"/>
      <w:ind w:left="142" w:right="170" w:firstLine="476"/>
    </w:pPr>
    <w:rPr>
      <w:sz w:val="24"/>
      <w:szCs w:val="20"/>
    </w:rPr>
  </w:style>
  <w:style w:type="paragraph" w:styleId="19">
    <w:name w:val="List Bullet 2"/>
    <w:basedOn w:val="1"/>
    <w:qFormat/>
    <w:uiPriority w:val="0"/>
    <w:pPr>
      <w:tabs>
        <w:tab w:val="left" w:pos="780"/>
      </w:tabs>
      <w:ind w:left="780" w:leftChars="200" w:hanging="360" w:hangingChars="200"/>
    </w:pPr>
  </w:style>
  <w:style w:type="paragraph" w:styleId="20">
    <w:name w:val="toc 5"/>
    <w:basedOn w:val="1"/>
    <w:next w:val="1"/>
    <w:qFormat/>
    <w:uiPriority w:val="0"/>
    <w:pPr>
      <w:ind w:left="1680"/>
    </w:pPr>
  </w:style>
  <w:style w:type="paragraph" w:styleId="21">
    <w:name w:val="toc 3"/>
    <w:basedOn w:val="1"/>
    <w:next w:val="1"/>
    <w:qFormat/>
    <w:uiPriority w:val="0"/>
    <w:pPr>
      <w:ind w:left="840" w:leftChars="400"/>
    </w:pPr>
  </w:style>
  <w:style w:type="paragraph" w:styleId="22">
    <w:name w:val="Plain Text"/>
    <w:basedOn w:val="1"/>
    <w:next w:val="23"/>
    <w:link w:val="58"/>
    <w:qFormat/>
    <w:uiPriority w:val="0"/>
    <w:rPr>
      <w:rFonts w:ascii="宋体" w:hAnsi="Courier New"/>
      <w:szCs w:val="20"/>
    </w:rPr>
  </w:style>
  <w:style w:type="paragraph" w:styleId="23">
    <w:name w:val="toc 1"/>
    <w:basedOn w:val="1"/>
    <w:next w:val="1"/>
    <w:qFormat/>
    <w:uiPriority w:val="0"/>
  </w:style>
  <w:style w:type="paragraph" w:styleId="24">
    <w:name w:val="Date"/>
    <w:basedOn w:val="1"/>
    <w:next w:val="1"/>
    <w:qFormat/>
    <w:uiPriority w:val="0"/>
    <w:pPr>
      <w:ind w:left="100" w:leftChars="2500"/>
    </w:pPr>
  </w:style>
  <w:style w:type="paragraph" w:styleId="25">
    <w:name w:val="Body Text Indent 2"/>
    <w:basedOn w:val="1"/>
    <w:link w:val="57"/>
    <w:qFormat/>
    <w:uiPriority w:val="0"/>
    <w:pPr>
      <w:spacing w:line="300" w:lineRule="auto"/>
      <w:ind w:firstLine="570"/>
    </w:pPr>
    <w:rPr>
      <w:sz w:val="28"/>
      <w:szCs w:val="20"/>
    </w:rPr>
  </w:style>
  <w:style w:type="paragraph" w:styleId="26">
    <w:name w:val="Balloon Text"/>
    <w:basedOn w:val="1"/>
    <w:link w:val="86"/>
    <w:qFormat/>
    <w:uiPriority w:val="0"/>
    <w:rPr>
      <w:sz w:val="18"/>
      <w:szCs w:val="18"/>
    </w:rPr>
  </w:style>
  <w:style w:type="paragraph" w:styleId="27">
    <w:name w:val="footer"/>
    <w:basedOn w:val="1"/>
    <w:link w:val="60"/>
    <w:qFormat/>
    <w:uiPriority w:val="99"/>
    <w:pPr>
      <w:tabs>
        <w:tab w:val="center" w:pos="4153"/>
        <w:tab w:val="right" w:pos="8306"/>
      </w:tabs>
      <w:snapToGrid w:val="0"/>
      <w:jc w:val="left"/>
    </w:pPr>
    <w:rPr>
      <w:sz w:val="18"/>
      <w:szCs w:val="20"/>
    </w:rPr>
  </w:style>
  <w:style w:type="paragraph" w:styleId="28">
    <w:name w:val="header"/>
    <w:basedOn w:val="1"/>
    <w:link w:val="65"/>
    <w:qFormat/>
    <w:uiPriority w:val="99"/>
    <w:pPr>
      <w:pBdr>
        <w:bottom w:val="single" w:color="auto" w:sz="6" w:space="1"/>
      </w:pBdr>
      <w:tabs>
        <w:tab w:val="center" w:pos="4153"/>
        <w:tab w:val="right" w:pos="8306"/>
      </w:tabs>
      <w:snapToGrid w:val="0"/>
      <w:jc w:val="center"/>
    </w:pPr>
    <w:rPr>
      <w:sz w:val="18"/>
      <w:szCs w:val="18"/>
    </w:rPr>
  </w:style>
  <w:style w:type="paragraph" w:styleId="29">
    <w:name w:val="List"/>
    <w:basedOn w:val="1"/>
    <w:qFormat/>
    <w:uiPriority w:val="0"/>
    <w:pPr>
      <w:ind w:left="200" w:hanging="200" w:hangingChars="200"/>
    </w:pPr>
  </w:style>
  <w:style w:type="paragraph" w:styleId="30">
    <w:name w:val="Body Text Indent 3"/>
    <w:basedOn w:val="1"/>
    <w:link w:val="103"/>
    <w:qFormat/>
    <w:uiPriority w:val="0"/>
    <w:pPr>
      <w:snapToGrid w:val="0"/>
      <w:spacing w:line="480" w:lineRule="exact"/>
      <w:ind w:firstLine="535" w:firstLineChars="191"/>
    </w:pPr>
    <w:rPr>
      <w:sz w:val="28"/>
    </w:rPr>
  </w:style>
  <w:style w:type="paragraph" w:styleId="31">
    <w:name w:val="toc 2"/>
    <w:basedOn w:val="1"/>
    <w:next w:val="1"/>
    <w:qFormat/>
    <w:uiPriority w:val="0"/>
    <w:pPr>
      <w:ind w:left="420" w:leftChars="200"/>
    </w:pPr>
  </w:style>
  <w:style w:type="paragraph" w:styleId="32">
    <w:name w:val="Body Text 2"/>
    <w:basedOn w:val="1"/>
    <w:link w:val="104"/>
    <w:qFormat/>
    <w:uiPriority w:val="0"/>
    <w:pPr>
      <w:snapToGrid w:val="0"/>
      <w:spacing w:line="400" w:lineRule="atLeast"/>
    </w:pPr>
    <w:rPr>
      <w:sz w:val="24"/>
      <w:szCs w:val="20"/>
    </w:rPr>
  </w:style>
  <w:style w:type="paragraph" w:styleId="33">
    <w:name w:val="HTML Preformatted"/>
    <w:basedOn w:val="1"/>
    <w:link w:val="9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34">
    <w:name w:val="Normal (Web)"/>
    <w:basedOn w:val="1"/>
    <w:next w:val="1"/>
    <w:link w:val="144"/>
    <w:qFormat/>
    <w:uiPriority w:val="99"/>
    <w:pPr>
      <w:widowControl/>
      <w:spacing w:before="100" w:beforeAutospacing="1" w:after="100" w:afterAutospacing="1"/>
      <w:jc w:val="left"/>
    </w:pPr>
    <w:rPr>
      <w:rFonts w:ascii="宋体" w:hAnsi="宋体"/>
      <w:kern w:val="0"/>
      <w:sz w:val="24"/>
    </w:rPr>
  </w:style>
  <w:style w:type="paragraph" w:styleId="35">
    <w:name w:val="Title"/>
    <w:basedOn w:val="1"/>
    <w:next w:val="1"/>
    <w:qFormat/>
    <w:uiPriority w:val="0"/>
    <w:pPr>
      <w:pageBreakBefore/>
      <w:tabs>
        <w:tab w:val="left" w:pos="6480"/>
      </w:tabs>
      <w:autoSpaceDN w:val="0"/>
      <w:jc w:val="left"/>
      <w:textAlignment w:val="baseline"/>
      <w:outlineLvl w:val="0"/>
    </w:pPr>
    <w:rPr>
      <w:b/>
      <w:snapToGrid w:val="0"/>
      <w:szCs w:val="28"/>
      <w:lang w:val="eu-ES"/>
    </w:rPr>
  </w:style>
  <w:style w:type="paragraph" w:styleId="36">
    <w:name w:val="annotation subject"/>
    <w:basedOn w:val="14"/>
    <w:next w:val="14"/>
    <w:link w:val="108"/>
    <w:qFormat/>
    <w:uiPriority w:val="0"/>
    <w:rPr>
      <w:b/>
      <w:bCs/>
    </w:rPr>
  </w:style>
  <w:style w:type="paragraph" w:styleId="37">
    <w:name w:val="Body Text First Indent"/>
    <w:basedOn w:val="2"/>
    <w:qFormat/>
    <w:uiPriority w:val="0"/>
    <w:pPr>
      <w:spacing w:after="120"/>
      <w:ind w:firstLine="420" w:firstLineChars="100"/>
    </w:pPr>
    <w:rPr>
      <w:rFonts w:eastAsia="宋体"/>
      <w:sz w:val="21"/>
      <w:szCs w:val="24"/>
    </w:rPr>
  </w:style>
  <w:style w:type="paragraph" w:styleId="38">
    <w:name w:val="Body Text First Indent 2"/>
    <w:basedOn w:val="16"/>
    <w:next w:val="1"/>
    <w:qFormat/>
    <w:uiPriority w:val="0"/>
    <w:pPr>
      <w:snapToGrid/>
      <w:spacing w:after="120" w:line="240" w:lineRule="auto"/>
      <w:ind w:left="420" w:leftChars="200" w:firstLine="420" w:firstLineChars="200"/>
    </w:pPr>
    <w:rPr>
      <w:spacing w:val="0"/>
      <w:sz w:val="21"/>
      <w:szCs w:val="24"/>
    </w:rPr>
  </w:style>
  <w:style w:type="table" w:styleId="40">
    <w:name w:val="Table Grid"/>
    <w:basedOn w:val="3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page number"/>
    <w:basedOn w:val="41"/>
    <w:qFormat/>
    <w:uiPriority w:val="0"/>
  </w:style>
  <w:style w:type="character" w:styleId="43">
    <w:name w:val="FollowedHyperlink"/>
    <w:qFormat/>
    <w:uiPriority w:val="99"/>
    <w:rPr>
      <w:color w:val="800080"/>
      <w:sz w:val="28"/>
      <w:szCs w:val="24"/>
      <w:u w:val="single"/>
    </w:rPr>
  </w:style>
  <w:style w:type="character" w:styleId="44">
    <w:name w:val="Emphasis"/>
    <w:qFormat/>
    <w:uiPriority w:val="0"/>
    <w:rPr>
      <w:color w:val="CC0000"/>
    </w:rPr>
  </w:style>
  <w:style w:type="character" w:styleId="45">
    <w:name w:val="Hyperlink"/>
    <w:qFormat/>
    <w:uiPriority w:val="0"/>
    <w:rPr>
      <w:color w:val="0000FF"/>
      <w:u w:val="single"/>
    </w:rPr>
  </w:style>
  <w:style w:type="character" w:styleId="46">
    <w:name w:val="annotation reference"/>
    <w:basedOn w:val="41"/>
    <w:qFormat/>
    <w:uiPriority w:val="0"/>
    <w:rPr>
      <w:sz w:val="21"/>
      <w:szCs w:val="21"/>
    </w:rPr>
  </w:style>
  <w:style w:type="paragraph" w:customStyle="1" w:styleId="47">
    <w:name w:val="Default"/>
    <w:basedOn w:val="48"/>
    <w:next w:val="1"/>
    <w:qFormat/>
    <w:uiPriority w:val="0"/>
    <w:pPr>
      <w:autoSpaceDE w:val="0"/>
      <w:autoSpaceDN w:val="0"/>
    </w:pPr>
    <w:rPr>
      <w:rFonts w:hAnsi="Times New Roman"/>
      <w:color w:val="000000"/>
      <w:sz w:val="24"/>
      <w:szCs w:val="24"/>
    </w:rPr>
  </w:style>
  <w:style w:type="paragraph" w:customStyle="1" w:styleId="48">
    <w:name w:val="纯文本1"/>
    <w:basedOn w:val="1"/>
    <w:next w:val="22"/>
    <w:qFormat/>
    <w:uiPriority w:val="0"/>
    <w:pPr>
      <w:adjustRightInd w:val="0"/>
    </w:pPr>
    <w:rPr>
      <w:rFonts w:ascii="宋体" w:hAnsi="Courier New"/>
      <w:szCs w:val="20"/>
    </w:rPr>
  </w:style>
  <w:style w:type="paragraph" w:customStyle="1" w:styleId="49">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character" w:customStyle="1" w:styleId="50">
    <w:name w:val="标题 1 字符"/>
    <w:link w:val="3"/>
    <w:qFormat/>
    <w:uiPriority w:val="0"/>
    <w:rPr>
      <w:rFonts w:eastAsia="宋体"/>
      <w:b/>
      <w:bCs/>
      <w:kern w:val="44"/>
      <w:sz w:val="44"/>
      <w:szCs w:val="44"/>
      <w:lang w:val="en-US" w:eastAsia="zh-CN" w:bidi="ar-SA"/>
    </w:rPr>
  </w:style>
  <w:style w:type="paragraph" w:customStyle="1" w:styleId="51">
    <w:name w:val="Char Char Char Char Char Char Char Char Char Char Char Char1 Char"/>
    <w:basedOn w:val="1"/>
    <w:qFormat/>
    <w:uiPriority w:val="0"/>
    <w:pPr>
      <w:spacing w:line="360" w:lineRule="auto"/>
      <w:ind w:firstLine="200" w:firstLineChars="200"/>
    </w:pPr>
    <w:rPr>
      <w:sz w:val="24"/>
      <w:szCs w:val="20"/>
    </w:rPr>
  </w:style>
  <w:style w:type="character" w:customStyle="1" w:styleId="52">
    <w:name w:val="标题 2 字符"/>
    <w:link w:val="4"/>
    <w:qFormat/>
    <w:uiPriority w:val="0"/>
    <w:rPr>
      <w:rFonts w:eastAsia="宋体"/>
      <w:kern w:val="2"/>
      <w:sz w:val="28"/>
      <w:szCs w:val="24"/>
      <w:lang w:val="en-US" w:eastAsia="zh-CN" w:bidi="ar-SA"/>
    </w:rPr>
  </w:style>
  <w:style w:type="character" w:customStyle="1" w:styleId="53">
    <w:name w:val="标题 3 字符"/>
    <w:link w:val="5"/>
    <w:qFormat/>
    <w:uiPriority w:val="0"/>
    <w:rPr>
      <w:rFonts w:eastAsia="宋体"/>
      <w:b/>
      <w:bCs/>
      <w:kern w:val="2"/>
      <w:sz w:val="32"/>
      <w:szCs w:val="32"/>
      <w:lang w:val="en-US" w:eastAsia="zh-CN" w:bidi="ar-SA"/>
    </w:rPr>
  </w:style>
  <w:style w:type="character" w:customStyle="1" w:styleId="54">
    <w:name w:val="标题 4 字符"/>
    <w:link w:val="6"/>
    <w:qFormat/>
    <w:uiPriority w:val="0"/>
    <w:rPr>
      <w:rFonts w:ascii="Arial" w:hAnsi="Arial" w:eastAsia="黑体"/>
      <w:b/>
      <w:bCs/>
      <w:kern w:val="2"/>
      <w:sz w:val="28"/>
      <w:szCs w:val="28"/>
      <w:lang w:val="en-US" w:eastAsia="zh-CN" w:bidi="ar-SA"/>
    </w:rPr>
  </w:style>
  <w:style w:type="paragraph" w:customStyle="1" w:styleId="55">
    <w:name w:val="样式1"/>
    <w:basedOn w:val="1"/>
    <w:link w:val="56"/>
    <w:qFormat/>
    <w:uiPriority w:val="0"/>
    <w:rPr>
      <w:sz w:val="28"/>
      <w:szCs w:val="20"/>
    </w:rPr>
  </w:style>
  <w:style w:type="character" w:customStyle="1" w:styleId="56">
    <w:name w:val="样式1 Char"/>
    <w:link w:val="55"/>
    <w:qFormat/>
    <w:uiPriority w:val="0"/>
    <w:rPr>
      <w:rFonts w:eastAsia="宋体"/>
      <w:kern w:val="2"/>
      <w:sz w:val="28"/>
      <w:lang w:val="en-US" w:eastAsia="zh-CN" w:bidi="ar-SA"/>
    </w:rPr>
  </w:style>
  <w:style w:type="character" w:customStyle="1" w:styleId="57">
    <w:name w:val="正文文本缩进 2 字符"/>
    <w:link w:val="25"/>
    <w:qFormat/>
    <w:uiPriority w:val="0"/>
    <w:rPr>
      <w:rFonts w:eastAsia="宋体"/>
      <w:kern w:val="2"/>
      <w:sz w:val="28"/>
      <w:lang w:val="en-US" w:eastAsia="zh-CN" w:bidi="ar-SA"/>
    </w:rPr>
  </w:style>
  <w:style w:type="character" w:customStyle="1" w:styleId="58">
    <w:name w:val="纯文本 字符"/>
    <w:link w:val="22"/>
    <w:qFormat/>
    <w:uiPriority w:val="0"/>
    <w:rPr>
      <w:rFonts w:ascii="宋体" w:hAnsi="Courier New" w:eastAsia="宋体"/>
      <w:kern w:val="2"/>
      <w:sz w:val="21"/>
      <w:lang w:val="en-US" w:eastAsia="zh-CN" w:bidi="ar-SA"/>
    </w:rPr>
  </w:style>
  <w:style w:type="character" w:customStyle="1" w:styleId="59">
    <w:name w:val="正文文本 字符"/>
    <w:link w:val="2"/>
    <w:qFormat/>
    <w:uiPriority w:val="0"/>
    <w:rPr>
      <w:rFonts w:eastAsia="仿宋_GB2312"/>
      <w:kern w:val="2"/>
      <w:sz w:val="28"/>
      <w:lang w:val="en-US" w:eastAsia="zh-CN" w:bidi="ar-SA"/>
    </w:rPr>
  </w:style>
  <w:style w:type="character" w:customStyle="1" w:styleId="60">
    <w:name w:val="页脚 字符"/>
    <w:link w:val="27"/>
    <w:qFormat/>
    <w:uiPriority w:val="99"/>
    <w:rPr>
      <w:rFonts w:eastAsia="宋体"/>
      <w:kern w:val="2"/>
      <w:sz w:val="18"/>
      <w:lang w:val="en-US" w:eastAsia="zh-CN" w:bidi="ar-SA"/>
    </w:rPr>
  </w:style>
  <w:style w:type="paragraph" w:customStyle="1" w:styleId="61">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kern w:val="0"/>
      <w:szCs w:val="21"/>
    </w:rPr>
  </w:style>
  <w:style w:type="character" w:customStyle="1" w:styleId="62">
    <w:name w:val="line1"/>
    <w:basedOn w:val="41"/>
    <w:qFormat/>
    <w:uiPriority w:val="0"/>
  </w:style>
  <w:style w:type="paragraph" w:customStyle="1" w:styleId="63">
    <w:name w:val="Char Char Char1 Char"/>
    <w:basedOn w:val="1"/>
    <w:qFormat/>
    <w:uiPriority w:val="0"/>
    <w:pPr>
      <w:adjustRightInd w:val="0"/>
      <w:spacing w:line="360" w:lineRule="auto"/>
    </w:pPr>
    <w:rPr>
      <w:kern w:val="0"/>
      <w:sz w:val="24"/>
      <w:szCs w:val="20"/>
    </w:rPr>
  </w:style>
  <w:style w:type="paragraph" w:customStyle="1" w:styleId="64">
    <w:name w:val="Char1"/>
    <w:basedOn w:val="1"/>
    <w:qFormat/>
    <w:uiPriority w:val="0"/>
    <w:rPr>
      <w:szCs w:val="20"/>
    </w:rPr>
  </w:style>
  <w:style w:type="character" w:customStyle="1" w:styleId="65">
    <w:name w:val="页眉 字符"/>
    <w:link w:val="28"/>
    <w:qFormat/>
    <w:uiPriority w:val="99"/>
    <w:rPr>
      <w:rFonts w:eastAsia="宋体"/>
      <w:kern w:val="2"/>
      <w:sz w:val="18"/>
      <w:szCs w:val="18"/>
      <w:lang w:val="en-US" w:eastAsia="zh-CN" w:bidi="ar-SA"/>
    </w:rPr>
  </w:style>
  <w:style w:type="paragraph" w:customStyle="1" w:styleId="66">
    <w:name w:val="标题4"/>
    <w:basedOn w:val="1"/>
    <w:qFormat/>
    <w:uiPriority w:val="0"/>
    <w:pPr>
      <w:keepNext/>
      <w:adjustRightInd w:val="0"/>
      <w:spacing w:before="60" w:line="394" w:lineRule="atLeast"/>
      <w:textAlignment w:val="baseline"/>
    </w:pPr>
    <w:rPr>
      <w:rFonts w:ascii="宋体"/>
      <w:b/>
      <w:kern w:val="0"/>
      <w:sz w:val="28"/>
      <w:szCs w:val="20"/>
    </w:rPr>
  </w:style>
  <w:style w:type="paragraph" w:customStyle="1" w:styleId="67">
    <w:name w:val="表标题"/>
    <w:basedOn w:val="1"/>
    <w:link w:val="109"/>
    <w:qFormat/>
    <w:uiPriority w:val="0"/>
    <w:pPr>
      <w:adjustRightInd w:val="0"/>
      <w:spacing w:before="60" w:line="394" w:lineRule="atLeast"/>
      <w:jc w:val="center"/>
      <w:textAlignment w:val="baseline"/>
    </w:pPr>
    <w:rPr>
      <w:rFonts w:ascii="宋体"/>
      <w:b/>
      <w:kern w:val="0"/>
      <w:sz w:val="24"/>
      <w:szCs w:val="20"/>
    </w:rPr>
  </w:style>
  <w:style w:type="paragraph" w:customStyle="1" w:styleId="68">
    <w:name w:val="表格1"/>
    <w:basedOn w:val="1"/>
    <w:link w:val="110"/>
    <w:qFormat/>
    <w:uiPriority w:val="0"/>
    <w:pPr>
      <w:adjustRightInd w:val="0"/>
      <w:spacing w:line="20" w:lineRule="atLeast"/>
      <w:jc w:val="center"/>
      <w:textAlignment w:val="center"/>
    </w:pPr>
    <w:rPr>
      <w:rFonts w:ascii="宋体"/>
      <w:kern w:val="0"/>
      <w:szCs w:val="20"/>
    </w:rPr>
  </w:style>
  <w:style w:type="paragraph" w:customStyle="1" w:styleId="69">
    <w:name w:val="xl28"/>
    <w:basedOn w:val="1"/>
    <w:qFormat/>
    <w:uiPriority w:val="0"/>
    <w:pPr>
      <w:widowControl/>
      <w:pBdr>
        <w:bottom w:val="single" w:color="auto" w:sz="4" w:space="0"/>
        <w:right w:val="single" w:color="auto" w:sz="4" w:space="0"/>
      </w:pBdr>
      <w:spacing w:before="100" w:after="100"/>
      <w:jc w:val="center"/>
    </w:pPr>
    <w:rPr>
      <w:rFonts w:eastAsia="Arial Unicode MS"/>
      <w:kern w:val="0"/>
      <w:szCs w:val="20"/>
    </w:rPr>
  </w:style>
  <w:style w:type="paragraph" w:customStyle="1" w:styleId="70">
    <w:name w:val="表格"/>
    <w:next w:val="1"/>
    <w:link w:val="71"/>
    <w:qFormat/>
    <w:uiPriority w:val="0"/>
    <w:pPr>
      <w:adjustRightInd w:val="0"/>
      <w:snapToGrid w:val="0"/>
      <w:spacing w:line="320" w:lineRule="exact"/>
      <w:jc w:val="center"/>
    </w:pPr>
    <w:rPr>
      <w:rFonts w:ascii="Times New Roman" w:hAnsi="Times New Roman" w:eastAsia="黑体" w:cs="Times New Roman"/>
      <w:spacing w:val="-10"/>
      <w:sz w:val="21"/>
      <w:lang w:val="en-US" w:eastAsia="zh-CN" w:bidi="ar-SA"/>
    </w:rPr>
  </w:style>
  <w:style w:type="character" w:customStyle="1" w:styleId="71">
    <w:name w:val="表格 Char"/>
    <w:link w:val="70"/>
    <w:qFormat/>
    <w:uiPriority w:val="0"/>
    <w:rPr>
      <w:rFonts w:eastAsia="黑体"/>
      <w:spacing w:val="-10"/>
      <w:sz w:val="21"/>
      <w:lang w:bidi="ar-SA"/>
    </w:rPr>
  </w:style>
  <w:style w:type="paragraph" w:customStyle="1" w:styleId="72">
    <w:name w:val="简单回函地址"/>
    <w:basedOn w:val="1"/>
    <w:qFormat/>
    <w:uiPriority w:val="0"/>
  </w:style>
  <w:style w:type="paragraph" w:customStyle="1" w:styleId="73">
    <w:name w:val="表格 3"/>
    <w:basedOn w:val="1"/>
    <w:qFormat/>
    <w:uiPriority w:val="0"/>
    <w:pPr>
      <w:autoSpaceDE w:val="0"/>
      <w:autoSpaceDN w:val="0"/>
      <w:adjustRightInd w:val="0"/>
      <w:snapToGrid w:val="0"/>
      <w:spacing w:line="269" w:lineRule="auto"/>
      <w:ind w:right="-53" w:rightChars="-22" w:firstLine="420" w:firstLineChars="200"/>
    </w:pPr>
    <w:rPr>
      <w:bCs/>
      <w:iCs/>
      <w:snapToGrid w:val="0"/>
      <w:kern w:val="0"/>
      <w:szCs w:val="21"/>
    </w:rPr>
  </w:style>
  <w:style w:type="paragraph" w:customStyle="1" w:styleId="74">
    <w:name w:val="Char Char Char Char Char Char Char Char Char Char Char Char Char"/>
    <w:basedOn w:val="13"/>
    <w:qFormat/>
    <w:uiPriority w:val="0"/>
    <w:rPr>
      <w:rFonts w:ascii="Tahoma" w:hAnsi="Tahoma"/>
      <w:sz w:val="24"/>
      <w:szCs w:val="20"/>
    </w:rPr>
  </w:style>
  <w:style w:type="paragraph" w:customStyle="1" w:styleId="75">
    <w:name w:val="默认段落字体 Para Char Char Char Char"/>
    <w:basedOn w:val="1"/>
    <w:qFormat/>
    <w:uiPriority w:val="0"/>
  </w:style>
  <w:style w:type="paragraph" w:customStyle="1" w:styleId="76">
    <w:name w:val="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szCs w:val="20"/>
    </w:rPr>
  </w:style>
  <w:style w:type="paragraph" w:customStyle="1" w:styleId="77">
    <w:name w:val="表格 32"/>
    <w:basedOn w:val="1"/>
    <w:link w:val="78"/>
    <w:qFormat/>
    <w:uiPriority w:val="0"/>
    <w:pPr>
      <w:autoSpaceDE w:val="0"/>
      <w:autoSpaceDN w:val="0"/>
      <w:adjustRightInd w:val="0"/>
      <w:jc w:val="center"/>
      <w:textAlignment w:val="baseline"/>
    </w:pPr>
    <w:rPr>
      <w:rFonts w:ascii="宋体" w:hAnsi="Impact"/>
      <w:kern w:val="24"/>
      <w:sz w:val="24"/>
      <w:szCs w:val="20"/>
    </w:rPr>
  </w:style>
  <w:style w:type="character" w:customStyle="1" w:styleId="78">
    <w:name w:val="表格 32 Char"/>
    <w:link w:val="77"/>
    <w:qFormat/>
    <w:uiPriority w:val="0"/>
    <w:rPr>
      <w:rFonts w:ascii="宋体" w:hAnsi="Impact" w:eastAsia="宋体"/>
      <w:kern w:val="24"/>
      <w:sz w:val="24"/>
      <w:lang w:val="en-US" w:eastAsia="zh-CN" w:bidi="ar-SA"/>
    </w:rPr>
  </w:style>
  <w:style w:type="paragraph" w:customStyle="1" w:styleId="79">
    <w:name w:val="中大表格内容"/>
    <w:basedOn w:val="1"/>
    <w:link w:val="80"/>
    <w:qFormat/>
    <w:uiPriority w:val="0"/>
    <w:pPr>
      <w:autoSpaceDE w:val="0"/>
      <w:autoSpaceDN w:val="0"/>
      <w:adjustRightInd w:val="0"/>
      <w:jc w:val="center"/>
    </w:pPr>
    <w:rPr>
      <w:rFonts w:ascii="宋体" w:hAnsi="宋体"/>
      <w:kern w:val="0"/>
      <w:szCs w:val="21"/>
      <w:lang w:val="zh-CN"/>
    </w:rPr>
  </w:style>
  <w:style w:type="character" w:customStyle="1" w:styleId="80">
    <w:name w:val="中大表格内容 Char"/>
    <w:link w:val="79"/>
    <w:qFormat/>
    <w:uiPriority w:val="0"/>
    <w:rPr>
      <w:rFonts w:ascii="宋体" w:hAnsi="宋体" w:eastAsia="宋体"/>
      <w:sz w:val="21"/>
      <w:szCs w:val="21"/>
      <w:lang w:val="zh-CN" w:bidi="ar-SA"/>
    </w:rPr>
  </w:style>
  <w:style w:type="paragraph" w:customStyle="1" w:styleId="81">
    <w:name w:val="图标题"/>
    <w:basedOn w:val="1"/>
    <w:next w:val="1"/>
    <w:qFormat/>
    <w:uiPriority w:val="0"/>
    <w:pPr>
      <w:keepNext/>
      <w:widowControl/>
      <w:autoSpaceDE w:val="0"/>
      <w:autoSpaceDN w:val="0"/>
      <w:adjustRightInd w:val="0"/>
      <w:spacing w:before="60" w:after="120" w:line="400" w:lineRule="atLeast"/>
      <w:jc w:val="center"/>
      <w:textAlignment w:val="baseline"/>
    </w:pPr>
    <w:rPr>
      <w:b/>
      <w:spacing w:val="2"/>
      <w:kern w:val="0"/>
      <w:sz w:val="24"/>
      <w:szCs w:val="20"/>
    </w:rPr>
  </w:style>
  <w:style w:type="character" w:customStyle="1" w:styleId="82">
    <w:name w:val="正文缩进 字符"/>
    <w:link w:val="11"/>
    <w:qFormat/>
    <w:uiPriority w:val="0"/>
    <w:rPr>
      <w:rFonts w:eastAsia="宋体"/>
      <w:kern w:val="2"/>
      <w:sz w:val="24"/>
      <w:szCs w:val="24"/>
      <w:lang w:val="en-US" w:eastAsia="zh-CN" w:bidi="ar-SA"/>
    </w:rPr>
  </w:style>
  <w:style w:type="paragraph" w:customStyle="1" w:styleId="83">
    <w:name w:val="Char Char Char Char Char Char1 Char"/>
    <w:basedOn w:val="1"/>
    <w:qFormat/>
    <w:uiPriority w:val="0"/>
    <w:pPr>
      <w:spacing w:line="360" w:lineRule="auto"/>
    </w:pPr>
    <w:rPr>
      <w:sz w:val="24"/>
    </w:rPr>
  </w:style>
  <w:style w:type="paragraph" w:customStyle="1" w:styleId="84">
    <w:name w:val="表1表2"/>
    <w:basedOn w:val="1"/>
    <w:qFormat/>
    <w:uiPriority w:val="0"/>
    <w:pPr>
      <w:autoSpaceDE w:val="0"/>
      <w:autoSpaceDN w:val="0"/>
      <w:adjustRightInd w:val="0"/>
      <w:jc w:val="center"/>
      <w:textAlignment w:val="center"/>
    </w:pPr>
    <w:rPr>
      <w:rFonts w:eastAsia="仿宋体"/>
      <w:kern w:val="0"/>
      <w:sz w:val="24"/>
      <w:szCs w:val="20"/>
    </w:rPr>
  </w:style>
  <w:style w:type="paragraph" w:customStyle="1" w:styleId="85">
    <w:name w:val="表格 23"/>
    <w:basedOn w:val="1"/>
    <w:qFormat/>
    <w:uiPriority w:val="0"/>
    <w:pPr>
      <w:autoSpaceDE w:val="0"/>
      <w:autoSpaceDN w:val="0"/>
      <w:adjustRightInd w:val="0"/>
      <w:jc w:val="center"/>
      <w:textAlignment w:val="baseline"/>
    </w:pPr>
    <w:rPr>
      <w:rFonts w:eastAsia="仿宋体"/>
      <w:kern w:val="0"/>
      <w:szCs w:val="20"/>
    </w:rPr>
  </w:style>
  <w:style w:type="character" w:customStyle="1" w:styleId="86">
    <w:name w:val="批注框文本 字符"/>
    <w:link w:val="26"/>
    <w:qFormat/>
    <w:uiPriority w:val="0"/>
    <w:rPr>
      <w:rFonts w:eastAsia="宋体"/>
      <w:kern w:val="2"/>
      <w:sz w:val="18"/>
      <w:szCs w:val="18"/>
      <w:lang w:val="en-US" w:eastAsia="zh-CN" w:bidi="ar-SA"/>
    </w:rPr>
  </w:style>
  <w:style w:type="paragraph" w:customStyle="1" w:styleId="87">
    <w:name w:val="样式 表格 32 + 首行缩进:  2 字符"/>
    <w:basedOn w:val="1"/>
    <w:qFormat/>
    <w:uiPriority w:val="0"/>
    <w:pPr>
      <w:autoSpaceDE w:val="0"/>
      <w:autoSpaceDN w:val="0"/>
      <w:adjustRightInd w:val="0"/>
      <w:spacing w:line="0" w:lineRule="atLeast"/>
      <w:jc w:val="center"/>
      <w:textAlignment w:val="baseline"/>
    </w:pPr>
    <w:rPr>
      <w:kern w:val="0"/>
      <w:szCs w:val="21"/>
    </w:rPr>
  </w:style>
  <w:style w:type="paragraph" w:customStyle="1" w:styleId="88">
    <w:name w:val="Char Char Char Char Char Char Char"/>
    <w:basedOn w:val="1"/>
    <w:qFormat/>
    <w:uiPriority w:val="0"/>
    <w:rPr>
      <w:sz w:val="24"/>
      <w:szCs w:val="20"/>
    </w:rPr>
  </w:style>
  <w:style w:type="character" w:customStyle="1" w:styleId="89">
    <w:name w:val="标题 1 Char1"/>
    <w:qFormat/>
    <w:uiPriority w:val="0"/>
    <w:rPr>
      <w:rFonts w:ascii="Times New Roman" w:hAnsi="Times New Roman" w:eastAsia="黑体" w:cs="Times New Roman"/>
      <w:b/>
      <w:kern w:val="44"/>
      <w:sz w:val="44"/>
      <w:szCs w:val="20"/>
    </w:rPr>
  </w:style>
  <w:style w:type="paragraph" w:customStyle="1" w:styleId="90">
    <w:name w:val="p0"/>
    <w:basedOn w:val="1"/>
    <w:qFormat/>
    <w:uiPriority w:val="0"/>
    <w:pPr>
      <w:widowControl/>
      <w:jc w:val="left"/>
    </w:pPr>
    <w:rPr>
      <w:rFonts w:ascii="Arial" w:hAnsi="Arial" w:cs="Arial"/>
      <w:kern w:val="0"/>
      <w:sz w:val="24"/>
    </w:rPr>
  </w:style>
  <w:style w:type="paragraph" w:styleId="91">
    <w:name w:val="List Paragraph"/>
    <w:basedOn w:val="1"/>
    <w:qFormat/>
    <w:uiPriority w:val="34"/>
    <w:pPr>
      <w:ind w:firstLine="420" w:firstLineChars="200"/>
    </w:pPr>
  </w:style>
  <w:style w:type="paragraph" w:customStyle="1" w:styleId="92">
    <w:name w:val="中大表格标题"/>
    <w:basedOn w:val="1"/>
    <w:link w:val="93"/>
    <w:qFormat/>
    <w:uiPriority w:val="0"/>
    <w:pPr>
      <w:spacing w:beforeLines="50"/>
      <w:jc w:val="center"/>
    </w:pPr>
    <w:rPr>
      <w:b/>
      <w:bCs/>
      <w:sz w:val="24"/>
      <w:szCs w:val="20"/>
    </w:rPr>
  </w:style>
  <w:style w:type="character" w:customStyle="1" w:styleId="93">
    <w:name w:val="中大表格标题 Char"/>
    <w:link w:val="92"/>
    <w:qFormat/>
    <w:uiPriority w:val="0"/>
    <w:rPr>
      <w:rFonts w:eastAsia="宋体"/>
      <w:b/>
      <w:bCs/>
      <w:kern w:val="2"/>
      <w:sz w:val="24"/>
      <w:lang w:bidi="ar-SA"/>
    </w:rPr>
  </w:style>
  <w:style w:type="paragraph" w:customStyle="1" w:styleId="94">
    <w:name w:val="TOC 标题1"/>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95">
    <w:name w:val="表注解"/>
    <w:basedOn w:val="1"/>
    <w:next w:val="1"/>
    <w:qFormat/>
    <w:uiPriority w:val="0"/>
    <w:pPr>
      <w:widowControl/>
      <w:adjustRightInd w:val="0"/>
      <w:snapToGrid w:val="0"/>
    </w:pPr>
    <w:rPr>
      <w:b/>
      <w:snapToGrid w:val="0"/>
      <w:kern w:val="0"/>
      <w:sz w:val="18"/>
    </w:rPr>
  </w:style>
  <w:style w:type="paragraph" w:customStyle="1" w:styleId="96">
    <w:name w:val="表头及表尾"/>
    <w:qFormat/>
    <w:uiPriority w:val="0"/>
    <w:pPr>
      <w:tabs>
        <w:tab w:val="center" w:pos="4200"/>
        <w:tab w:val="right" w:pos="8400"/>
      </w:tabs>
      <w:adjustRightInd w:val="0"/>
      <w:snapToGrid w:val="0"/>
    </w:pPr>
    <w:rPr>
      <w:rFonts w:ascii="Times New Roman" w:hAnsi="Times New Roman" w:eastAsia="宋体" w:cs="Times New Roman"/>
      <w:b/>
      <w:snapToGrid w:val="0"/>
      <w:sz w:val="21"/>
      <w:szCs w:val="21"/>
      <w:lang w:val="en-US" w:eastAsia="zh-CN" w:bidi="ar-SA"/>
    </w:rPr>
  </w:style>
  <w:style w:type="paragraph" w:customStyle="1" w:styleId="97">
    <w:name w:val="表格内容居中"/>
    <w:qFormat/>
    <w:uiPriority w:val="0"/>
    <w:pPr>
      <w:adjustRightInd w:val="0"/>
      <w:snapToGrid w:val="0"/>
      <w:jc w:val="center"/>
    </w:pPr>
    <w:rPr>
      <w:rFonts w:ascii="Times New Roman" w:hAnsi="Times New Roman" w:eastAsia="宋体" w:cs="Times New Roman"/>
      <w:snapToGrid w:val="0"/>
      <w:sz w:val="21"/>
      <w:szCs w:val="21"/>
      <w:lang w:val="en-US" w:eastAsia="zh-CN" w:bidi="ar-SA"/>
    </w:rPr>
  </w:style>
  <w:style w:type="character" w:customStyle="1" w:styleId="98">
    <w:name w:val="HTML 预设格式 字符"/>
    <w:link w:val="33"/>
    <w:qFormat/>
    <w:uiPriority w:val="99"/>
    <w:rPr>
      <w:rFonts w:ascii="Arial" w:hAnsi="Arial" w:cs="Courier New"/>
      <w:sz w:val="24"/>
      <w:szCs w:val="24"/>
    </w:rPr>
  </w:style>
  <w:style w:type="character" w:customStyle="1" w:styleId="99">
    <w:name w:val="font11"/>
    <w:qFormat/>
    <w:uiPriority w:val="0"/>
    <w:rPr>
      <w:rFonts w:hint="eastAsia" w:ascii="宋体" w:hAnsi="宋体" w:eastAsia="宋体" w:cs="宋体"/>
      <w:b/>
      <w:color w:val="000000"/>
      <w:sz w:val="21"/>
      <w:szCs w:val="21"/>
      <w:u w:val="none"/>
    </w:rPr>
  </w:style>
  <w:style w:type="character" w:customStyle="1" w:styleId="100">
    <w:name w:val="font31"/>
    <w:qFormat/>
    <w:uiPriority w:val="0"/>
    <w:rPr>
      <w:rFonts w:hint="default" w:ascii="Times New Roman" w:hAnsi="Times New Roman" w:cs="Times New Roman"/>
      <w:b/>
      <w:color w:val="000000"/>
      <w:sz w:val="21"/>
      <w:szCs w:val="21"/>
      <w:u w:val="none"/>
      <w:vertAlign w:val="subscript"/>
    </w:rPr>
  </w:style>
  <w:style w:type="character" w:customStyle="1" w:styleId="101">
    <w:name w:val="textfont1"/>
    <w:qFormat/>
    <w:uiPriority w:val="0"/>
    <w:rPr>
      <w:rFonts w:hint="default"/>
      <w:color w:val="000000"/>
      <w:sz w:val="22"/>
      <w:szCs w:val="22"/>
    </w:rPr>
  </w:style>
  <w:style w:type="character" w:customStyle="1" w:styleId="102">
    <w:name w:val="文本条款 Char"/>
    <w:qFormat/>
    <w:uiPriority w:val="0"/>
    <w:rPr>
      <w:rFonts w:eastAsia="宋体"/>
      <w:kern w:val="2"/>
      <w:sz w:val="24"/>
      <w:szCs w:val="24"/>
      <w:lang w:val="en-US" w:eastAsia="zh-CN" w:bidi="ar-SA"/>
    </w:rPr>
  </w:style>
  <w:style w:type="character" w:customStyle="1" w:styleId="103">
    <w:name w:val="正文文本缩进 3 字符"/>
    <w:link w:val="30"/>
    <w:qFormat/>
    <w:uiPriority w:val="0"/>
    <w:rPr>
      <w:kern w:val="2"/>
      <w:sz w:val="28"/>
      <w:szCs w:val="24"/>
    </w:rPr>
  </w:style>
  <w:style w:type="character" w:customStyle="1" w:styleId="104">
    <w:name w:val="正文文本 2 字符"/>
    <w:link w:val="32"/>
    <w:qFormat/>
    <w:uiPriority w:val="0"/>
    <w:rPr>
      <w:kern w:val="2"/>
      <w:sz w:val="24"/>
    </w:rPr>
  </w:style>
  <w:style w:type="character" w:customStyle="1" w:styleId="105">
    <w:name w:val="纯文本 Char2"/>
    <w:qFormat/>
    <w:uiPriority w:val="0"/>
    <w:rPr>
      <w:rFonts w:ascii="宋体" w:hAnsi="Courier New" w:eastAsia="宋体"/>
      <w:kern w:val="2"/>
      <w:sz w:val="21"/>
      <w:lang w:val="en-US" w:eastAsia="zh-CN" w:bidi="ar-SA"/>
    </w:rPr>
  </w:style>
  <w:style w:type="character" w:customStyle="1" w:styleId="106">
    <w:name w:val="Char Char Char Char Char"/>
    <w:qFormat/>
    <w:uiPriority w:val="0"/>
    <w:rPr>
      <w:rFonts w:eastAsia="宋体"/>
      <w:kern w:val="2"/>
      <w:sz w:val="24"/>
      <w:szCs w:val="24"/>
      <w:lang w:val="en-US" w:eastAsia="zh-CN" w:bidi="ar-SA"/>
    </w:rPr>
  </w:style>
  <w:style w:type="character" w:customStyle="1" w:styleId="107">
    <w:name w:val="批注文字 字符"/>
    <w:link w:val="14"/>
    <w:qFormat/>
    <w:uiPriority w:val="99"/>
    <w:rPr>
      <w:kern w:val="2"/>
      <w:sz w:val="21"/>
      <w:szCs w:val="24"/>
    </w:rPr>
  </w:style>
  <w:style w:type="character" w:customStyle="1" w:styleId="108">
    <w:name w:val="批注主题 字符"/>
    <w:link w:val="36"/>
    <w:qFormat/>
    <w:uiPriority w:val="0"/>
    <w:rPr>
      <w:b/>
      <w:bCs/>
      <w:kern w:val="2"/>
      <w:sz w:val="21"/>
      <w:szCs w:val="24"/>
    </w:rPr>
  </w:style>
  <w:style w:type="character" w:customStyle="1" w:styleId="109">
    <w:name w:val="表标题 Char"/>
    <w:link w:val="67"/>
    <w:qFormat/>
    <w:uiPriority w:val="0"/>
    <w:rPr>
      <w:rFonts w:ascii="宋体"/>
      <w:b/>
      <w:sz w:val="24"/>
    </w:rPr>
  </w:style>
  <w:style w:type="character" w:customStyle="1" w:styleId="110">
    <w:name w:val="表格1 Char1"/>
    <w:link w:val="68"/>
    <w:qFormat/>
    <w:uiPriority w:val="0"/>
    <w:rPr>
      <w:rFonts w:ascii="宋体"/>
      <w:sz w:val="21"/>
    </w:rPr>
  </w:style>
  <w:style w:type="paragraph" w:customStyle="1" w:styleId="111">
    <w:name w:val="表格文字"/>
    <w:next w:val="1"/>
    <w:qFormat/>
    <w:uiPriority w:val="0"/>
    <w:pPr>
      <w:adjustRightInd w:val="0"/>
      <w:snapToGrid w:val="0"/>
      <w:jc w:val="center"/>
    </w:pPr>
    <w:rPr>
      <w:rFonts w:ascii="Times New Roman" w:hAnsi="Times New Roman" w:eastAsia="宋体" w:cs="Times New Roman"/>
      <w:sz w:val="21"/>
      <w:lang w:val="en-US" w:eastAsia="zh-CN" w:bidi="ar-SA"/>
    </w:rPr>
  </w:style>
  <w:style w:type="character" w:customStyle="1" w:styleId="112">
    <w:name w:val="样式1 Char Char"/>
    <w:basedOn w:val="41"/>
    <w:qFormat/>
    <w:uiPriority w:val="0"/>
    <w:rPr>
      <w:rFonts w:ascii="Calibri" w:hAnsi="Calibri" w:eastAsia="宋体" w:cs="黑体"/>
      <w:sz w:val="28"/>
    </w:rPr>
  </w:style>
  <w:style w:type="paragraph" w:customStyle="1" w:styleId="113">
    <w:name w:val="hj-正文"/>
    <w:basedOn w:val="1"/>
    <w:link w:val="114"/>
    <w:qFormat/>
    <w:uiPriority w:val="0"/>
    <w:pPr>
      <w:spacing w:line="360" w:lineRule="auto"/>
      <w:ind w:firstLine="480" w:firstLineChars="200"/>
    </w:pPr>
    <w:rPr>
      <w:sz w:val="24"/>
      <w:szCs w:val="20"/>
    </w:rPr>
  </w:style>
  <w:style w:type="character" w:customStyle="1" w:styleId="114">
    <w:name w:val="hj-正文 Char"/>
    <w:link w:val="113"/>
    <w:qFormat/>
    <w:uiPriority w:val="0"/>
    <w:rPr>
      <w:kern w:val="2"/>
      <w:sz w:val="24"/>
    </w:rPr>
  </w:style>
  <w:style w:type="character" w:customStyle="1" w:styleId="115">
    <w:name w:val="表格 Char Char"/>
    <w:qFormat/>
    <w:uiPriority w:val="0"/>
    <w:rPr>
      <w:rFonts w:eastAsia="黑体"/>
      <w:spacing w:val="-10"/>
      <w:sz w:val="21"/>
      <w:lang w:bidi="ar-SA"/>
    </w:rPr>
  </w:style>
  <w:style w:type="character" w:customStyle="1" w:styleId="116">
    <w:name w:val="正 文 Char Char"/>
    <w:link w:val="117"/>
    <w:qFormat/>
    <w:uiPriority w:val="0"/>
    <w:rPr>
      <w:rFonts w:eastAsia="Times New Roman"/>
      <w:sz w:val="24"/>
      <w:lang w:val="en-US" w:eastAsia="zh-CN" w:bidi="ar-SA"/>
    </w:rPr>
  </w:style>
  <w:style w:type="paragraph" w:customStyle="1" w:styleId="117">
    <w:name w:val="正 文"/>
    <w:link w:val="116"/>
    <w:qFormat/>
    <w:uiPriority w:val="0"/>
    <w:pPr>
      <w:widowControl w:val="0"/>
      <w:spacing w:line="480" w:lineRule="exact"/>
      <w:ind w:firstLine="471"/>
      <w:jc w:val="both"/>
    </w:pPr>
    <w:rPr>
      <w:rFonts w:ascii="Times New Roman" w:hAnsi="Times New Roman" w:eastAsia="Times New Roman" w:cs="Times New Roman"/>
      <w:sz w:val="24"/>
      <w:lang w:val="en-US" w:eastAsia="zh-CN" w:bidi="ar-SA"/>
    </w:rPr>
  </w:style>
  <w:style w:type="character" w:customStyle="1" w:styleId="118">
    <w:name w:val="description"/>
    <w:basedOn w:val="41"/>
    <w:qFormat/>
    <w:uiPriority w:val="0"/>
  </w:style>
  <w:style w:type="character" w:customStyle="1" w:styleId="119">
    <w:name w:val="fontstyle01"/>
    <w:basedOn w:val="41"/>
    <w:qFormat/>
    <w:uiPriority w:val="0"/>
    <w:rPr>
      <w:rFonts w:hint="eastAsia" w:ascii="宋体" w:hAnsi="宋体" w:eastAsia="宋体"/>
      <w:color w:val="000000"/>
      <w:sz w:val="24"/>
      <w:szCs w:val="24"/>
    </w:rPr>
  </w:style>
  <w:style w:type="character" w:customStyle="1" w:styleId="120">
    <w:name w:val="fontstyle21"/>
    <w:basedOn w:val="41"/>
    <w:qFormat/>
    <w:uiPriority w:val="0"/>
    <w:rPr>
      <w:rFonts w:hint="default" w:ascii="TimesNewRoman" w:hAnsi="TimesNewRoman"/>
      <w:color w:val="000000"/>
      <w:sz w:val="24"/>
      <w:szCs w:val="24"/>
    </w:rPr>
  </w:style>
  <w:style w:type="paragraph" w:customStyle="1" w:styleId="121">
    <w:name w:val="hj正文"/>
    <w:basedOn w:val="1"/>
    <w:link w:val="122"/>
    <w:qFormat/>
    <w:uiPriority w:val="0"/>
    <w:pPr>
      <w:spacing w:line="360" w:lineRule="auto"/>
      <w:ind w:firstLine="480" w:firstLineChars="200"/>
    </w:pPr>
    <w:rPr>
      <w:sz w:val="24"/>
      <w:szCs w:val="20"/>
    </w:rPr>
  </w:style>
  <w:style w:type="character" w:customStyle="1" w:styleId="122">
    <w:name w:val="hj正文 Char"/>
    <w:link w:val="121"/>
    <w:qFormat/>
    <w:uiPriority w:val="0"/>
    <w:rPr>
      <w:kern w:val="2"/>
      <w:sz w:val="24"/>
    </w:rPr>
  </w:style>
  <w:style w:type="character" w:customStyle="1" w:styleId="123">
    <w:name w:val="apple-converted-space"/>
    <w:basedOn w:val="41"/>
    <w:qFormat/>
    <w:uiPriority w:val="0"/>
  </w:style>
  <w:style w:type="paragraph" w:customStyle="1" w:styleId="124">
    <w:name w:val="表 内容"/>
    <w:basedOn w:val="1"/>
    <w:qFormat/>
    <w:uiPriority w:val="0"/>
    <w:pPr>
      <w:jc w:val="center"/>
    </w:pPr>
    <w:rPr>
      <w:rFonts w:hAnsi="宋体"/>
      <w:szCs w:val="20"/>
    </w:rPr>
  </w:style>
  <w:style w:type="paragraph" w:customStyle="1" w:styleId="125">
    <w:name w:val="普通(网站)1"/>
    <w:basedOn w:val="1"/>
    <w:qFormat/>
    <w:uiPriority w:val="0"/>
    <w:pPr>
      <w:widowControl/>
      <w:spacing w:before="100" w:beforeAutospacing="1" w:after="100" w:afterAutospacing="1"/>
      <w:jc w:val="left"/>
    </w:pPr>
    <w:rPr>
      <w:rFonts w:hint="eastAsia" w:ascii="宋体" w:hAnsi="宋体"/>
      <w:sz w:val="24"/>
      <w:szCs w:val="20"/>
    </w:rPr>
  </w:style>
  <w:style w:type="character" w:styleId="126">
    <w:name w:val="Placeholder Text"/>
    <w:basedOn w:val="41"/>
    <w:qFormat/>
    <w:uiPriority w:val="99"/>
    <w:rPr>
      <w:color w:val="808080"/>
    </w:rPr>
  </w:style>
  <w:style w:type="paragraph" w:customStyle="1" w:styleId="127">
    <w:name w:val="中心内容"/>
    <w:basedOn w:val="1"/>
    <w:link w:val="128"/>
    <w:qFormat/>
    <w:uiPriority w:val="0"/>
    <w:pPr>
      <w:spacing w:line="360" w:lineRule="auto"/>
      <w:ind w:firstLine="200" w:firstLineChars="200"/>
    </w:pPr>
    <w:rPr>
      <w:sz w:val="24"/>
    </w:rPr>
  </w:style>
  <w:style w:type="character" w:customStyle="1" w:styleId="128">
    <w:name w:val="中心内容 字符"/>
    <w:link w:val="127"/>
    <w:qFormat/>
    <w:uiPriority w:val="0"/>
    <w:rPr>
      <w:kern w:val="2"/>
      <w:sz w:val="24"/>
      <w:szCs w:val="24"/>
    </w:rPr>
  </w:style>
  <w:style w:type="character" w:customStyle="1" w:styleId="129">
    <w:name w:val="表格 字符"/>
    <w:qFormat/>
    <w:uiPriority w:val="0"/>
    <w:rPr>
      <w:kern w:val="2"/>
      <w:sz w:val="21"/>
      <w:szCs w:val="24"/>
    </w:rPr>
  </w:style>
  <w:style w:type="character" w:customStyle="1" w:styleId="130">
    <w:name w:val="0-表格文字 Char"/>
    <w:link w:val="131"/>
    <w:qFormat/>
    <w:uiPriority w:val="0"/>
    <w:rPr>
      <w:snapToGrid w:val="0"/>
      <w:color w:val="000000"/>
      <w:kern w:val="2"/>
      <w:sz w:val="21"/>
      <w:szCs w:val="22"/>
    </w:rPr>
  </w:style>
  <w:style w:type="paragraph" w:customStyle="1" w:styleId="131">
    <w:name w:val="0-表格文字"/>
    <w:basedOn w:val="1"/>
    <w:link w:val="130"/>
    <w:qFormat/>
    <w:uiPriority w:val="0"/>
    <w:pPr>
      <w:widowControl/>
      <w:wordWrap w:val="0"/>
      <w:overflowPunct w:val="0"/>
      <w:topLinePunct/>
      <w:adjustRightInd w:val="0"/>
      <w:snapToGrid w:val="0"/>
      <w:spacing w:line="312" w:lineRule="auto"/>
      <w:jc w:val="center"/>
    </w:pPr>
    <w:rPr>
      <w:snapToGrid w:val="0"/>
      <w:color w:val="000000"/>
      <w:szCs w:val="22"/>
    </w:rPr>
  </w:style>
  <w:style w:type="character" w:customStyle="1" w:styleId="132">
    <w:name w:val="表格 Char1"/>
    <w:qFormat/>
    <w:uiPriority w:val="0"/>
    <w:rPr>
      <w:kern w:val="2"/>
      <w:sz w:val="21"/>
      <w:szCs w:val="24"/>
    </w:rPr>
  </w:style>
  <w:style w:type="paragraph" w:customStyle="1" w:styleId="133">
    <w:name w:val="正文 + 宋体"/>
    <w:basedOn w:val="1"/>
    <w:qFormat/>
    <w:uiPriority w:val="0"/>
    <w:pPr>
      <w:adjustRightInd w:val="0"/>
      <w:snapToGrid w:val="0"/>
      <w:spacing w:line="400" w:lineRule="exact"/>
      <w:ind w:firstLine="480" w:firstLineChars="200"/>
      <w:textAlignment w:val="baseline"/>
    </w:pPr>
    <w:rPr>
      <w:color w:val="000000"/>
      <w:sz w:val="24"/>
    </w:rPr>
  </w:style>
  <w:style w:type="paragraph" w:customStyle="1" w:styleId="134">
    <w:name w:val="_Style 7"/>
    <w:basedOn w:val="1"/>
    <w:qFormat/>
    <w:uiPriority w:val="0"/>
    <w:pPr>
      <w:spacing w:line="360" w:lineRule="auto"/>
      <w:ind w:firstLine="200" w:firstLineChars="200"/>
    </w:pPr>
    <w:rPr>
      <w:rFonts w:cs="黑体"/>
      <w:sz w:val="24"/>
      <w:szCs w:val="22"/>
    </w:rPr>
  </w:style>
  <w:style w:type="character" w:customStyle="1" w:styleId="135">
    <w:name w:val="fontstyle11"/>
    <w:basedOn w:val="41"/>
    <w:qFormat/>
    <w:uiPriority w:val="0"/>
    <w:rPr>
      <w:rFonts w:hint="default" w:ascii="TimesNewRomanPSMT" w:hAnsi="TimesNewRomanPSMT"/>
      <w:color w:val="000000"/>
      <w:sz w:val="24"/>
      <w:szCs w:val="24"/>
    </w:rPr>
  </w:style>
  <w:style w:type="paragraph" w:customStyle="1" w:styleId="136">
    <w:name w:val="正文！"/>
    <w:basedOn w:val="1"/>
    <w:qFormat/>
    <w:uiPriority w:val="99"/>
    <w:pPr>
      <w:adjustRightInd w:val="0"/>
      <w:snapToGrid w:val="0"/>
      <w:spacing w:line="360" w:lineRule="auto"/>
      <w:ind w:firstLine="200" w:firstLineChars="200"/>
    </w:pPr>
    <w:rPr>
      <w:sz w:val="24"/>
      <w:szCs w:val="22"/>
    </w:rPr>
  </w:style>
  <w:style w:type="paragraph" w:customStyle="1" w:styleId="137">
    <w:name w:val="5报告文本"/>
    <w:qFormat/>
    <w:uiPriority w:val="0"/>
    <w:pPr>
      <w:widowControl w:val="0"/>
      <w:spacing w:line="324" w:lineRule="auto"/>
      <w:ind w:firstLine="200" w:firstLineChars="200"/>
      <w:jc w:val="both"/>
    </w:pPr>
    <w:rPr>
      <w:rFonts w:ascii="Times New Roman" w:hAnsi="Times New Roman" w:eastAsia="宋体" w:cs="Times New Roman"/>
      <w:kern w:val="2"/>
      <w:sz w:val="24"/>
      <w:szCs w:val="22"/>
      <w:lang w:val="en-US" w:eastAsia="zh-CN" w:bidi="ar-SA"/>
    </w:rPr>
  </w:style>
  <w:style w:type="paragraph" w:customStyle="1" w:styleId="138">
    <w:name w:val="正文~"/>
    <w:basedOn w:val="1"/>
    <w:qFormat/>
    <w:uiPriority w:val="0"/>
    <w:pPr>
      <w:spacing w:line="360" w:lineRule="auto"/>
      <w:ind w:firstLine="177" w:firstLineChars="177"/>
    </w:pPr>
    <w:rPr>
      <w:sz w:val="24"/>
    </w:rPr>
  </w:style>
  <w:style w:type="paragraph" w:customStyle="1" w:styleId="139">
    <w:name w:val="图表标题"/>
    <w:basedOn w:val="1"/>
    <w:qFormat/>
    <w:uiPriority w:val="0"/>
    <w:pPr>
      <w:spacing w:before="160" w:after="160" w:line="440" w:lineRule="exact"/>
      <w:jc w:val="center"/>
    </w:pPr>
    <w:rPr>
      <w:b/>
      <w:sz w:val="28"/>
      <w:szCs w:val="20"/>
    </w:rPr>
  </w:style>
  <w:style w:type="character" w:customStyle="1" w:styleId="140">
    <w:name w:val="fontstyle31"/>
    <w:basedOn w:val="41"/>
    <w:qFormat/>
    <w:uiPriority w:val="0"/>
    <w:rPr>
      <w:rFonts w:hint="default" w:ascii="ArialMT" w:hAnsi="ArialMT"/>
      <w:color w:val="000000"/>
      <w:sz w:val="24"/>
      <w:szCs w:val="24"/>
    </w:rPr>
  </w:style>
  <w:style w:type="paragraph" w:customStyle="1" w:styleId="141">
    <w:name w:val="附图"/>
    <w:basedOn w:val="1"/>
    <w:qFormat/>
    <w:uiPriority w:val="0"/>
    <w:pPr>
      <w:widowControl/>
      <w:ind w:left="431" w:hanging="431"/>
      <w:jc w:val="center"/>
      <w:outlineLvl w:val="0"/>
    </w:pPr>
    <w:rPr>
      <w:rFonts w:ascii="宋体" w:hAnsi="宋体" w:cs="宋体"/>
      <w:b/>
      <w:bCs/>
      <w:kern w:val="44"/>
      <w:lang w:val="en-GB"/>
    </w:rPr>
  </w:style>
  <w:style w:type="paragraph" w:customStyle="1" w:styleId="142">
    <w:name w:val="蓝森表格内容"/>
    <w:basedOn w:val="1"/>
    <w:qFormat/>
    <w:uiPriority w:val="0"/>
    <w:pPr>
      <w:spacing w:line="360" w:lineRule="exact"/>
      <w:jc w:val="center"/>
    </w:pPr>
    <w:rPr>
      <w:bCs/>
      <w:color w:val="000000"/>
      <w:szCs w:val="21"/>
    </w:rPr>
  </w:style>
  <w:style w:type="paragraph" w:customStyle="1" w:styleId="143">
    <w:name w:val="Table Paragraph"/>
    <w:basedOn w:val="1"/>
    <w:link w:val="151"/>
    <w:qFormat/>
    <w:uiPriority w:val="1"/>
    <w:pPr>
      <w:spacing w:line="300" w:lineRule="auto"/>
      <w:jc w:val="left"/>
    </w:pPr>
    <w:rPr>
      <w:rFonts w:ascii="Calibri" w:hAnsi="Calibri"/>
      <w:kern w:val="0"/>
      <w:sz w:val="22"/>
      <w:szCs w:val="22"/>
    </w:rPr>
  </w:style>
  <w:style w:type="character" w:customStyle="1" w:styleId="144">
    <w:name w:val="普通(网站) 字符"/>
    <w:link w:val="34"/>
    <w:qFormat/>
    <w:uiPriority w:val="99"/>
    <w:rPr>
      <w:rFonts w:ascii="宋体" w:hAnsi="宋体" w:cs="宋体"/>
      <w:sz w:val="24"/>
      <w:szCs w:val="24"/>
    </w:rPr>
  </w:style>
  <w:style w:type="character" w:customStyle="1" w:styleId="145">
    <w:name w:val="标题三 Char"/>
    <w:link w:val="146"/>
    <w:qFormat/>
    <w:uiPriority w:val="0"/>
    <w:rPr>
      <w:rFonts w:ascii="Hei" w:hAnsi="Hei" w:eastAsia="华文中宋" w:cs="Hei"/>
      <w:kern w:val="2"/>
      <w:sz w:val="28"/>
      <w:szCs w:val="22"/>
      <w:lang w:val="en-US" w:eastAsia="zh-CN" w:bidi="ar-SA"/>
    </w:rPr>
  </w:style>
  <w:style w:type="paragraph" w:customStyle="1" w:styleId="146">
    <w:name w:val="标题三"/>
    <w:next w:val="1"/>
    <w:link w:val="145"/>
    <w:qFormat/>
    <w:uiPriority w:val="0"/>
    <w:pPr>
      <w:adjustRightInd w:val="0"/>
      <w:spacing w:line="360" w:lineRule="auto"/>
      <w:outlineLvl w:val="2"/>
    </w:pPr>
    <w:rPr>
      <w:rFonts w:ascii="Hei" w:hAnsi="Hei" w:eastAsia="华文中宋" w:cs="Hei"/>
      <w:kern w:val="2"/>
      <w:sz w:val="28"/>
      <w:szCs w:val="22"/>
      <w:lang w:val="en-US" w:eastAsia="zh-CN" w:bidi="ar-SA"/>
    </w:rPr>
  </w:style>
  <w:style w:type="paragraph" w:customStyle="1" w:styleId="147">
    <w:name w:val="标题1"/>
    <w:basedOn w:val="136"/>
    <w:next w:val="136"/>
    <w:qFormat/>
    <w:uiPriority w:val="0"/>
    <w:pPr>
      <w:spacing w:beforeLines="50" w:afterLines="50"/>
      <w:ind w:firstLine="0" w:firstLineChars="0"/>
      <w:jc w:val="center"/>
      <w:outlineLvl w:val="0"/>
    </w:pPr>
    <w:rPr>
      <w:b/>
      <w:sz w:val="44"/>
    </w:rPr>
  </w:style>
  <w:style w:type="paragraph" w:customStyle="1" w:styleId="148">
    <w:name w:val="标题1.1.1"/>
    <w:basedOn w:val="1"/>
    <w:next w:val="136"/>
    <w:qFormat/>
    <w:uiPriority w:val="0"/>
    <w:pPr>
      <w:adjustRightInd w:val="0"/>
      <w:snapToGrid w:val="0"/>
      <w:spacing w:beforeLines="50" w:afterLines="50" w:line="360" w:lineRule="auto"/>
      <w:ind w:left="1532" w:hanging="680"/>
      <w:outlineLvl w:val="2"/>
    </w:pPr>
    <w:rPr>
      <w:b/>
      <w:sz w:val="28"/>
      <w:szCs w:val="22"/>
    </w:rPr>
  </w:style>
  <w:style w:type="paragraph" w:customStyle="1" w:styleId="149">
    <w:name w:val="标题题目"/>
    <w:basedOn w:val="136"/>
    <w:qFormat/>
    <w:uiPriority w:val="0"/>
    <w:pPr>
      <w:ind w:firstLine="0" w:firstLineChars="0"/>
      <w:jc w:val="center"/>
    </w:pPr>
    <w:rPr>
      <w:b/>
    </w:rPr>
  </w:style>
  <w:style w:type="character" w:customStyle="1" w:styleId="150">
    <w:name w:val="纯文本 字符1"/>
    <w:qFormat/>
    <w:uiPriority w:val="0"/>
    <w:rPr>
      <w:rFonts w:ascii="宋体" w:hAnsi="Courier New" w:cs="Courier New"/>
      <w:kern w:val="2"/>
      <w:sz w:val="24"/>
      <w:szCs w:val="21"/>
    </w:rPr>
  </w:style>
  <w:style w:type="character" w:customStyle="1" w:styleId="151">
    <w:name w:val="Table Paragraph Char"/>
    <w:link w:val="143"/>
    <w:qFormat/>
    <w:uiPriority w:val="1"/>
    <w:rPr>
      <w:rFonts w:ascii="Calibri" w:hAnsi="Calibri" w:cs="Times New Roman"/>
      <w:sz w:val="22"/>
      <w:szCs w:val="22"/>
    </w:rPr>
  </w:style>
  <w:style w:type="character" w:customStyle="1" w:styleId="152">
    <w:name w:val="！正文 Char"/>
    <w:link w:val="153"/>
    <w:qFormat/>
    <w:uiPriority w:val="0"/>
    <w:rPr>
      <w:rFonts w:cs="宋体"/>
      <w:kern w:val="2"/>
      <w:sz w:val="24"/>
    </w:rPr>
  </w:style>
  <w:style w:type="paragraph" w:customStyle="1" w:styleId="153">
    <w:name w:val="！正文"/>
    <w:basedOn w:val="1"/>
    <w:link w:val="152"/>
    <w:qFormat/>
    <w:uiPriority w:val="0"/>
    <w:pPr>
      <w:spacing w:line="360" w:lineRule="auto"/>
      <w:ind w:firstLine="200" w:firstLineChars="200"/>
    </w:pPr>
    <w:rPr>
      <w:sz w:val="24"/>
      <w:szCs w:val="20"/>
    </w:rPr>
  </w:style>
  <w:style w:type="paragraph" w:customStyle="1" w:styleId="154">
    <w:name w:val="报告表正文"/>
    <w:basedOn w:val="1"/>
    <w:qFormat/>
    <w:uiPriority w:val="0"/>
    <w:rPr>
      <w:rFonts w:ascii="楷体_GB2312" w:hAnsi="Calibri" w:eastAsia="楷体_GB2312" w:cs="宋体"/>
      <w:szCs w:val="21"/>
    </w:rPr>
  </w:style>
  <w:style w:type="paragraph" w:customStyle="1" w:styleId="155">
    <w:name w:val="段落1 Char"/>
    <w:basedOn w:val="1"/>
    <w:qFormat/>
    <w:uiPriority w:val="0"/>
    <w:pPr>
      <w:spacing w:line="440" w:lineRule="exact"/>
      <w:ind w:firstLine="480"/>
    </w:pPr>
    <w:rPr>
      <w:rFonts w:ascii="Calibri" w:hAnsi="Calibri" w:cs="Calibri"/>
      <w:spacing w:val="8"/>
      <w:szCs w:val="21"/>
    </w:rPr>
  </w:style>
  <w:style w:type="paragraph" w:customStyle="1" w:styleId="156">
    <w:name w:val="正文1"/>
    <w:basedOn w:val="1"/>
    <w:qFormat/>
    <w:uiPriority w:val="0"/>
    <w:pPr>
      <w:widowControl/>
    </w:pPr>
    <w:rPr>
      <w:rFonts w:ascii="Courier New" w:hAnsi="Courier New" w:cs="Courier New"/>
      <w:szCs w:val="21"/>
    </w:rPr>
  </w:style>
  <w:style w:type="paragraph" w:customStyle="1" w:styleId="157">
    <w:name w:val="列出段落1"/>
    <w:basedOn w:val="1"/>
    <w:qFormat/>
    <w:uiPriority w:val="34"/>
    <w:pPr>
      <w:ind w:firstLine="420" w:firstLineChars="200"/>
    </w:pPr>
    <w:rPr>
      <w:rFonts w:ascii="Calibri" w:hAnsi="Calibri"/>
      <w:szCs w:val="22"/>
    </w:rPr>
  </w:style>
  <w:style w:type="paragraph" w:customStyle="1" w:styleId="158">
    <w:name w:val="小四 间距1.5 缩进2"/>
    <w:basedOn w:val="1"/>
    <w:qFormat/>
    <w:uiPriority w:val="0"/>
    <w:pPr>
      <w:spacing w:line="360" w:lineRule="auto"/>
      <w:ind w:firstLine="415" w:firstLineChars="173"/>
    </w:pPr>
    <w:rPr>
      <w:sz w:val="24"/>
    </w:rPr>
  </w:style>
  <w:style w:type="paragraph" w:customStyle="1" w:styleId="159">
    <w:name w:val="正文（YHY-GDB)"/>
    <w:basedOn w:val="1"/>
    <w:qFormat/>
    <w:uiPriority w:val="0"/>
    <w:pPr>
      <w:spacing w:beforeLines="50" w:afterLines="50" w:line="360" w:lineRule="auto"/>
      <w:ind w:firstLine="200" w:firstLineChars="200"/>
    </w:pPr>
    <w:rPr>
      <w:sz w:val="24"/>
    </w:rPr>
  </w:style>
  <w:style w:type="paragraph" w:customStyle="1" w:styleId="160">
    <w:name w:val="TTT"/>
    <w:basedOn w:val="1"/>
    <w:qFormat/>
    <w:uiPriority w:val="0"/>
    <w:pPr>
      <w:tabs>
        <w:tab w:val="left" w:pos="480"/>
      </w:tabs>
      <w:spacing w:line="360" w:lineRule="auto"/>
      <w:ind w:firstLine="200" w:firstLineChars="200"/>
    </w:pPr>
    <w:rPr>
      <w:b/>
      <w:sz w:val="24"/>
    </w:rPr>
  </w:style>
  <w:style w:type="paragraph" w:customStyle="1" w:styleId="161">
    <w:name w:val="样式35"/>
    <w:basedOn w:val="124"/>
    <w:next w:val="162"/>
    <w:qFormat/>
    <w:uiPriority w:val="0"/>
    <w:pPr>
      <w:spacing w:line="312" w:lineRule="auto"/>
      <w:ind w:firstLine="567"/>
      <w:jc w:val="both"/>
    </w:pPr>
    <w:rPr>
      <w:rFonts w:ascii="宋体"/>
      <w:szCs w:val="22"/>
    </w:rPr>
  </w:style>
  <w:style w:type="paragraph" w:customStyle="1" w:styleId="162">
    <w:name w:val="font6"/>
    <w:next w:val="31"/>
    <w:qFormat/>
    <w:uiPriority w:val="0"/>
    <w:pPr>
      <w:spacing w:before="280" w:after="280"/>
      <w:jc w:val="both"/>
    </w:pPr>
    <w:rPr>
      <w:rFonts w:ascii="Times New Roman" w:hAnsi="Times New Roman" w:eastAsia="宋体" w:cs="Times New Roman"/>
      <w:kern w:val="2"/>
      <w:sz w:val="21"/>
      <w:szCs w:val="22"/>
      <w:lang w:val="en-US" w:eastAsia="zh-CN" w:bidi="ar-SA"/>
    </w:rPr>
  </w:style>
  <w:style w:type="paragraph" w:customStyle="1" w:styleId="163">
    <w:name w:val="粗正文"/>
    <w:basedOn w:val="1"/>
    <w:qFormat/>
    <w:uiPriority w:val="0"/>
    <w:pPr>
      <w:ind w:firstLine="420" w:firstLineChars="200"/>
      <w:jc w:val="left"/>
      <w:textAlignment w:val="center"/>
    </w:pPr>
    <w:rPr>
      <w:b/>
      <w:kern w:val="0"/>
      <w:szCs w:val="2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5" Type="http://schemas.openxmlformats.org/officeDocument/2006/relationships/fontTable" Target="fontTable.xml"/><Relationship Id="rId64" Type="http://schemas.openxmlformats.org/officeDocument/2006/relationships/customXml" Target="../customXml/item21.xml"/><Relationship Id="rId63" Type="http://schemas.openxmlformats.org/officeDocument/2006/relationships/customXml" Target="../customXml/item20.xml"/><Relationship Id="rId62" Type="http://schemas.openxmlformats.org/officeDocument/2006/relationships/customXml" Target="../customXml/item19.xml"/><Relationship Id="rId61" Type="http://schemas.openxmlformats.org/officeDocument/2006/relationships/customXml" Target="../customXml/item18.xml"/><Relationship Id="rId60" Type="http://schemas.openxmlformats.org/officeDocument/2006/relationships/customXml" Target="../customXml/item17.xml"/><Relationship Id="rId6" Type="http://schemas.openxmlformats.org/officeDocument/2006/relationships/footer" Target="footer2.xml"/><Relationship Id="rId59" Type="http://schemas.openxmlformats.org/officeDocument/2006/relationships/customXml" Target="../customXml/item16.xml"/><Relationship Id="rId58" Type="http://schemas.openxmlformats.org/officeDocument/2006/relationships/customXml" Target="../customXml/item15.xml"/><Relationship Id="rId57" Type="http://schemas.openxmlformats.org/officeDocument/2006/relationships/customXml" Target="../customXml/item14.xml"/><Relationship Id="rId56" Type="http://schemas.openxmlformats.org/officeDocument/2006/relationships/customXml" Target="../customXml/item13.xml"/><Relationship Id="rId55" Type="http://schemas.openxmlformats.org/officeDocument/2006/relationships/customXml" Target="../customXml/item12.xml"/><Relationship Id="rId54" Type="http://schemas.openxmlformats.org/officeDocument/2006/relationships/customXml" Target="../customXml/item11.xml"/><Relationship Id="rId53" Type="http://schemas.openxmlformats.org/officeDocument/2006/relationships/customXml" Target="../customXml/item10.xml"/><Relationship Id="rId52" Type="http://schemas.openxmlformats.org/officeDocument/2006/relationships/customXml" Target="../customXml/item9.xml"/><Relationship Id="rId51" Type="http://schemas.openxmlformats.org/officeDocument/2006/relationships/customXml" Target="../customXml/item8.xml"/><Relationship Id="rId50" Type="http://schemas.openxmlformats.org/officeDocument/2006/relationships/customXml" Target="../customXml/item7.xml"/><Relationship Id="rId5" Type="http://schemas.openxmlformats.org/officeDocument/2006/relationships/footer" Target="footer1.xml"/><Relationship Id="rId49" Type="http://schemas.openxmlformats.org/officeDocument/2006/relationships/customXml" Target="../customXml/item6.xml"/><Relationship Id="rId48" Type="http://schemas.openxmlformats.org/officeDocument/2006/relationships/customXml" Target="../customXml/item5.xml"/><Relationship Id="rId47" Type="http://schemas.openxmlformats.org/officeDocument/2006/relationships/customXml" Target="../customXml/item4.xml"/><Relationship Id="rId46" Type="http://schemas.openxmlformats.org/officeDocument/2006/relationships/customXml" Target="../customXml/item3.xml"/><Relationship Id="rId45" Type="http://schemas.openxmlformats.org/officeDocument/2006/relationships/customXml" Target="../customXml/item2.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17.png"/><Relationship Id="rId41" Type="http://schemas.openxmlformats.org/officeDocument/2006/relationships/oleObject" Target="embeddings/oleObject7.bin"/><Relationship Id="rId40" Type="http://schemas.openxmlformats.org/officeDocument/2006/relationships/image" Target="media/image16.png"/><Relationship Id="rId4" Type="http://schemas.openxmlformats.org/officeDocument/2006/relationships/header" Target="header2.xml"/><Relationship Id="rId39" Type="http://schemas.openxmlformats.org/officeDocument/2006/relationships/oleObject" Target="embeddings/oleObject6.bin"/><Relationship Id="rId38" Type="http://schemas.openxmlformats.org/officeDocument/2006/relationships/image" Target="media/image15.png"/><Relationship Id="rId37" Type="http://schemas.openxmlformats.org/officeDocument/2006/relationships/oleObject" Target="embeddings/oleObject5.bin"/><Relationship Id="rId36" Type="http://schemas.openxmlformats.org/officeDocument/2006/relationships/image" Target="media/image14.png"/><Relationship Id="rId35" Type="http://schemas.openxmlformats.org/officeDocument/2006/relationships/oleObject" Target="embeddings/oleObject4.bin"/><Relationship Id="rId34" Type="http://schemas.openxmlformats.org/officeDocument/2006/relationships/image" Target="media/image13.png"/><Relationship Id="rId33" Type="http://schemas.openxmlformats.org/officeDocument/2006/relationships/oleObject" Target="embeddings/oleObject3.bin"/><Relationship Id="rId32" Type="http://schemas.openxmlformats.org/officeDocument/2006/relationships/image" Target="media/image12.png"/><Relationship Id="rId31" Type="http://schemas.openxmlformats.org/officeDocument/2006/relationships/oleObject" Target="embeddings/oleObject2.bin"/><Relationship Id="rId30" Type="http://schemas.openxmlformats.org/officeDocument/2006/relationships/image" Target="media/image11.jpeg"/><Relationship Id="rId3" Type="http://schemas.openxmlformats.org/officeDocument/2006/relationships/header" Target="header1.xml"/><Relationship Id="rId29" Type="http://schemas.openxmlformats.org/officeDocument/2006/relationships/image" Target="media/image10.jpeg"/><Relationship Id="rId28" Type="http://schemas.openxmlformats.org/officeDocument/2006/relationships/image" Target="media/image9.png"/><Relationship Id="rId27" Type="http://schemas.openxmlformats.org/officeDocument/2006/relationships/image" Target="media/image8.png"/><Relationship Id="rId26" Type="http://schemas.openxmlformats.org/officeDocument/2006/relationships/image" Target="media/image7.png"/><Relationship Id="rId25" Type="http://schemas.openxmlformats.org/officeDocument/2006/relationships/package" Target="embeddings/Microsoft_Visio___1.vsdx"/><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oleObject" Target="embeddings/oleObject1.bin"/><Relationship Id="rId20" Type="http://schemas.openxmlformats.org/officeDocument/2006/relationships/image" Target="media/image3.png"/><Relationship Id="rId2" Type="http://schemas.openxmlformats.org/officeDocument/2006/relationships/settings" Target="settings.xml"/><Relationship Id="rId19" Type="http://schemas.openxmlformats.org/officeDocument/2006/relationships/image" Target="media/image2.png"/><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mcd:customData xmlns="http://www.wps.cn/android/officeDocument/2013/mofficeCustomData" xmlns:mcd="http://www.wps.cn/android/officeDocument/2013/mofficeCustomData" version="2">
  <mcd:comments/>
</mcd:customData>
</file>

<file path=customXml/item19.xml><?xml version="1.0" encoding="utf-8"?>
<mcd:customData xmlns="http://www.wps.cn/android/officeDocument/2013/mofficeCustomData" xmlns:mcd="http://www.wps.cn/android/officeDocument/2013/mofficeCustomData" version="2">
  <mcd:comments/>
</mcd:customData>
</file>

<file path=customXml/item20.xml><?xml version="1.0" encoding="utf-8"?>
<mcd:customData xmlns="http://www.wps.cn/android/officeDocument/2013/mofficeCustomData" xmlns:mcd="http://www.wps.cn/android/officeDocument/2013/mofficeCustomData" version="2">
  <mcd:comments/>
</mcd:customData>
</file>

<file path=customXml/item21.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333D6B-EE3B-46BE-87B0-65973648E644}">
  <ds:schemaRefs/>
</ds:datastoreItem>
</file>

<file path=customXml/itemProps3.xml><?xml version="1.0" encoding="utf-8"?>
<ds:datastoreItem xmlns:ds="http://schemas.openxmlformats.org/officeDocument/2006/customXml" ds:itemID="{A9B7E1FE-B140-4C74-A677-AAD41F91359F}">
  <ds:schemaRefs/>
</ds:datastoreItem>
</file>

<file path=customXml/itemProps4.xml><?xml version="1.0" encoding="utf-8"?>
<ds:datastoreItem xmlns:ds="http://schemas.openxmlformats.org/officeDocument/2006/customXml" ds:itemID="{B00A0CBD-C387-460D-8645-5A3388D5D164}">
  <ds:schemaRefs/>
</ds:datastoreItem>
</file>

<file path=customXml/itemProps5.xml><?xml version="1.0" encoding="utf-8"?>
<ds:datastoreItem xmlns:ds="http://schemas.openxmlformats.org/officeDocument/2006/customXml" ds:itemID="{B24C0328-BB9E-4FB8-8A73-ADB4A565A9D2}">
  <ds:schemaRefs/>
</ds:datastoreItem>
</file>

<file path=customXml/itemProps6.xml><?xml version="1.0" encoding="utf-8"?>
<ds:datastoreItem xmlns:ds="http://schemas.openxmlformats.org/officeDocument/2006/customXml" ds:itemID="{E1C759D3-4E50-4947-8323-4B8590EFD0A4}">
  <ds:schemaRefs/>
</ds:datastoreItem>
</file>

<file path=customXml/itemProps7.xml><?xml version="1.0" encoding="utf-8"?>
<ds:datastoreItem xmlns:ds="http://schemas.openxmlformats.org/officeDocument/2006/customXml" ds:itemID="{C5730024-0362-4184-B2C4-848F5BD99350}">
  <ds:schemaRefs/>
</ds:datastoreItem>
</file>

<file path=customXml/itemProps8.xml><?xml version="1.0" encoding="utf-8"?>
<ds:datastoreItem xmlns:ds="http://schemas.openxmlformats.org/officeDocument/2006/customXml" ds:itemID="{E7BBE920-A9A7-4B0D-893D-CCC31320BF93}">
  <ds:schemaRefs/>
</ds:datastoreItem>
</file>

<file path=customXml/itemProps9.xml><?xml version="1.0" encoding="utf-8"?>
<ds:datastoreItem xmlns:ds="http://schemas.openxmlformats.org/officeDocument/2006/customXml" ds:itemID="{698DF9BE-EF04-4F50-A0DF-57AE57DEFA75}">
  <ds:schemaRefs/>
</ds:datastoreItem>
</file>

<file path=customXml/itemProps10.xml><?xml version="1.0" encoding="utf-8"?>
<ds:datastoreItem xmlns:ds="http://schemas.openxmlformats.org/officeDocument/2006/customXml" ds:itemID="{3240DFE9-FF17-4A7C-9925-1782D9F7105F}">
  <ds:schemaRefs/>
</ds:datastoreItem>
</file>

<file path=customXml/itemProps11.xml><?xml version="1.0" encoding="utf-8"?>
<ds:datastoreItem xmlns:ds="http://schemas.openxmlformats.org/officeDocument/2006/customXml" ds:itemID="{8BE4AA52-4990-4853-9BF0-E923CE93D389}">
  <ds:schemaRefs/>
</ds:datastoreItem>
</file>

<file path=customXml/itemProps12.xml><?xml version="1.0" encoding="utf-8"?>
<ds:datastoreItem xmlns:ds="http://schemas.openxmlformats.org/officeDocument/2006/customXml" ds:itemID="{E7637057-6528-465B-8945-A06ED3A37F89}">
  <ds:schemaRefs/>
</ds:datastoreItem>
</file>

<file path=customXml/itemProps13.xml><?xml version="1.0" encoding="utf-8"?>
<ds:datastoreItem xmlns:ds="http://schemas.openxmlformats.org/officeDocument/2006/customXml" ds:itemID="{A49230B0-1E25-4339-A9F2-3E1D0CF9D7F9}">
  <ds:schemaRefs/>
</ds:datastoreItem>
</file>

<file path=customXml/itemProps14.xml><?xml version="1.0" encoding="utf-8"?>
<ds:datastoreItem xmlns:ds="http://schemas.openxmlformats.org/officeDocument/2006/customXml" ds:itemID="{4DD18CA9-7889-4396-9B15-1B54B32087CD}">
  <ds:schemaRefs/>
</ds:datastoreItem>
</file>

<file path=customXml/itemProps15.xml><?xml version="1.0" encoding="utf-8"?>
<ds:datastoreItem xmlns:ds="http://schemas.openxmlformats.org/officeDocument/2006/customXml" ds:itemID="{5ACAE2B1-5CD4-47F1-B1E4-57B1E627945D}">
  <ds:schemaRefs/>
</ds:datastoreItem>
</file>

<file path=customXml/itemProps16.xml><?xml version="1.0" encoding="utf-8"?>
<ds:datastoreItem xmlns:ds="http://schemas.openxmlformats.org/officeDocument/2006/customXml" ds:itemID="{DC659515-367C-4654-89A7-4FDEA3341BEC}">
  <ds:schemaRefs/>
</ds:datastoreItem>
</file>

<file path=customXml/itemProps17.xml><?xml version="1.0" encoding="utf-8"?>
<ds:datastoreItem xmlns:ds="http://schemas.openxmlformats.org/officeDocument/2006/customXml" ds:itemID="{5F3D5912-9425-467D-8ABF-CEC0EFAE145F}">
  <ds:schemaRefs/>
</ds:datastoreItem>
</file>

<file path=customXml/itemProps18.xml><?xml version="1.0" encoding="utf-8"?>
<ds:datastoreItem xmlns:ds="http://schemas.openxmlformats.org/officeDocument/2006/customXml" ds:itemID="{EFD2209D-105D-4513-967F-A59FC9B8BF3A}">
  <ds:schemaRefs/>
</ds:datastoreItem>
</file>

<file path=customXml/itemProps19.xml><?xml version="1.0" encoding="utf-8"?>
<ds:datastoreItem xmlns:ds="http://schemas.openxmlformats.org/officeDocument/2006/customXml" ds:itemID="{9C9D287E-C626-4691-94D8-9FB3691F35B4}">
  <ds:schemaRefs/>
</ds:datastoreItem>
</file>

<file path=customXml/itemProps20.xml><?xml version="1.0" encoding="utf-8"?>
<ds:datastoreItem xmlns:ds="http://schemas.openxmlformats.org/officeDocument/2006/customXml" ds:itemID="{9844C649-5505-4E40-BE29-B3947D742D28}">
  <ds:schemaRefs/>
</ds:datastoreItem>
</file>

<file path=customXml/itemProps21.xml><?xml version="1.0" encoding="utf-8"?>
<ds:datastoreItem xmlns:ds="http://schemas.openxmlformats.org/officeDocument/2006/customXml" ds:itemID="{5FD7A7E0-5975-4AB1-8499-4CD70536A8ED}">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122</Pages>
  <Words>46680</Words>
  <Characters>54640</Characters>
  <Lines>481</Lines>
  <Paragraphs>135</Paragraphs>
  <TotalTime>12</TotalTime>
  <ScaleCrop>false</ScaleCrop>
  <LinksUpToDate>false</LinksUpToDate>
  <CharactersWithSpaces>55118</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2022-11-11T03:08:00Z</dcterms:created>
  <dc:creator>微软用户</dc:creator>
  <cp:lastModifiedBy>Administrator</cp:lastModifiedBy>
  <cp:lastPrinted>2021-04-16T08:53:00Z</cp:lastPrinted>
  <dcterms:modified xsi:type="dcterms:W3CDTF">2022-11-18T02:50:13Z</dcterms:modified>
  <dc:title>建设项目环境影响报告表</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7109651661BE4B46BDEA20C6F93589F2</vt:lpwstr>
  </property>
</Properties>
</file>